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66.360001pt;margin-top:-15.557049pt;width:474.15pt;height:459.5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3960"/>
                  </w:tblGrid>
                  <w:tr>
                    <w:trPr>
                      <w:trHeight w:val="681" w:hRule="atLeast"/>
                    </w:trPr>
                    <w:tc>
                      <w:tcPr>
                        <w:tcW w:w="5508" w:type="dxa"/>
                      </w:tcPr>
                      <w:p>
                        <w:pPr>
                          <w:pStyle w:val="TableParagraph"/>
                          <w:spacing w:line="281" w:lineRule="exact" w:before="119"/>
                          <w:rPr>
                            <w:sz w:val="24"/>
                          </w:rPr>
                        </w:pPr>
                        <w:r>
                          <w:rPr>
                            <w:sz w:val="24"/>
                          </w:rPr>
                          <w:t>DISTRICT COURT, ADAMS COUNTY, COLORADO</w:t>
                        </w:r>
                      </w:p>
                      <w:p>
                        <w:pPr>
                          <w:pStyle w:val="TableParagraph"/>
                          <w:spacing w:line="260" w:lineRule="exact"/>
                          <w:rPr>
                            <w:sz w:val="24"/>
                          </w:rPr>
                        </w:pPr>
                        <w:r>
                          <w:rPr>
                            <w:sz w:val="24"/>
                          </w:rPr>
                          <w:t>1100 Judicial Center Drive, Brighton, CO 80601</w:t>
                        </w:r>
                      </w:p>
                    </w:tc>
                    <w:tc>
                      <w:tcPr>
                        <w:tcW w:w="3960" w:type="dxa"/>
                        <w:vMerge w:val="restart"/>
                        <w:tcBorders>
                          <w:bottom w:val="nil"/>
                        </w:tcBorders>
                      </w:tcPr>
                      <w:p>
                        <w:pPr>
                          <w:pStyle w:val="TableParagraph"/>
                          <w:spacing w:before="1"/>
                          <w:ind w:left="0"/>
                          <w:rPr>
                            <w:sz w:val="36"/>
                          </w:rPr>
                        </w:pPr>
                      </w:p>
                      <w:p>
                        <w:pPr>
                          <w:pStyle w:val="TableParagraph"/>
                          <w:spacing w:line="220" w:lineRule="auto"/>
                          <w:ind w:left="1349" w:right="-4"/>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23,</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spacing w:val="-12"/>
                            <w:w w:val="105"/>
                            <w:sz w:val="19"/>
                          </w:rPr>
                          <w:t>3 </w:t>
                        </w:r>
                        <w:r>
                          <w:rPr>
                            <w:rFonts w:ascii="Minion Pro"/>
                            <w:color w:val="0000FF"/>
                            <w:w w:val="105"/>
                            <w:sz w:val="19"/>
                          </w:rPr>
                          <w:t>FILING ID: 866CA473FE9E4 CASE NUMBER:</w:t>
                        </w:r>
                        <w:r>
                          <w:rPr>
                            <w:rFonts w:ascii="Minion Pro"/>
                            <w:color w:val="0000FF"/>
                            <w:spacing w:val="-30"/>
                            <w:w w:val="105"/>
                            <w:sz w:val="19"/>
                          </w:rPr>
                          <w:t> </w:t>
                        </w:r>
                        <w:r>
                          <w:rPr>
                            <w:rFonts w:ascii="Minion Pro"/>
                            <w:color w:val="0000FF"/>
                            <w:w w:val="105"/>
                            <w:sz w:val="19"/>
                          </w:rPr>
                          <w:t>2015CV31808</w:t>
                        </w:r>
                      </w:p>
                    </w:tc>
                  </w:tr>
                  <w:tr>
                    <w:trPr>
                      <w:trHeight w:val="1084" w:hRule="atLeast"/>
                    </w:trPr>
                    <w:tc>
                      <w:tcPr>
                        <w:tcW w:w="5508" w:type="dxa"/>
                        <w:tcBorders>
                          <w:bottom w:val="nil"/>
                        </w:tcBorders>
                      </w:tcPr>
                      <w:p>
                        <w:pPr>
                          <w:pStyle w:val="TableParagraph"/>
                          <w:spacing w:before="119"/>
                          <w:ind w:right="977"/>
                          <w:jc w:val="both"/>
                          <w:rPr>
                            <w:b/>
                            <w:sz w:val="24"/>
                          </w:rPr>
                        </w:pPr>
                        <w:r>
                          <w:rPr>
                            <w:b/>
                            <w:sz w:val="24"/>
                          </w:rPr>
                          <w:t>PLAINTIFF: AMERICAN FAMILY</w:t>
                        </w:r>
                        <w:r>
                          <w:rPr>
                            <w:b/>
                            <w:spacing w:val="-37"/>
                            <w:sz w:val="24"/>
                          </w:rPr>
                          <w:t> </w:t>
                        </w:r>
                        <w:r>
                          <w:rPr>
                            <w:b/>
                            <w:sz w:val="24"/>
                          </w:rPr>
                          <w:t>MUTUAL INSURANCE</w:t>
                        </w:r>
                        <w:r>
                          <w:rPr>
                            <w:b/>
                            <w:spacing w:val="-14"/>
                            <w:sz w:val="24"/>
                          </w:rPr>
                          <w:t> </w:t>
                        </w:r>
                        <w:r>
                          <w:rPr>
                            <w:b/>
                            <w:sz w:val="24"/>
                          </w:rPr>
                          <w:t>COMPANY,</w:t>
                        </w:r>
                        <w:r>
                          <w:rPr>
                            <w:b/>
                            <w:spacing w:val="-14"/>
                            <w:sz w:val="24"/>
                          </w:rPr>
                          <w:t> </w:t>
                        </w:r>
                        <w:r>
                          <w:rPr>
                            <w:b/>
                            <w:sz w:val="24"/>
                          </w:rPr>
                          <w:t>AS</w:t>
                        </w:r>
                        <w:r>
                          <w:rPr>
                            <w:b/>
                            <w:spacing w:val="-13"/>
                            <w:sz w:val="24"/>
                          </w:rPr>
                          <w:t> </w:t>
                        </w:r>
                        <w:r>
                          <w:rPr>
                            <w:b/>
                            <w:sz w:val="24"/>
                          </w:rPr>
                          <w:t>SUBROGEE</w:t>
                        </w:r>
                        <w:r>
                          <w:rPr>
                            <w:b/>
                            <w:spacing w:val="-13"/>
                            <w:sz w:val="24"/>
                          </w:rPr>
                          <w:t> </w:t>
                        </w:r>
                        <w:r>
                          <w:rPr>
                            <w:b/>
                            <w:sz w:val="24"/>
                          </w:rPr>
                          <w:t>OF KATHRYN</w:t>
                        </w:r>
                        <w:r>
                          <w:rPr>
                            <w:b/>
                            <w:spacing w:val="-11"/>
                            <w:sz w:val="24"/>
                          </w:rPr>
                          <w:t> </w:t>
                        </w:r>
                        <w:r>
                          <w:rPr>
                            <w:b/>
                            <w:sz w:val="24"/>
                          </w:rPr>
                          <w:t>WINDT</w:t>
                        </w:r>
                      </w:p>
                    </w:tc>
                    <w:tc>
                      <w:tcPr>
                        <w:tcW w:w="3960" w:type="dxa"/>
                        <w:vMerge/>
                        <w:tcBorders>
                          <w:top w:val="nil"/>
                          <w:bottom w:val="nil"/>
                        </w:tcBorders>
                      </w:tcPr>
                      <w:p>
                        <w:pPr>
                          <w:rPr>
                            <w:sz w:val="2"/>
                            <w:szCs w:val="2"/>
                          </w:rPr>
                        </w:pPr>
                      </w:p>
                    </w:tc>
                  </w:tr>
                  <w:tr>
                    <w:trPr>
                      <w:trHeight w:val="520" w:hRule="atLeast"/>
                    </w:trPr>
                    <w:tc>
                      <w:tcPr>
                        <w:tcW w:w="5508" w:type="dxa"/>
                        <w:tcBorders>
                          <w:top w:val="nil"/>
                          <w:bottom w:val="nil"/>
                        </w:tcBorders>
                      </w:tcPr>
                      <w:p>
                        <w:pPr>
                          <w:pStyle w:val="TableParagraph"/>
                          <w:spacing w:before="119"/>
                          <w:rPr>
                            <w:b/>
                            <w:sz w:val="24"/>
                          </w:rPr>
                        </w:pPr>
                        <w:r>
                          <w:rPr>
                            <w:b/>
                            <w:sz w:val="24"/>
                          </w:rPr>
                          <w:t>V.</w:t>
                        </w:r>
                      </w:p>
                    </w:tc>
                    <w:tc>
                      <w:tcPr>
                        <w:tcW w:w="3960" w:type="dxa"/>
                        <w:tcBorders>
                          <w:top w:val="nil"/>
                          <w:bottom w:val="nil"/>
                        </w:tcBorders>
                      </w:tcPr>
                      <w:p>
                        <w:pPr>
                          <w:pStyle w:val="TableParagraph"/>
                          <w:ind w:left="0"/>
                          <w:rPr>
                            <w:rFonts w:ascii="Times New Roman"/>
                            <w:sz w:val="22"/>
                          </w:rPr>
                        </w:pPr>
                      </w:p>
                    </w:tc>
                  </w:tr>
                  <w:tr>
                    <w:trPr>
                      <w:trHeight w:val="802" w:hRule="atLeast"/>
                    </w:trPr>
                    <w:tc>
                      <w:tcPr>
                        <w:tcW w:w="5508" w:type="dxa"/>
                        <w:tcBorders>
                          <w:top w:val="nil"/>
                          <w:bottom w:val="nil"/>
                        </w:tcBorders>
                      </w:tcPr>
                      <w:p>
                        <w:pPr>
                          <w:pStyle w:val="TableParagraph"/>
                          <w:spacing w:before="119"/>
                          <w:ind w:right="433"/>
                          <w:rPr>
                            <w:b/>
                            <w:sz w:val="24"/>
                          </w:rPr>
                        </w:pPr>
                        <w:r>
                          <w:rPr>
                            <w:b/>
                            <w:sz w:val="24"/>
                          </w:rPr>
                          <w:t>DEFENDANTS: JVONNE BECERRIL &amp; AURELIO MEZA-CUEVAS</w:t>
                        </w:r>
                      </w:p>
                    </w:tc>
                    <w:tc>
                      <w:tcPr>
                        <w:tcW w:w="3960" w:type="dxa"/>
                        <w:tcBorders>
                          <w:top w:val="nil"/>
                          <w:bottom w:val="nil"/>
                        </w:tcBorders>
                      </w:tcPr>
                      <w:p>
                        <w:pPr>
                          <w:pStyle w:val="TableParagraph"/>
                          <w:numPr>
                            <w:ilvl w:val="0"/>
                            <w:numId w:val="1"/>
                          </w:numPr>
                          <w:tabs>
                            <w:tab w:pos="1084" w:val="left" w:leader="none"/>
                            <w:tab w:pos="1085" w:val="left" w:leader="none"/>
                          </w:tabs>
                          <w:spacing w:line="240" w:lineRule="auto" w:before="235" w:after="0"/>
                          <w:ind w:left="1084" w:right="0" w:hanging="321"/>
                          <w:jc w:val="left"/>
                          <w:rPr>
                            <w:rFonts w:ascii="Wingdings" w:hAnsi="Wingdings"/>
                            <w:sz w:val="24"/>
                          </w:rPr>
                        </w:pPr>
                        <w:r>
                          <w:rPr>
                            <w:sz w:val="24"/>
                          </w:rPr>
                          <w:t>COURT USE ONLY</w:t>
                        </w:r>
                        <w:r>
                          <w:rPr>
                            <w:spacing w:val="50"/>
                            <w:sz w:val="24"/>
                          </w:rPr>
                          <w:t> </w:t>
                        </w:r>
                        <w:r>
                          <w:rPr>
                            <w:rFonts w:ascii="Wingdings" w:hAnsi="Wingdings"/>
                            <w:sz w:val="24"/>
                          </w:rPr>
                          <w:t></w:t>
                        </w:r>
                      </w:p>
                    </w:tc>
                  </w:tr>
                  <w:tr>
                    <w:trPr>
                      <w:trHeight w:val="521" w:hRule="atLeast"/>
                    </w:trPr>
                    <w:tc>
                      <w:tcPr>
                        <w:tcW w:w="5508" w:type="dxa"/>
                        <w:tcBorders>
                          <w:top w:val="nil"/>
                          <w:bottom w:val="nil"/>
                        </w:tcBorders>
                      </w:tcPr>
                      <w:p>
                        <w:pPr>
                          <w:pStyle w:val="TableParagraph"/>
                          <w:spacing w:before="121"/>
                          <w:rPr>
                            <w:b/>
                            <w:sz w:val="24"/>
                          </w:rPr>
                        </w:pPr>
                        <w:r>
                          <w:rPr>
                            <w:b/>
                            <w:sz w:val="24"/>
                          </w:rPr>
                          <w:t>&amp;</w:t>
                        </w:r>
                      </w:p>
                    </w:tc>
                    <w:tc>
                      <w:tcPr>
                        <w:tcW w:w="3960" w:type="dxa"/>
                        <w:tcBorders>
                          <w:top w:val="nil"/>
                          <w:bottom w:val="nil"/>
                        </w:tcBorders>
                      </w:tcPr>
                      <w:p>
                        <w:pPr>
                          <w:pStyle w:val="TableParagraph"/>
                          <w:ind w:left="0"/>
                          <w:rPr>
                            <w:rFonts w:ascii="Times New Roman"/>
                            <w:sz w:val="22"/>
                          </w:rPr>
                        </w:pPr>
                      </w:p>
                    </w:tc>
                  </w:tr>
                  <w:tr>
                    <w:trPr>
                      <w:trHeight w:val="801" w:hRule="atLeast"/>
                    </w:trPr>
                    <w:tc>
                      <w:tcPr>
                        <w:tcW w:w="5508" w:type="dxa"/>
                        <w:tcBorders>
                          <w:top w:val="nil"/>
                          <w:bottom w:val="nil"/>
                        </w:tcBorders>
                      </w:tcPr>
                      <w:p>
                        <w:pPr>
                          <w:pStyle w:val="TableParagraph"/>
                          <w:spacing w:before="119"/>
                          <w:rPr>
                            <w:b/>
                            <w:sz w:val="24"/>
                          </w:rPr>
                        </w:pPr>
                        <w:r>
                          <w:rPr>
                            <w:b/>
                            <w:sz w:val="24"/>
                          </w:rPr>
                          <w:t>DEFENDANTS:/THIRD PARTY PLAINTIFFS: IVONNE BECERRIL &amp; AURELIO MEZA-CUEVAS</w:t>
                        </w:r>
                      </w:p>
                    </w:tc>
                    <w:tc>
                      <w:tcPr>
                        <w:tcW w:w="3960" w:type="dxa"/>
                        <w:tcBorders>
                          <w:top w:val="nil"/>
                          <w:bottom w:val="nil"/>
                        </w:tcBorders>
                      </w:tcPr>
                      <w:p>
                        <w:pPr>
                          <w:pStyle w:val="TableParagraph"/>
                          <w:ind w:left="0"/>
                          <w:rPr>
                            <w:rFonts w:ascii="Times New Roman"/>
                            <w:sz w:val="22"/>
                          </w:rPr>
                        </w:pPr>
                      </w:p>
                    </w:tc>
                  </w:tr>
                  <w:tr>
                    <w:trPr>
                      <w:trHeight w:val="521" w:hRule="atLeast"/>
                    </w:trPr>
                    <w:tc>
                      <w:tcPr>
                        <w:tcW w:w="5508" w:type="dxa"/>
                        <w:tcBorders>
                          <w:top w:val="nil"/>
                          <w:bottom w:val="nil"/>
                        </w:tcBorders>
                      </w:tcPr>
                      <w:p>
                        <w:pPr>
                          <w:pStyle w:val="TableParagraph"/>
                          <w:spacing w:before="119"/>
                          <w:rPr>
                            <w:b/>
                            <w:sz w:val="24"/>
                          </w:rPr>
                        </w:pPr>
                        <w:r>
                          <w:rPr>
                            <w:b/>
                            <w:sz w:val="24"/>
                          </w:rPr>
                          <w:t>V.</w:t>
                        </w:r>
                      </w:p>
                    </w:tc>
                    <w:tc>
                      <w:tcPr>
                        <w:tcW w:w="3960" w:type="dxa"/>
                        <w:tcBorders>
                          <w:top w:val="nil"/>
                          <w:bottom w:val="nil"/>
                        </w:tcBorders>
                      </w:tcPr>
                      <w:p>
                        <w:pPr>
                          <w:pStyle w:val="TableParagraph"/>
                          <w:ind w:left="0"/>
                          <w:rPr>
                            <w:rFonts w:ascii="Times New Roman"/>
                            <w:sz w:val="22"/>
                          </w:rPr>
                        </w:pPr>
                      </w:p>
                    </w:tc>
                  </w:tr>
                  <w:tr>
                    <w:trPr>
                      <w:trHeight w:val="1203" w:hRule="atLeast"/>
                    </w:trPr>
                    <w:tc>
                      <w:tcPr>
                        <w:tcW w:w="5508" w:type="dxa"/>
                        <w:tcBorders>
                          <w:top w:val="nil"/>
                        </w:tcBorders>
                      </w:tcPr>
                      <w:p>
                        <w:pPr>
                          <w:pStyle w:val="TableParagraph"/>
                          <w:spacing w:before="121"/>
                          <w:ind w:right="365"/>
                          <w:rPr>
                            <w:b/>
                            <w:sz w:val="24"/>
                          </w:rPr>
                        </w:pPr>
                        <w:r>
                          <w:rPr>
                            <w:b/>
                            <w:sz w:val="24"/>
                          </w:rPr>
                          <w:t>THIRD PARTY DEFENDANT/COUNTERCLAIMANT: KATHRYN WINDT</w:t>
                        </w:r>
                      </w:p>
                    </w:tc>
                    <w:tc>
                      <w:tcPr>
                        <w:tcW w:w="3960" w:type="dxa"/>
                        <w:tcBorders>
                          <w:top w:val="nil"/>
                        </w:tcBorders>
                      </w:tcPr>
                      <w:p>
                        <w:pPr>
                          <w:pStyle w:val="TableParagraph"/>
                          <w:ind w:left="0"/>
                          <w:rPr>
                            <w:rFonts w:ascii="Times New Roman"/>
                            <w:sz w:val="22"/>
                          </w:rPr>
                        </w:pPr>
                      </w:p>
                    </w:tc>
                  </w:tr>
                  <w:tr>
                    <w:trPr>
                      <w:trHeight w:val="2209" w:hRule="atLeast"/>
                    </w:trPr>
                    <w:tc>
                      <w:tcPr>
                        <w:tcW w:w="5508" w:type="dxa"/>
                      </w:tcPr>
                      <w:p>
                        <w:pPr>
                          <w:pStyle w:val="TableParagraph"/>
                          <w:tabs>
                            <w:tab w:pos="1547" w:val="left" w:leader="none"/>
                          </w:tabs>
                          <w:spacing w:line="281" w:lineRule="exact" w:before="122"/>
                          <w:rPr>
                            <w:b/>
                            <w:sz w:val="24"/>
                          </w:rPr>
                        </w:pPr>
                        <w:r>
                          <w:rPr>
                            <w:sz w:val="24"/>
                          </w:rPr>
                          <w:t>Name:</w:t>
                          <w:tab/>
                        </w:r>
                        <w:r>
                          <w:rPr>
                            <w:b/>
                            <w:sz w:val="24"/>
                          </w:rPr>
                          <w:t>C</w:t>
                        </w:r>
                        <w:r>
                          <w:rPr>
                            <w:b/>
                            <w:sz w:val="19"/>
                          </w:rPr>
                          <w:t>OOK </w:t>
                        </w:r>
                        <w:r>
                          <w:rPr>
                            <w:b/>
                            <w:sz w:val="24"/>
                          </w:rPr>
                          <w:t>&amp; P</w:t>
                        </w:r>
                        <w:r>
                          <w:rPr>
                            <w:b/>
                            <w:sz w:val="19"/>
                          </w:rPr>
                          <w:t>AGANO</w:t>
                        </w:r>
                        <w:r>
                          <w:rPr>
                            <w:b/>
                            <w:sz w:val="24"/>
                          </w:rPr>
                          <w:t>,</w:t>
                        </w:r>
                        <w:r>
                          <w:rPr>
                            <w:b/>
                            <w:spacing w:val="-23"/>
                            <w:sz w:val="24"/>
                          </w:rPr>
                          <w:t> </w:t>
                        </w:r>
                        <w:r>
                          <w:rPr>
                            <w:b/>
                            <w:sz w:val="24"/>
                          </w:rPr>
                          <w:t>P.C.</w:t>
                        </w:r>
                      </w:p>
                      <w:p>
                        <w:pPr>
                          <w:pStyle w:val="TableParagraph"/>
                          <w:tabs>
                            <w:tab w:pos="1547" w:val="left" w:leader="none"/>
                          </w:tabs>
                          <w:ind w:left="1547" w:right="162" w:hanging="1440"/>
                          <w:rPr>
                            <w:sz w:val="24"/>
                          </w:rPr>
                        </w:pPr>
                        <w:r>
                          <w:rPr>
                            <w:sz w:val="24"/>
                          </w:rPr>
                          <w:t>Address:</w:t>
                          <w:tab/>
                          <w:t>2590 Trailridge Drive East, Suite</w:t>
                        </w:r>
                        <w:r>
                          <w:rPr>
                            <w:spacing w:val="-14"/>
                            <w:sz w:val="24"/>
                          </w:rPr>
                          <w:t> </w:t>
                        </w:r>
                        <w:r>
                          <w:rPr>
                            <w:sz w:val="24"/>
                          </w:rPr>
                          <w:t>202 Lafayette, Colorado</w:t>
                        </w:r>
                        <w:r>
                          <w:rPr>
                            <w:spacing w:val="51"/>
                            <w:sz w:val="24"/>
                          </w:rPr>
                          <w:t> </w:t>
                        </w:r>
                        <w:r>
                          <w:rPr>
                            <w:sz w:val="24"/>
                          </w:rPr>
                          <w:t>80026</w:t>
                        </w:r>
                      </w:p>
                      <w:p>
                        <w:pPr>
                          <w:pStyle w:val="TableParagraph"/>
                          <w:tabs>
                            <w:tab w:pos="1547" w:val="left" w:leader="none"/>
                          </w:tabs>
                          <w:spacing w:line="280" w:lineRule="exact"/>
                          <w:rPr>
                            <w:sz w:val="24"/>
                          </w:rPr>
                        </w:pPr>
                        <w:r>
                          <w:rPr>
                            <w:sz w:val="24"/>
                          </w:rPr>
                          <w:t>Telephone:</w:t>
                          <w:tab/>
                          <w:t>303-543-1000</w:t>
                        </w:r>
                      </w:p>
                      <w:p>
                        <w:pPr>
                          <w:pStyle w:val="TableParagraph"/>
                          <w:tabs>
                            <w:tab w:pos="1547" w:val="left" w:leader="none"/>
                          </w:tabs>
                          <w:spacing w:line="281" w:lineRule="exact"/>
                          <w:rPr>
                            <w:sz w:val="24"/>
                          </w:rPr>
                        </w:pPr>
                        <w:r>
                          <w:rPr>
                            <w:sz w:val="24"/>
                          </w:rPr>
                          <w:t>Facsimile:</w:t>
                          <w:tab/>
                          <w:t>303-543-8582</w:t>
                        </w:r>
                      </w:p>
                      <w:p>
                        <w:pPr>
                          <w:pStyle w:val="TableParagraph"/>
                          <w:tabs>
                            <w:tab w:pos="1547" w:val="left" w:leader="none"/>
                          </w:tabs>
                          <w:spacing w:line="281" w:lineRule="exact" w:before="1"/>
                          <w:rPr>
                            <w:sz w:val="24"/>
                          </w:rPr>
                        </w:pPr>
                        <w:r>
                          <w:rPr>
                            <w:sz w:val="24"/>
                          </w:rPr>
                          <w:t>Atty.</w:t>
                        </w:r>
                        <w:r>
                          <w:rPr>
                            <w:spacing w:val="-1"/>
                            <w:sz w:val="24"/>
                          </w:rPr>
                          <w:t> </w:t>
                        </w:r>
                        <w:r>
                          <w:rPr>
                            <w:sz w:val="24"/>
                          </w:rPr>
                          <w:t>Reg#:</w:t>
                          <w:tab/>
                          <w:t>Stephen H. Cook:</w:t>
                        </w:r>
                        <w:r>
                          <w:rPr>
                            <w:spacing w:val="49"/>
                            <w:sz w:val="24"/>
                          </w:rPr>
                          <w:t> </w:t>
                        </w:r>
                        <w:r>
                          <w:rPr>
                            <w:sz w:val="24"/>
                          </w:rPr>
                          <w:t>6692</w:t>
                        </w:r>
                      </w:p>
                      <w:p>
                        <w:pPr>
                          <w:pStyle w:val="TableParagraph"/>
                          <w:spacing w:line="281" w:lineRule="exact"/>
                          <w:ind w:left="1547"/>
                          <w:rPr>
                            <w:sz w:val="24"/>
                          </w:rPr>
                        </w:pPr>
                        <w:r>
                          <w:rPr>
                            <w:sz w:val="24"/>
                          </w:rPr>
                          <w:t>James L. Pagano: 39508</w:t>
                        </w:r>
                      </w:p>
                    </w:tc>
                    <w:tc>
                      <w:tcPr>
                        <w:tcW w:w="3960" w:type="dxa"/>
                      </w:tcPr>
                      <w:p>
                        <w:pPr>
                          <w:pStyle w:val="TableParagraph"/>
                          <w:spacing w:before="1"/>
                          <w:ind w:left="0"/>
                          <w:rPr>
                            <w:sz w:val="24"/>
                          </w:rPr>
                        </w:pPr>
                      </w:p>
                      <w:p>
                        <w:pPr>
                          <w:pStyle w:val="TableParagraph"/>
                          <w:rPr>
                            <w:sz w:val="24"/>
                          </w:rPr>
                        </w:pPr>
                        <w:r>
                          <w:rPr>
                            <w:sz w:val="24"/>
                          </w:rPr>
                          <w:t>Case No. 2015CV31808</w:t>
                        </w:r>
                      </w:p>
                      <w:p>
                        <w:pPr>
                          <w:pStyle w:val="TableParagraph"/>
                          <w:spacing w:before="11"/>
                          <w:ind w:left="0"/>
                          <w:rPr>
                            <w:sz w:val="23"/>
                          </w:rPr>
                        </w:pPr>
                      </w:p>
                      <w:p>
                        <w:pPr>
                          <w:pStyle w:val="TableParagraph"/>
                          <w:rPr>
                            <w:sz w:val="24"/>
                          </w:rPr>
                        </w:pPr>
                        <w:r>
                          <w:rPr>
                            <w:sz w:val="24"/>
                          </w:rPr>
                          <w:t>Ctrm:</w:t>
                        </w:r>
                      </w:p>
                    </w:tc>
                  </w:tr>
                  <w:tr>
                    <w:trPr>
                      <w:trHeight w:val="791" w:hRule="atLeast"/>
                    </w:trPr>
                    <w:tc>
                      <w:tcPr>
                        <w:tcW w:w="9468" w:type="dxa"/>
                        <w:gridSpan w:val="2"/>
                      </w:tcPr>
                      <w:p>
                        <w:pPr>
                          <w:pStyle w:val="TableParagraph"/>
                          <w:ind w:left="0"/>
                          <w:rPr>
                            <w:sz w:val="27"/>
                          </w:rPr>
                        </w:pPr>
                      </w:p>
                      <w:p>
                        <w:pPr>
                          <w:pStyle w:val="TableParagraph"/>
                          <w:ind w:left="2390"/>
                          <w:rPr>
                            <w:b/>
                            <w:i/>
                            <w:sz w:val="19"/>
                          </w:rPr>
                        </w:pPr>
                        <w:r>
                          <w:rPr>
                            <w:b/>
                            <w:sz w:val="24"/>
                          </w:rPr>
                          <w:t>K</w:t>
                        </w:r>
                        <w:r>
                          <w:rPr>
                            <w:b/>
                            <w:sz w:val="19"/>
                          </w:rPr>
                          <w:t>ATHRYN </w:t>
                        </w:r>
                        <w:r>
                          <w:rPr>
                            <w:b/>
                            <w:sz w:val="24"/>
                          </w:rPr>
                          <w:t>W</w:t>
                        </w:r>
                        <w:r>
                          <w:rPr>
                            <w:b/>
                            <w:sz w:val="19"/>
                          </w:rPr>
                          <w:t>INDT</w:t>
                        </w:r>
                        <w:r>
                          <w:rPr>
                            <w:b/>
                            <w:sz w:val="24"/>
                          </w:rPr>
                          <w:t>’</w:t>
                        </w:r>
                        <w:r>
                          <w:rPr>
                            <w:b/>
                            <w:sz w:val="19"/>
                          </w:rPr>
                          <w:t>S </w:t>
                        </w:r>
                        <w:r>
                          <w:rPr>
                            <w:b/>
                            <w:sz w:val="24"/>
                          </w:rPr>
                          <w:t>C</w:t>
                        </w:r>
                        <w:r>
                          <w:rPr>
                            <w:b/>
                            <w:sz w:val="19"/>
                          </w:rPr>
                          <w:t>OMBINED </w:t>
                        </w:r>
                        <w:r>
                          <w:rPr>
                            <w:b/>
                            <w:sz w:val="24"/>
                          </w:rPr>
                          <w:t>M</w:t>
                        </w:r>
                        <w:r>
                          <w:rPr>
                            <w:b/>
                            <w:sz w:val="19"/>
                          </w:rPr>
                          <w:t>OTIONS </w:t>
                        </w:r>
                        <w:r>
                          <w:rPr>
                            <w:b/>
                            <w:i/>
                            <w:sz w:val="24"/>
                          </w:rPr>
                          <w:t>I</w:t>
                        </w:r>
                        <w:r>
                          <w:rPr>
                            <w:b/>
                            <w:i/>
                            <w:sz w:val="19"/>
                          </w:rPr>
                          <w:t>N </w:t>
                        </w:r>
                        <w:r>
                          <w:rPr>
                            <w:b/>
                            <w:i/>
                            <w:sz w:val="24"/>
                          </w:rPr>
                          <w:t>L</w:t>
                        </w:r>
                        <w:r>
                          <w:rPr>
                            <w:b/>
                            <w:i/>
                            <w:sz w:val="19"/>
                          </w:rPr>
                          <w:t>IMINE</w:t>
                        </w:r>
                      </w:p>
                    </w:tc>
                  </w:tr>
                </w:tbl>
                <w:p>
                  <w:pPr>
                    <w:pStyle w:val="BodyText"/>
                  </w:pPr>
                </w:p>
              </w:txbxContent>
            </v:textbox>
            <w10:wrap type="none"/>
          </v:shape>
        </w:pict>
      </w:r>
      <w:r>
        <w:rPr>
          <w:rFonts w:ascii="Minion Pro"/>
          <w:color w:val="0000FF"/>
          <w:w w:val="105"/>
          <w:sz w:val="19"/>
        </w:rPr>
        <w:t>:42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8"/>
        </w:rPr>
      </w:pPr>
    </w:p>
    <w:p>
      <w:pPr>
        <w:pStyle w:val="BodyText"/>
        <w:ind w:left="940"/>
      </w:pPr>
      <w:r>
        <w:rPr/>
        <w:t>Kathryn Windt submits his motions </w:t>
      </w:r>
      <w:r>
        <w:rPr>
          <w:i/>
        </w:rPr>
        <w:t>in limine </w:t>
      </w:r>
      <w:r>
        <w:rPr/>
        <w:t>as follows:</w:t>
      </w:r>
    </w:p>
    <w:p>
      <w:pPr>
        <w:pStyle w:val="BodyText"/>
        <w:spacing w:before="1"/>
      </w:pPr>
    </w:p>
    <w:p>
      <w:pPr>
        <w:pStyle w:val="BodyText"/>
        <w:ind w:left="3733"/>
      </w:pPr>
      <w:r>
        <w:rPr>
          <w:u w:val="single"/>
        </w:rPr>
        <w:t>Certificate of Conferral</w:t>
      </w:r>
    </w:p>
    <w:p>
      <w:pPr>
        <w:pStyle w:val="BodyText"/>
        <w:spacing w:before="11"/>
        <w:rPr>
          <w:sz w:val="23"/>
        </w:rPr>
      </w:pPr>
    </w:p>
    <w:p>
      <w:pPr>
        <w:pStyle w:val="BodyText"/>
        <w:spacing w:line="480" w:lineRule="auto"/>
        <w:ind w:left="220" w:right="687" w:firstLine="720"/>
      </w:pPr>
      <w:r>
        <w:rPr/>
        <w:t>Pursuant to C.R.C.P. 121 §1-15(8), undersigned counsel conferred with counsel for Defendants by providing a copy of this pleading on January 20, 2017 and through attempted telephone conferral on January 23, 2017. Defendant’s positions are indicated in the heading for each topic.</w:t>
      </w:r>
    </w:p>
    <w:p>
      <w:pPr>
        <w:spacing w:after="0" w:line="480" w:lineRule="auto"/>
        <w:sectPr>
          <w:type w:val="continuous"/>
          <w:pgSz w:w="12240" w:h="15840"/>
          <w:pgMar w:top="1500" w:bottom="280" w:left="1220" w:right="780"/>
        </w:sectPr>
      </w:pPr>
    </w:p>
    <w:p>
      <w:pPr>
        <w:pStyle w:val="BodyText"/>
        <w:spacing w:before="5"/>
        <w:rPr>
          <w:sz w:val="9"/>
        </w:rPr>
      </w:pPr>
    </w:p>
    <w:p>
      <w:pPr>
        <w:pStyle w:val="Heading1"/>
        <w:numPr>
          <w:ilvl w:val="0"/>
          <w:numId w:val="2"/>
        </w:numPr>
        <w:tabs>
          <w:tab w:pos="1659" w:val="left" w:leader="none"/>
          <w:tab w:pos="1660" w:val="left" w:leader="none"/>
        </w:tabs>
        <w:spacing w:line="480" w:lineRule="auto" w:before="100" w:after="0"/>
        <w:ind w:left="220" w:right="1525" w:firstLine="720"/>
        <w:jc w:val="left"/>
      </w:pPr>
      <w:r>
        <w:rPr/>
        <w:t>Defendants’ ability to pay judgment on compensatory damages - Unopposed.</w:t>
      </w:r>
    </w:p>
    <w:p>
      <w:pPr>
        <w:pStyle w:val="ListParagraph"/>
        <w:numPr>
          <w:ilvl w:val="0"/>
          <w:numId w:val="3"/>
        </w:numPr>
        <w:tabs>
          <w:tab w:pos="1659" w:val="left" w:leader="none"/>
          <w:tab w:pos="1660" w:val="left" w:leader="none"/>
        </w:tabs>
        <w:spacing w:line="470" w:lineRule="auto" w:before="0" w:after="0"/>
        <w:ind w:left="220" w:right="678" w:firstLine="720"/>
        <w:jc w:val="left"/>
        <w:rPr>
          <w:sz w:val="24"/>
        </w:rPr>
      </w:pPr>
      <w:r>
        <w:rPr>
          <w:sz w:val="24"/>
        </w:rPr>
        <w:t>Defendants’ ability to pay should not be argued or presented in evidence; it is not relevant to any claim or</w:t>
      </w:r>
      <w:r>
        <w:rPr>
          <w:spacing w:val="-6"/>
          <w:sz w:val="24"/>
        </w:rPr>
        <w:t> </w:t>
      </w:r>
      <w:r>
        <w:rPr>
          <w:sz w:val="24"/>
        </w:rPr>
        <w:t>defense.</w:t>
      </w:r>
    </w:p>
    <w:p>
      <w:pPr>
        <w:pStyle w:val="ListParagraph"/>
        <w:numPr>
          <w:ilvl w:val="0"/>
          <w:numId w:val="3"/>
        </w:numPr>
        <w:tabs>
          <w:tab w:pos="1659" w:val="left" w:leader="none"/>
          <w:tab w:pos="1660" w:val="left" w:leader="none"/>
        </w:tabs>
        <w:spacing w:line="240" w:lineRule="auto" w:before="8" w:after="0"/>
        <w:ind w:left="1660" w:right="0" w:hanging="720"/>
        <w:jc w:val="left"/>
        <w:rPr>
          <w:sz w:val="24"/>
        </w:rPr>
      </w:pPr>
      <w:r>
        <w:rPr>
          <w:sz w:val="24"/>
        </w:rPr>
        <w:t>Such testimony is inadmissible under C.R.E. 401 -</w:t>
      </w:r>
      <w:r>
        <w:rPr>
          <w:spacing w:val="-9"/>
          <w:sz w:val="24"/>
        </w:rPr>
        <w:t> </w:t>
      </w:r>
      <w:r>
        <w:rPr>
          <w:sz w:val="24"/>
        </w:rPr>
        <w:t>403.</w:t>
      </w:r>
    </w:p>
    <w:p>
      <w:pPr>
        <w:pStyle w:val="BodyText"/>
        <w:spacing w:before="2"/>
      </w:pPr>
    </w:p>
    <w:p>
      <w:pPr>
        <w:pStyle w:val="Heading1"/>
        <w:numPr>
          <w:ilvl w:val="0"/>
          <w:numId w:val="2"/>
        </w:numPr>
        <w:tabs>
          <w:tab w:pos="1659" w:val="left" w:leader="none"/>
          <w:tab w:pos="1660" w:val="left" w:leader="none"/>
        </w:tabs>
        <w:spacing w:line="240" w:lineRule="auto" w:before="0" w:after="0"/>
        <w:ind w:left="1660" w:right="0" w:hanging="720"/>
        <w:jc w:val="left"/>
      </w:pPr>
      <w:r>
        <w:rPr/>
        <w:t>Collateral Source Payments -</w:t>
      </w:r>
      <w:r>
        <w:rPr>
          <w:spacing w:val="-2"/>
        </w:rPr>
        <w:t> </w:t>
      </w:r>
      <w:r>
        <w:rPr/>
        <w:t>Opposed.</w:t>
      </w:r>
    </w:p>
    <w:p>
      <w:pPr>
        <w:pStyle w:val="BodyText"/>
        <w:spacing w:before="9"/>
        <w:rPr>
          <w:b/>
          <w:sz w:val="23"/>
        </w:rPr>
      </w:pPr>
    </w:p>
    <w:p>
      <w:pPr>
        <w:pStyle w:val="ListParagraph"/>
        <w:numPr>
          <w:ilvl w:val="0"/>
          <w:numId w:val="3"/>
        </w:numPr>
        <w:tabs>
          <w:tab w:pos="1659" w:val="left" w:leader="none"/>
          <w:tab w:pos="1660" w:val="left" w:leader="none"/>
        </w:tabs>
        <w:spacing w:line="470" w:lineRule="auto" w:before="0" w:after="0"/>
        <w:ind w:left="220" w:right="1247" w:firstLine="720"/>
        <w:jc w:val="left"/>
        <w:rPr>
          <w:i/>
          <w:sz w:val="24"/>
        </w:rPr>
      </w:pPr>
      <w:r>
        <w:rPr>
          <w:sz w:val="24"/>
        </w:rPr>
        <w:t>Evidence of payments made by health insurers is not admissible for any purpose. </w:t>
      </w:r>
      <w:r>
        <w:rPr>
          <w:i/>
          <w:sz w:val="24"/>
        </w:rPr>
        <w:t>C.R.S. §</w:t>
      </w:r>
      <w:r>
        <w:rPr>
          <w:i/>
          <w:spacing w:val="1"/>
          <w:sz w:val="24"/>
        </w:rPr>
        <w:t> </w:t>
      </w:r>
      <w:r>
        <w:rPr>
          <w:i/>
          <w:sz w:val="24"/>
        </w:rPr>
        <w:t>10-1-135(10)(c).</w:t>
      </w:r>
    </w:p>
    <w:p>
      <w:pPr>
        <w:pStyle w:val="Heading1"/>
        <w:numPr>
          <w:ilvl w:val="0"/>
          <w:numId w:val="2"/>
        </w:numPr>
        <w:tabs>
          <w:tab w:pos="1659" w:val="left" w:leader="none"/>
          <w:tab w:pos="1660" w:val="left" w:leader="none"/>
        </w:tabs>
        <w:spacing w:line="240" w:lineRule="auto" w:before="13" w:after="0"/>
        <w:ind w:left="1660" w:right="0" w:hanging="720"/>
        <w:jc w:val="left"/>
      </w:pPr>
      <w:r>
        <w:rPr/>
        <w:t>Financial Motives/Greed/Secondary Gain -</w:t>
      </w:r>
      <w:r>
        <w:rPr>
          <w:spacing w:val="-5"/>
        </w:rPr>
        <w:t> </w:t>
      </w:r>
      <w:r>
        <w:rPr/>
        <w:t>Opposed.</w:t>
      </w:r>
    </w:p>
    <w:p>
      <w:pPr>
        <w:pStyle w:val="BodyText"/>
        <w:spacing w:before="9"/>
        <w:rPr>
          <w:b/>
          <w:sz w:val="23"/>
        </w:rPr>
      </w:pPr>
    </w:p>
    <w:p>
      <w:pPr>
        <w:pStyle w:val="ListParagraph"/>
        <w:numPr>
          <w:ilvl w:val="0"/>
          <w:numId w:val="3"/>
        </w:numPr>
        <w:tabs>
          <w:tab w:pos="1659" w:val="left" w:leader="none"/>
          <w:tab w:pos="1660" w:val="left" w:leader="none"/>
        </w:tabs>
        <w:spacing w:line="477" w:lineRule="auto" w:before="0" w:after="0"/>
        <w:ind w:left="220" w:right="1273" w:firstLine="720"/>
        <w:jc w:val="left"/>
        <w:rPr>
          <w:sz w:val="24"/>
        </w:rPr>
      </w:pPr>
      <w:r>
        <w:rPr>
          <w:sz w:val="24"/>
        </w:rPr>
        <w:t>Defendants should be prohibited from using improper inflammatory openings or closing statements, </w:t>
      </w:r>
      <w:r>
        <w:rPr>
          <w:i/>
          <w:sz w:val="24"/>
        </w:rPr>
        <w:t>voir dire </w:t>
      </w:r>
      <w:r>
        <w:rPr>
          <w:sz w:val="24"/>
        </w:rPr>
        <w:t>questioning, or arguments referencing Mrs. Windt’s motive, alleged greed, or alleged attempt to obtain an undue financial benefit. There is no evidence, either through lay or expert testimony to support any such arguments.</w:t>
      </w:r>
    </w:p>
    <w:p>
      <w:pPr>
        <w:pStyle w:val="ListParagraph"/>
        <w:numPr>
          <w:ilvl w:val="0"/>
          <w:numId w:val="3"/>
        </w:numPr>
        <w:tabs>
          <w:tab w:pos="1659" w:val="left" w:leader="none"/>
          <w:tab w:pos="1660" w:val="left" w:leader="none"/>
        </w:tabs>
        <w:spacing w:line="470" w:lineRule="auto" w:before="2" w:after="0"/>
        <w:ind w:left="220" w:right="1021" w:firstLine="720"/>
        <w:jc w:val="left"/>
        <w:rPr>
          <w:sz w:val="24"/>
        </w:rPr>
      </w:pPr>
      <w:r>
        <w:rPr>
          <w:sz w:val="24"/>
        </w:rPr>
        <w:t>Evidence or argument that leads a jury to make a decision on an improper basis is prejudicial. </w:t>
      </w:r>
      <w:r>
        <w:rPr>
          <w:i/>
          <w:sz w:val="24"/>
        </w:rPr>
        <w:t>People v. Nunez, </w:t>
      </w:r>
      <w:r>
        <w:rPr>
          <w:sz w:val="24"/>
        </w:rPr>
        <w:t>973 P.2d 1260 (Colo.</w:t>
      </w:r>
      <w:r>
        <w:rPr>
          <w:spacing w:val="-9"/>
          <w:sz w:val="24"/>
        </w:rPr>
        <w:t> </w:t>
      </w:r>
      <w:r>
        <w:rPr>
          <w:sz w:val="24"/>
        </w:rPr>
        <w:t>1999).</w:t>
      </w:r>
    </w:p>
    <w:p>
      <w:pPr>
        <w:pStyle w:val="ListParagraph"/>
        <w:numPr>
          <w:ilvl w:val="0"/>
          <w:numId w:val="3"/>
        </w:numPr>
        <w:tabs>
          <w:tab w:pos="1659" w:val="left" w:leader="none"/>
          <w:tab w:pos="1660" w:val="left" w:leader="none"/>
        </w:tabs>
        <w:spacing w:line="477" w:lineRule="auto" w:before="12" w:after="0"/>
        <w:ind w:left="220" w:right="689" w:firstLine="720"/>
        <w:jc w:val="left"/>
        <w:rPr>
          <w:sz w:val="24"/>
        </w:rPr>
      </w:pPr>
      <w:r>
        <w:rPr>
          <w:sz w:val="24"/>
        </w:rPr>
        <w:t>Statements or arguments which lack a basis in the facts of the case and which are designed to create undue prejudice or passion or so as to unduly taint the proceedings are improper and should not be allowed. </w:t>
      </w:r>
      <w:r>
        <w:rPr>
          <w:i/>
          <w:sz w:val="24"/>
        </w:rPr>
        <w:t>See People v. Oliver, </w:t>
      </w:r>
      <w:r>
        <w:rPr>
          <w:sz w:val="24"/>
        </w:rPr>
        <w:t>745 P.2d 222 (Colo. 1987) and C.R.E. 402 and</w:t>
      </w:r>
      <w:r>
        <w:rPr>
          <w:spacing w:val="-5"/>
          <w:sz w:val="24"/>
        </w:rPr>
        <w:t> </w:t>
      </w:r>
      <w:r>
        <w:rPr>
          <w:sz w:val="24"/>
        </w:rPr>
        <w:t>403.</w:t>
      </w:r>
    </w:p>
    <w:p>
      <w:pPr>
        <w:pStyle w:val="Heading1"/>
        <w:numPr>
          <w:ilvl w:val="0"/>
          <w:numId w:val="2"/>
        </w:numPr>
        <w:tabs>
          <w:tab w:pos="1659" w:val="left" w:leader="none"/>
          <w:tab w:pos="1660" w:val="left" w:leader="none"/>
        </w:tabs>
        <w:spacing w:line="280" w:lineRule="exact" w:before="0" w:after="0"/>
        <w:ind w:left="1660" w:right="0" w:hanging="720"/>
        <w:jc w:val="left"/>
      </w:pPr>
      <w:r>
        <w:rPr/>
        <w:t>Discussion of Insurance Rates –</w:t>
      </w:r>
      <w:r>
        <w:rPr>
          <w:spacing w:val="-5"/>
        </w:rPr>
        <w:t> </w:t>
      </w:r>
      <w:r>
        <w:rPr/>
        <w:t>Opposed.</w:t>
      </w:r>
    </w:p>
    <w:p>
      <w:pPr>
        <w:pStyle w:val="ListParagraph"/>
        <w:numPr>
          <w:ilvl w:val="0"/>
          <w:numId w:val="3"/>
        </w:numPr>
        <w:tabs>
          <w:tab w:pos="1659" w:val="left" w:leader="none"/>
          <w:tab w:pos="1660" w:val="left" w:leader="none"/>
        </w:tabs>
        <w:spacing w:line="560" w:lineRule="atLeast" w:before="16" w:after="0"/>
        <w:ind w:left="220" w:right="1916" w:firstLine="720"/>
        <w:jc w:val="left"/>
        <w:rPr>
          <w:sz w:val="24"/>
        </w:rPr>
      </w:pPr>
      <w:r>
        <w:rPr>
          <w:sz w:val="24"/>
        </w:rPr>
        <w:t>Any such discussion is not relevant to any claim or defense and</w:t>
      </w:r>
      <w:r>
        <w:rPr>
          <w:spacing w:val="-27"/>
          <w:sz w:val="24"/>
        </w:rPr>
        <w:t> </w:t>
      </w:r>
      <w:r>
        <w:rPr>
          <w:sz w:val="24"/>
        </w:rPr>
        <w:t>is inadmissible under C.R.E.</w:t>
      </w:r>
      <w:r>
        <w:rPr>
          <w:spacing w:val="-1"/>
          <w:sz w:val="24"/>
        </w:rPr>
        <w:t> </w:t>
      </w:r>
      <w:r>
        <w:rPr>
          <w:sz w:val="24"/>
        </w:rPr>
        <w:t>401-403.</w:t>
      </w:r>
    </w:p>
    <w:p>
      <w:pPr>
        <w:spacing w:after="0" w:line="560" w:lineRule="atLeast"/>
        <w:jc w:val="left"/>
        <w:rPr>
          <w:sz w:val="24"/>
        </w:rPr>
        <w:sectPr>
          <w:footerReference w:type="default" r:id="rId5"/>
          <w:pgSz w:w="12240" w:h="15840"/>
          <w:pgMar w:footer="1024" w:header="0" w:top="1500" w:bottom="1220" w:left="1220" w:right="780"/>
          <w:pgNumType w:start="2"/>
        </w:sectPr>
      </w:pPr>
    </w:p>
    <w:p>
      <w:pPr>
        <w:pStyle w:val="BodyText"/>
        <w:spacing w:before="4"/>
        <w:rPr>
          <w:sz w:val="9"/>
        </w:rPr>
      </w:pPr>
    </w:p>
    <w:p>
      <w:pPr>
        <w:pStyle w:val="ListParagraph"/>
        <w:numPr>
          <w:ilvl w:val="0"/>
          <w:numId w:val="3"/>
        </w:numPr>
        <w:tabs>
          <w:tab w:pos="1659" w:val="left" w:leader="none"/>
          <w:tab w:pos="1660" w:val="left" w:leader="none"/>
        </w:tabs>
        <w:spacing w:line="468" w:lineRule="auto" w:before="100" w:after="0"/>
        <w:ind w:left="220" w:right="1156" w:firstLine="720"/>
        <w:jc w:val="left"/>
        <w:rPr>
          <w:sz w:val="24"/>
        </w:rPr>
      </w:pPr>
      <w:r>
        <w:rPr>
          <w:sz w:val="24"/>
        </w:rPr>
        <w:t>It is prejudicial for an attorney to appeal to any jurors’ personal financial interest. </w:t>
      </w:r>
      <w:r>
        <w:rPr>
          <w:i/>
          <w:sz w:val="24"/>
        </w:rPr>
        <w:t>Denver Bank v. Commissioners, </w:t>
      </w:r>
      <w:r>
        <w:rPr>
          <w:sz w:val="24"/>
        </w:rPr>
        <w:t>98 P.2d 283 (Colo.</w:t>
      </w:r>
      <w:r>
        <w:rPr>
          <w:spacing w:val="-12"/>
          <w:sz w:val="24"/>
        </w:rPr>
        <w:t> </w:t>
      </w:r>
      <w:r>
        <w:rPr>
          <w:sz w:val="24"/>
        </w:rPr>
        <w:t>1940).</w:t>
      </w:r>
    </w:p>
    <w:p>
      <w:pPr>
        <w:pStyle w:val="Heading1"/>
        <w:numPr>
          <w:ilvl w:val="0"/>
          <w:numId w:val="2"/>
        </w:numPr>
        <w:tabs>
          <w:tab w:pos="1659" w:val="left" w:leader="none"/>
          <w:tab w:pos="1660" w:val="left" w:leader="none"/>
        </w:tabs>
        <w:spacing w:line="480" w:lineRule="auto" w:before="16" w:after="0"/>
        <w:ind w:left="220" w:right="725" w:firstLine="720"/>
        <w:jc w:val="left"/>
      </w:pPr>
      <w:r>
        <w:rPr/>
        <w:t>Prior Unrelated Medical Conditions and Worker’s Compensation Claim- Opposed.</w:t>
      </w:r>
    </w:p>
    <w:p>
      <w:pPr>
        <w:pStyle w:val="ListParagraph"/>
        <w:numPr>
          <w:ilvl w:val="0"/>
          <w:numId w:val="3"/>
        </w:numPr>
        <w:tabs>
          <w:tab w:pos="1659" w:val="left" w:leader="none"/>
          <w:tab w:pos="1660" w:val="left" w:leader="none"/>
        </w:tabs>
        <w:spacing w:line="475" w:lineRule="auto" w:before="0" w:after="0"/>
        <w:ind w:left="220" w:right="995" w:firstLine="720"/>
        <w:jc w:val="left"/>
        <w:rPr>
          <w:sz w:val="24"/>
        </w:rPr>
      </w:pPr>
      <w:r>
        <w:rPr>
          <w:sz w:val="24"/>
        </w:rPr>
        <w:t>During her deposition, Mrs. Windt discussed a tailbone injury that she had over twenty years ago. She testified that she fully recovered from that injury within 3-4 years after it happened. She testified that a worker’s compensation claim was</w:t>
      </w:r>
      <w:r>
        <w:rPr>
          <w:spacing w:val="-26"/>
          <w:sz w:val="24"/>
        </w:rPr>
        <w:t> </w:t>
      </w:r>
      <w:r>
        <w:rPr>
          <w:sz w:val="24"/>
        </w:rPr>
        <w:t>filed.</w:t>
      </w:r>
    </w:p>
    <w:p>
      <w:pPr>
        <w:pStyle w:val="ListParagraph"/>
        <w:numPr>
          <w:ilvl w:val="0"/>
          <w:numId w:val="3"/>
        </w:numPr>
        <w:tabs>
          <w:tab w:pos="1712" w:val="left" w:leader="none"/>
          <w:tab w:pos="1713" w:val="left" w:leader="none"/>
        </w:tabs>
        <w:spacing w:line="475" w:lineRule="auto" w:before="4" w:after="0"/>
        <w:ind w:left="220" w:right="870" w:firstLine="720"/>
        <w:jc w:val="left"/>
        <w:rPr>
          <w:sz w:val="24"/>
        </w:rPr>
      </w:pPr>
      <w:r>
        <w:rPr>
          <w:sz w:val="24"/>
        </w:rPr>
        <w:t>Mrs. Windt is not making a claim based on any injury to her tailbone in</w:t>
      </w:r>
      <w:r>
        <w:rPr>
          <w:spacing w:val="-30"/>
          <w:sz w:val="24"/>
        </w:rPr>
        <w:t> </w:t>
      </w:r>
      <w:r>
        <w:rPr>
          <w:sz w:val="24"/>
        </w:rPr>
        <w:t>this litigation. Testimony related to her now 20-year-old tailbone injury is irrelevant and not admissible under C.R.E.</w:t>
      </w:r>
      <w:r>
        <w:rPr>
          <w:spacing w:val="-4"/>
          <w:sz w:val="24"/>
        </w:rPr>
        <w:t> </w:t>
      </w:r>
      <w:r>
        <w:rPr>
          <w:sz w:val="24"/>
        </w:rPr>
        <w:t>401-403.</w:t>
      </w:r>
    </w:p>
    <w:p>
      <w:pPr>
        <w:pStyle w:val="ListParagraph"/>
        <w:numPr>
          <w:ilvl w:val="0"/>
          <w:numId w:val="3"/>
        </w:numPr>
        <w:tabs>
          <w:tab w:pos="1659" w:val="left" w:leader="none"/>
          <w:tab w:pos="1660" w:val="left" w:leader="none"/>
        </w:tabs>
        <w:spacing w:line="480" w:lineRule="auto" w:before="4" w:after="0"/>
        <w:ind w:left="220" w:right="669" w:firstLine="720"/>
        <w:jc w:val="left"/>
        <w:rPr>
          <w:sz w:val="24"/>
        </w:rPr>
      </w:pPr>
      <w:r>
        <w:rPr>
          <w:sz w:val="24"/>
        </w:rPr>
        <w:t>Evidence of her prior worker’s compensation claim is inadmissible under </w:t>
      </w:r>
      <w:r>
        <w:rPr>
          <w:i/>
          <w:sz w:val="24"/>
        </w:rPr>
        <w:t>Westfall v. Town of Hugo, </w:t>
      </w:r>
      <w:r>
        <w:rPr>
          <w:sz w:val="24"/>
        </w:rPr>
        <w:t>851 P.2d 299, 302 (Colo. App. 1993)(citing </w:t>
      </w:r>
      <w:r>
        <w:rPr>
          <w:i/>
          <w:sz w:val="24"/>
        </w:rPr>
        <w:t>Outley v. City of New </w:t>
      </w:r>
      <w:r>
        <w:rPr>
          <w:i/>
          <w:sz w:val="24"/>
        </w:rPr>
        <w:t>York, </w:t>
      </w:r>
      <w:r>
        <w:rPr>
          <w:sz w:val="24"/>
        </w:rPr>
        <w:t>837 F.2d 587 (2d Cir. 1988)(reversible error to receive evidence of other suits against police officers filed by plaintiff pressing civil rights claim against police officers); </w:t>
      </w:r>
      <w:r>
        <w:rPr>
          <w:i/>
          <w:sz w:val="24"/>
        </w:rPr>
        <w:t>Knight v. </w:t>
      </w:r>
      <w:r>
        <w:rPr>
          <w:i/>
          <w:sz w:val="24"/>
        </w:rPr>
        <w:t>Hasler, </w:t>
      </w:r>
      <w:r>
        <w:rPr>
          <w:sz w:val="24"/>
        </w:rPr>
        <w:t>128 N.W.2d 407 (1964)(reversible error to allow cross-examination of personal injury plaintiff as to previous claims for personal injuries asserted against others); </w:t>
      </w:r>
      <w:r>
        <w:rPr>
          <w:i/>
          <w:sz w:val="24"/>
        </w:rPr>
        <w:t>Lowenthal v. Mortimer, </w:t>
      </w:r>
      <w:r>
        <w:rPr>
          <w:sz w:val="24"/>
        </w:rPr>
        <w:t>270 P.2d 942 (1954)(same); and </w:t>
      </w:r>
      <w:r>
        <w:rPr>
          <w:i/>
          <w:sz w:val="24"/>
        </w:rPr>
        <w:t>Richardson v. Missouri Pacific RR, </w:t>
      </w:r>
      <w:r>
        <w:rPr>
          <w:sz w:val="24"/>
        </w:rPr>
        <w:t>186 F.3d 1273, 1278 (10</w:t>
      </w:r>
      <w:r>
        <w:rPr>
          <w:position w:val="6"/>
          <w:sz w:val="16"/>
        </w:rPr>
        <w:t>th </w:t>
      </w:r>
      <w:r>
        <w:rPr>
          <w:sz w:val="24"/>
        </w:rPr>
        <w:t>Cir. 1999)(“ “Evidence of the previous lawsuit, the compensation paid to plaintiff, its amount, and the release signed has no relevance to the determination of [damages in current litigation]. The admission of this evidence was extremely prejudicial and therefore requires that this case be reversed and remanded for a new</w:t>
      </w:r>
      <w:r>
        <w:rPr>
          <w:spacing w:val="-16"/>
          <w:sz w:val="24"/>
        </w:rPr>
        <w:t> </w:t>
      </w:r>
      <w:r>
        <w:rPr>
          <w:sz w:val="24"/>
        </w:rPr>
        <w:t>trial.”)</w:t>
      </w:r>
    </w:p>
    <w:p>
      <w:pPr>
        <w:spacing w:after="0" w:line="480" w:lineRule="auto"/>
        <w:jc w:val="left"/>
        <w:rPr>
          <w:sz w:val="24"/>
        </w:rPr>
        <w:sectPr>
          <w:pgSz w:w="12240" w:h="15840"/>
          <w:pgMar w:header="0" w:footer="1024" w:top="1500" w:bottom="1220" w:left="1220" w:right="780"/>
        </w:sectPr>
      </w:pPr>
    </w:p>
    <w:p>
      <w:pPr>
        <w:pStyle w:val="BodyText"/>
        <w:spacing w:before="5"/>
        <w:rPr>
          <w:sz w:val="9"/>
        </w:rPr>
      </w:pPr>
    </w:p>
    <w:p>
      <w:pPr>
        <w:pStyle w:val="Heading1"/>
        <w:numPr>
          <w:ilvl w:val="0"/>
          <w:numId w:val="2"/>
        </w:numPr>
        <w:tabs>
          <w:tab w:pos="1659" w:val="left" w:leader="none"/>
          <w:tab w:pos="1660" w:val="left" w:leader="none"/>
        </w:tabs>
        <w:spacing w:line="240" w:lineRule="auto" w:before="100" w:after="0"/>
        <w:ind w:left="1660" w:right="0" w:hanging="720"/>
        <w:jc w:val="left"/>
      </w:pPr>
      <w:r>
        <w:rPr/>
        <w:t>Taxation of Judgment -</w:t>
      </w:r>
      <w:r>
        <w:rPr>
          <w:spacing w:val="-4"/>
        </w:rPr>
        <w:t> </w:t>
      </w:r>
      <w:r>
        <w:rPr/>
        <w:t>Unopposed.</w:t>
      </w:r>
    </w:p>
    <w:p>
      <w:pPr>
        <w:pStyle w:val="BodyText"/>
        <w:spacing w:before="9"/>
        <w:rPr>
          <w:b/>
          <w:sz w:val="23"/>
        </w:rPr>
      </w:pPr>
    </w:p>
    <w:p>
      <w:pPr>
        <w:pStyle w:val="ListParagraph"/>
        <w:numPr>
          <w:ilvl w:val="0"/>
          <w:numId w:val="3"/>
        </w:numPr>
        <w:tabs>
          <w:tab w:pos="1660" w:val="left" w:leader="none"/>
        </w:tabs>
        <w:spacing w:line="475" w:lineRule="auto" w:before="1" w:after="0"/>
        <w:ind w:left="220" w:right="874" w:firstLine="720"/>
        <w:jc w:val="both"/>
        <w:rPr>
          <w:sz w:val="24"/>
        </w:rPr>
      </w:pPr>
      <w:r>
        <w:rPr>
          <w:sz w:val="24"/>
        </w:rPr>
        <w:t>Colorado has adopted the majority view that it is reversible error to give an instruction to the jury that damages awarded would not be subject to income taxes. </w:t>
      </w:r>
      <w:r>
        <w:rPr>
          <w:i/>
          <w:sz w:val="24"/>
        </w:rPr>
        <w:t>Rego </w:t>
      </w:r>
      <w:r>
        <w:rPr>
          <w:i/>
          <w:sz w:val="24"/>
        </w:rPr>
        <w:t>Company v. McKown-Katy, </w:t>
      </w:r>
      <w:r>
        <w:rPr>
          <w:sz w:val="24"/>
        </w:rPr>
        <w:t>801 P.2d 536, 539 (Colo.</w:t>
      </w:r>
      <w:r>
        <w:rPr>
          <w:spacing w:val="-5"/>
          <w:sz w:val="24"/>
        </w:rPr>
        <w:t> </w:t>
      </w:r>
      <w:r>
        <w:rPr>
          <w:sz w:val="24"/>
        </w:rPr>
        <w:t>1990).</w:t>
      </w:r>
    </w:p>
    <w:p>
      <w:pPr>
        <w:pStyle w:val="BodyText"/>
        <w:spacing w:line="480" w:lineRule="auto" w:before="6"/>
        <w:ind w:left="220" w:right="826" w:firstLine="720"/>
      </w:pPr>
      <w:r>
        <w:rPr/>
        <w:t>Wherefore, Mrs. Windt requests that the Court enter an Order </w:t>
      </w:r>
      <w:r>
        <w:rPr>
          <w:i/>
        </w:rPr>
        <w:t>in limine </w:t>
      </w:r>
      <w:r>
        <w:rPr/>
        <w:t>prohibiting Defendants from arguing directly or indirectly or introducing evidence as to:</w:t>
      </w:r>
    </w:p>
    <w:p>
      <w:pPr>
        <w:pStyle w:val="ListParagraph"/>
        <w:numPr>
          <w:ilvl w:val="1"/>
          <w:numId w:val="2"/>
        </w:numPr>
        <w:tabs>
          <w:tab w:pos="1652" w:val="left" w:leader="none"/>
          <w:tab w:pos="1653" w:val="left" w:leader="none"/>
        </w:tabs>
        <w:spacing w:line="281" w:lineRule="exact" w:before="0" w:after="0"/>
        <w:ind w:left="1652" w:right="0" w:hanging="712"/>
        <w:jc w:val="left"/>
        <w:rPr>
          <w:sz w:val="24"/>
        </w:rPr>
      </w:pPr>
      <w:r>
        <w:rPr>
          <w:sz w:val="24"/>
        </w:rPr>
        <w:t>Defendants’ ability to pay any</w:t>
      </w:r>
      <w:r>
        <w:rPr>
          <w:spacing w:val="-8"/>
          <w:sz w:val="24"/>
        </w:rPr>
        <w:t> </w:t>
      </w:r>
      <w:r>
        <w:rPr>
          <w:sz w:val="24"/>
        </w:rPr>
        <w:t>judgment.</w:t>
      </w:r>
    </w:p>
    <w:p>
      <w:pPr>
        <w:pStyle w:val="ListParagraph"/>
        <w:numPr>
          <w:ilvl w:val="1"/>
          <w:numId w:val="2"/>
        </w:numPr>
        <w:tabs>
          <w:tab w:pos="1652" w:val="left" w:leader="none"/>
          <w:tab w:pos="1653" w:val="left" w:leader="none"/>
        </w:tabs>
        <w:spacing w:line="281" w:lineRule="exact" w:before="0" w:after="0"/>
        <w:ind w:left="1652" w:right="0" w:hanging="712"/>
        <w:jc w:val="left"/>
        <w:rPr>
          <w:sz w:val="24"/>
        </w:rPr>
      </w:pPr>
      <w:r>
        <w:rPr>
          <w:sz w:val="24"/>
        </w:rPr>
        <w:t>Reference or any discussion of collateral source</w:t>
      </w:r>
      <w:r>
        <w:rPr>
          <w:spacing w:val="-6"/>
          <w:sz w:val="24"/>
        </w:rPr>
        <w:t> </w:t>
      </w:r>
      <w:r>
        <w:rPr>
          <w:sz w:val="24"/>
        </w:rPr>
        <w:t>payments.</w:t>
      </w:r>
    </w:p>
    <w:p>
      <w:pPr>
        <w:pStyle w:val="ListParagraph"/>
        <w:numPr>
          <w:ilvl w:val="1"/>
          <w:numId w:val="2"/>
        </w:numPr>
        <w:tabs>
          <w:tab w:pos="1652" w:val="left" w:leader="none"/>
          <w:tab w:pos="1653" w:val="left" w:leader="none"/>
        </w:tabs>
        <w:spacing w:line="240" w:lineRule="auto" w:before="0" w:after="0"/>
        <w:ind w:left="1652" w:right="1187" w:hanging="712"/>
        <w:jc w:val="left"/>
        <w:rPr>
          <w:sz w:val="24"/>
        </w:rPr>
      </w:pPr>
      <w:r>
        <w:rPr>
          <w:sz w:val="24"/>
        </w:rPr>
        <w:t>Mrs. Windt’s financial motives, greed, or similar arguments of</w:t>
      </w:r>
      <w:r>
        <w:rPr>
          <w:spacing w:val="-30"/>
          <w:sz w:val="24"/>
        </w:rPr>
        <w:t> </w:t>
      </w:r>
      <w:r>
        <w:rPr>
          <w:sz w:val="24"/>
        </w:rPr>
        <w:t>secondary gain.</w:t>
      </w:r>
    </w:p>
    <w:p>
      <w:pPr>
        <w:pStyle w:val="ListParagraph"/>
        <w:numPr>
          <w:ilvl w:val="1"/>
          <w:numId w:val="2"/>
        </w:numPr>
        <w:tabs>
          <w:tab w:pos="1652" w:val="left" w:leader="none"/>
          <w:tab w:pos="1653" w:val="left" w:leader="none"/>
        </w:tabs>
        <w:spacing w:line="281" w:lineRule="exact" w:before="1" w:after="0"/>
        <w:ind w:left="1652" w:right="0" w:hanging="712"/>
        <w:jc w:val="left"/>
        <w:rPr>
          <w:sz w:val="24"/>
        </w:rPr>
      </w:pPr>
      <w:r>
        <w:rPr>
          <w:sz w:val="24"/>
        </w:rPr>
        <w:t>The effects of a judgment on insurance rates, premiums,</w:t>
      </w:r>
      <w:r>
        <w:rPr>
          <w:spacing w:val="-7"/>
          <w:sz w:val="24"/>
        </w:rPr>
        <w:t> </w:t>
      </w:r>
      <w:r>
        <w:rPr>
          <w:sz w:val="24"/>
        </w:rPr>
        <w:t>etc.</w:t>
      </w:r>
    </w:p>
    <w:p>
      <w:pPr>
        <w:pStyle w:val="ListParagraph"/>
        <w:numPr>
          <w:ilvl w:val="1"/>
          <w:numId w:val="2"/>
        </w:numPr>
        <w:tabs>
          <w:tab w:pos="1652" w:val="left" w:leader="none"/>
          <w:tab w:pos="1653" w:val="left" w:leader="none"/>
        </w:tabs>
        <w:spacing w:line="240" w:lineRule="auto" w:before="0" w:after="0"/>
        <w:ind w:left="1652" w:right="774" w:hanging="712"/>
        <w:jc w:val="left"/>
        <w:rPr>
          <w:sz w:val="24"/>
        </w:rPr>
      </w:pPr>
      <w:r>
        <w:rPr>
          <w:sz w:val="24"/>
        </w:rPr>
        <w:t>Mrs. Windt’s prior unrelated medical conditions and worker’s compensation claim.</w:t>
      </w:r>
    </w:p>
    <w:p>
      <w:pPr>
        <w:pStyle w:val="ListParagraph"/>
        <w:numPr>
          <w:ilvl w:val="1"/>
          <w:numId w:val="2"/>
        </w:numPr>
        <w:tabs>
          <w:tab w:pos="1652" w:val="left" w:leader="none"/>
          <w:tab w:pos="1653" w:val="left" w:leader="none"/>
        </w:tabs>
        <w:spacing w:line="240" w:lineRule="auto" w:before="1" w:after="0"/>
        <w:ind w:left="1652" w:right="752" w:hanging="712"/>
        <w:jc w:val="left"/>
        <w:rPr>
          <w:sz w:val="24"/>
        </w:rPr>
      </w:pPr>
      <w:r>
        <w:rPr>
          <w:sz w:val="24"/>
        </w:rPr>
        <w:t>Discussing whether any recovery by Mrs. Windt would be subject to taxation or</w:t>
      </w:r>
      <w:r>
        <w:rPr>
          <w:spacing w:val="-2"/>
          <w:sz w:val="24"/>
        </w:rPr>
        <w:t> </w:t>
      </w:r>
      <w:r>
        <w:rPr>
          <w:sz w:val="24"/>
        </w:rPr>
        <w:t>not.</w:t>
      </w:r>
    </w:p>
    <w:p>
      <w:pPr>
        <w:pStyle w:val="BodyText"/>
        <w:spacing w:before="9"/>
        <w:rPr>
          <w:sz w:val="23"/>
        </w:rPr>
      </w:pPr>
    </w:p>
    <w:p>
      <w:pPr>
        <w:pStyle w:val="BodyText"/>
        <w:spacing w:before="1"/>
        <w:ind w:left="220"/>
      </w:pPr>
      <w:r>
        <w:rPr/>
        <w:t>Dated: January 23, 2017.</w:t>
      </w:r>
    </w:p>
    <w:p>
      <w:pPr>
        <w:pStyle w:val="BodyText"/>
        <w:spacing w:before="1"/>
      </w:pPr>
    </w:p>
    <w:p>
      <w:pPr>
        <w:pStyle w:val="Heading1"/>
        <w:ind w:left="4540" w:firstLine="0"/>
      </w:pPr>
      <w:r>
        <w:rPr/>
        <w:t>COOK &amp; PAGANO, P.C.</w:t>
      </w:r>
    </w:p>
    <w:p>
      <w:pPr>
        <w:pStyle w:val="BodyText"/>
        <w:spacing w:before="7"/>
        <w:rPr>
          <w:b/>
          <w:sz w:val="23"/>
        </w:rPr>
      </w:pPr>
    </w:p>
    <w:p>
      <w:pPr>
        <w:spacing w:before="1"/>
        <w:ind w:left="4540" w:right="0" w:firstLine="0"/>
        <w:jc w:val="left"/>
        <w:rPr>
          <w:i/>
          <w:sz w:val="18"/>
        </w:rPr>
      </w:pPr>
      <w:r>
        <w:rPr>
          <w:i/>
          <w:sz w:val="18"/>
        </w:rPr>
        <w:t>Original Signature on file at the offices of Cook &amp; Pagano, P.C.</w:t>
      </w:r>
    </w:p>
    <w:p>
      <w:pPr>
        <w:pStyle w:val="BodyText"/>
        <w:spacing w:before="2"/>
        <w:rPr>
          <w:i/>
        </w:rPr>
      </w:pPr>
    </w:p>
    <w:p>
      <w:pPr>
        <w:tabs>
          <w:tab w:pos="9579" w:val="left" w:leader="none"/>
        </w:tabs>
        <w:spacing w:before="0"/>
        <w:ind w:left="4540" w:right="0" w:firstLine="0"/>
        <w:jc w:val="left"/>
        <w:rPr>
          <w:i/>
          <w:sz w:val="24"/>
        </w:rPr>
      </w:pPr>
      <w:r>
        <w:rPr>
          <w:sz w:val="24"/>
          <w:u w:val="single"/>
        </w:rPr>
        <w:t>By:  </w:t>
      </w:r>
      <w:r>
        <w:rPr>
          <w:i/>
          <w:sz w:val="24"/>
          <w:u w:val="single"/>
        </w:rPr>
        <w:t>/s/ James</w:t>
      </w:r>
      <w:r>
        <w:rPr>
          <w:i/>
          <w:spacing w:val="-5"/>
          <w:sz w:val="24"/>
          <w:u w:val="single"/>
        </w:rPr>
        <w:t> </w:t>
      </w:r>
      <w:r>
        <w:rPr>
          <w:i/>
          <w:sz w:val="24"/>
          <w:u w:val="single"/>
        </w:rPr>
        <w:t>Pagano</w:t>
        <w:tab/>
      </w:r>
    </w:p>
    <w:p>
      <w:pPr>
        <w:pStyle w:val="BodyText"/>
        <w:spacing w:line="281" w:lineRule="exact" w:before="2"/>
        <w:ind w:left="4198" w:right="3942"/>
        <w:jc w:val="center"/>
      </w:pPr>
      <w:r>
        <w:rPr/>
        <w:t>James Pagano</w:t>
      </w:r>
    </w:p>
    <w:p>
      <w:pPr>
        <w:pStyle w:val="BodyText"/>
        <w:spacing w:line="281" w:lineRule="exact"/>
        <w:ind w:left="4540"/>
      </w:pPr>
      <w:r>
        <w:rPr/>
        <w:t>Attorney for Kathryn Windt</w:t>
      </w:r>
    </w:p>
    <w:p>
      <w:pPr>
        <w:spacing w:after="0" w:line="281" w:lineRule="exact"/>
        <w:sectPr>
          <w:pgSz w:w="12240" w:h="15840"/>
          <w:pgMar w:header="0" w:footer="1024" w:top="1500" w:bottom="1220" w:left="1220" w:right="780"/>
        </w:sectPr>
      </w:pPr>
    </w:p>
    <w:p>
      <w:pPr>
        <w:pStyle w:val="BodyText"/>
        <w:spacing w:before="5"/>
        <w:rPr>
          <w:sz w:val="9"/>
        </w:rPr>
      </w:pPr>
    </w:p>
    <w:p>
      <w:pPr>
        <w:pStyle w:val="Heading1"/>
        <w:spacing w:before="100"/>
        <w:ind w:left="3493" w:firstLine="0"/>
      </w:pPr>
      <w:r>
        <w:rPr/>
        <w:t>CERTIFICATE OF SERVICE</w:t>
      </w:r>
    </w:p>
    <w:p>
      <w:pPr>
        <w:pStyle w:val="BodyText"/>
        <w:spacing w:before="11"/>
        <w:rPr>
          <w:b/>
          <w:sz w:val="23"/>
        </w:rPr>
      </w:pPr>
    </w:p>
    <w:p>
      <w:pPr>
        <w:pStyle w:val="BodyText"/>
        <w:ind w:left="580" w:right="795" w:firstLine="360"/>
      </w:pPr>
      <w:r>
        <w:rPr/>
        <w:t>I hereby certify that a true and correct copy of the foregoing was served on January 23, 2017 via </w:t>
      </w:r>
      <w:r>
        <w:rPr>
          <w:i/>
        </w:rPr>
        <w:t>ICCES </w:t>
      </w:r>
      <w:r>
        <w:rPr/>
        <w:t>to the following:</w:t>
      </w:r>
    </w:p>
    <w:p>
      <w:pPr>
        <w:pStyle w:val="BodyText"/>
        <w:spacing w:after="1"/>
      </w:pP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7"/>
        <w:gridCol w:w="4009"/>
      </w:tblGrid>
      <w:tr>
        <w:trPr>
          <w:trHeight w:val="2249" w:hRule="atLeast"/>
        </w:trPr>
        <w:tc>
          <w:tcPr>
            <w:tcW w:w="4137" w:type="dxa"/>
          </w:tcPr>
          <w:p>
            <w:pPr>
              <w:pStyle w:val="TableParagraph"/>
              <w:spacing w:line="281" w:lineRule="exact"/>
              <w:ind w:left="200"/>
              <w:rPr>
                <w:sz w:val="24"/>
              </w:rPr>
            </w:pPr>
            <w:r>
              <w:rPr>
                <w:sz w:val="24"/>
              </w:rPr>
              <w:t>David Perry</w:t>
            </w:r>
          </w:p>
          <w:p>
            <w:pPr>
              <w:pStyle w:val="TableParagraph"/>
              <w:ind w:left="200" w:right="569"/>
              <w:rPr>
                <w:sz w:val="24"/>
              </w:rPr>
            </w:pPr>
            <w:r>
              <w:rPr>
                <w:sz w:val="24"/>
              </w:rPr>
              <w:t>Law Office of David B. Perry, LLC 7200 East Dry Creek, F203 Centennial, CO 80112</w:t>
            </w:r>
          </w:p>
          <w:p>
            <w:pPr>
              <w:pStyle w:val="TableParagraph"/>
              <w:spacing w:before="11"/>
              <w:ind w:left="0"/>
              <w:rPr>
                <w:sz w:val="23"/>
              </w:rPr>
            </w:pPr>
          </w:p>
          <w:p>
            <w:pPr>
              <w:pStyle w:val="TableParagraph"/>
              <w:ind w:left="200" w:right="2259"/>
              <w:rPr>
                <w:sz w:val="24"/>
              </w:rPr>
            </w:pPr>
            <w:r>
              <w:rPr>
                <w:sz w:val="24"/>
              </w:rPr>
              <w:t>Megan Fountain PO Box 3328</w:t>
            </w:r>
          </w:p>
          <w:p>
            <w:pPr>
              <w:pStyle w:val="TableParagraph"/>
              <w:spacing w:line="260" w:lineRule="exact"/>
              <w:ind w:left="200"/>
              <w:rPr>
                <w:sz w:val="24"/>
              </w:rPr>
            </w:pPr>
            <w:r>
              <w:rPr>
                <w:sz w:val="24"/>
              </w:rPr>
              <w:t>Englewood, CO 80155-3328</w:t>
            </w:r>
          </w:p>
        </w:tc>
        <w:tc>
          <w:tcPr>
            <w:tcW w:w="4009" w:type="dxa"/>
          </w:tcPr>
          <w:p>
            <w:pPr>
              <w:pStyle w:val="TableParagraph"/>
              <w:spacing w:line="281" w:lineRule="exact"/>
              <w:ind w:left="589"/>
              <w:rPr>
                <w:sz w:val="24"/>
              </w:rPr>
            </w:pPr>
            <w:r>
              <w:rPr>
                <w:sz w:val="24"/>
              </w:rPr>
              <w:t>Jeffrey Ruebel</w:t>
            </w:r>
          </w:p>
          <w:p>
            <w:pPr>
              <w:pStyle w:val="TableParagraph"/>
              <w:spacing w:line="281" w:lineRule="exact"/>
              <w:ind w:left="589"/>
              <w:rPr>
                <w:sz w:val="24"/>
              </w:rPr>
            </w:pPr>
            <w:r>
              <w:rPr>
                <w:sz w:val="24"/>
              </w:rPr>
              <w:t>R</w:t>
            </w:r>
            <w:r>
              <w:rPr>
                <w:sz w:val="19"/>
              </w:rPr>
              <w:t>UEBEL </w:t>
            </w:r>
            <w:r>
              <w:rPr>
                <w:sz w:val="24"/>
              </w:rPr>
              <w:t>&amp; Q</w:t>
            </w:r>
            <w:r>
              <w:rPr>
                <w:sz w:val="19"/>
              </w:rPr>
              <w:t>UILLEN</w:t>
            </w:r>
            <w:r>
              <w:rPr>
                <w:sz w:val="24"/>
              </w:rPr>
              <w:t>, LLC</w:t>
            </w:r>
          </w:p>
          <w:p>
            <w:pPr>
              <w:pStyle w:val="TableParagraph"/>
              <w:spacing w:line="281" w:lineRule="exact"/>
              <w:ind w:left="589"/>
              <w:rPr>
                <w:sz w:val="24"/>
              </w:rPr>
            </w:pPr>
            <w:r>
              <w:rPr>
                <w:sz w:val="24"/>
              </w:rPr>
              <w:t>8501 Turnpike Drive, Suite 106</w:t>
            </w:r>
          </w:p>
          <w:p>
            <w:pPr>
              <w:pStyle w:val="TableParagraph"/>
              <w:spacing w:line="281" w:lineRule="exact"/>
              <w:ind w:left="589"/>
              <w:rPr>
                <w:sz w:val="24"/>
              </w:rPr>
            </w:pPr>
            <w:r>
              <w:rPr>
                <w:sz w:val="24"/>
              </w:rPr>
              <w:t>Westminster, CO 80031</w:t>
            </w:r>
          </w:p>
        </w:tc>
      </w:tr>
    </w:tbl>
    <w:p>
      <w:pPr>
        <w:pStyle w:val="BodyText"/>
        <w:spacing w:before="10"/>
        <w:rPr>
          <w:sz w:val="23"/>
        </w:rPr>
      </w:pPr>
    </w:p>
    <w:p>
      <w:pPr>
        <w:spacing w:before="0"/>
        <w:ind w:left="4540" w:right="0" w:firstLine="0"/>
        <w:jc w:val="left"/>
        <w:rPr>
          <w:i/>
          <w:sz w:val="18"/>
        </w:rPr>
      </w:pPr>
      <w:r>
        <w:rPr>
          <w:i/>
          <w:sz w:val="18"/>
        </w:rPr>
        <w:t>Signature on file at C</w:t>
      </w:r>
      <w:r>
        <w:rPr>
          <w:i/>
          <w:sz w:val="14"/>
        </w:rPr>
        <w:t>OOK </w:t>
      </w:r>
      <w:r>
        <w:rPr>
          <w:i/>
          <w:sz w:val="18"/>
        </w:rPr>
        <w:t>&amp; P</w:t>
      </w:r>
      <w:r>
        <w:rPr>
          <w:i/>
          <w:sz w:val="14"/>
        </w:rPr>
        <w:t>AGANO</w:t>
      </w:r>
      <w:r>
        <w:rPr>
          <w:i/>
          <w:sz w:val="18"/>
        </w:rPr>
        <w:t>, P.C.</w:t>
      </w:r>
    </w:p>
    <w:p>
      <w:pPr>
        <w:pStyle w:val="BodyText"/>
        <w:rPr>
          <w:i/>
          <w:sz w:val="20"/>
        </w:rPr>
      </w:pPr>
    </w:p>
    <w:p>
      <w:pPr>
        <w:pStyle w:val="BodyText"/>
        <w:spacing w:before="2"/>
        <w:rPr>
          <w:i/>
          <w:sz w:val="28"/>
        </w:rPr>
      </w:pPr>
    </w:p>
    <w:p>
      <w:pPr>
        <w:tabs>
          <w:tab w:pos="8859" w:val="left" w:leader="none"/>
        </w:tabs>
        <w:spacing w:line="281" w:lineRule="exact" w:before="0"/>
        <w:ind w:left="4540" w:right="0" w:firstLine="0"/>
        <w:jc w:val="left"/>
        <w:rPr>
          <w:i/>
          <w:sz w:val="24"/>
        </w:rPr>
      </w:pPr>
      <w:r>
        <w:rPr>
          <w:i/>
          <w:sz w:val="24"/>
          <w:u w:val="single"/>
        </w:rPr>
        <w:t>/s/ Ashley</w:t>
      </w:r>
      <w:r>
        <w:rPr>
          <w:i/>
          <w:spacing w:val="-5"/>
          <w:sz w:val="24"/>
          <w:u w:val="single"/>
        </w:rPr>
        <w:t> </w:t>
      </w:r>
      <w:r>
        <w:rPr>
          <w:i/>
          <w:sz w:val="24"/>
          <w:u w:val="single"/>
        </w:rPr>
        <w:t>Neumann</w:t>
        <w:tab/>
      </w:r>
    </w:p>
    <w:p>
      <w:pPr>
        <w:pStyle w:val="BodyText"/>
        <w:spacing w:line="281" w:lineRule="exact"/>
        <w:ind w:left="4519" w:right="3942"/>
        <w:jc w:val="center"/>
      </w:pPr>
      <w:r>
        <w:rPr/>
        <w:t>Ashley Neumann</w:t>
      </w:r>
    </w:p>
    <w:sectPr>
      <w:pgSz w:w="12240" w:h="15840"/>
      <w:pgMar w:header="0" w:footer="1024" w:top="1500" w:bottom="122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ion Pro">
    <w:altName w:val="Minion Pro"/>
    <w:charset w:val="0"/>
    <w:family w:val="roman"/>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802124pt;width:9.550pt;height:14.25pt;mso-position-horizontal-relative:page;mso-position-vertical-relative:page;z-index:-6448"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0" w:hanging="720"/>
      </w:pPr>
      <w:rPr>
        <w:rFonts w:hint="default" w:ascii="Symbol" w:hAnsi="Symbol" w:eastAsia="Symbol" w:cs="Symbol"/>
        <w:w w:val="100"/>
        <w:sz w:val="24"/>
        <w:szCs w:val="24"/>
        <w:lang w:val="en-us" w:eastAsia="en-us" w:bidi="en-us"/>
      </w:rPr>
    </w:lvl>
    <w:lvl w:ilvl="1">
      <w:start w:val="0"/>
      <w:numFmt w:val="bullet"/>
      <w:lvlText w:val="•"/>
      <w:lvlJc w:val="left"/>
      <w:pPr>
        <w:ind w:left="1222" w:hanging="720"/>
      </w:pPr>
      <w:rPr>
        <w:rFonts w:hint="default"/>
        <w:lang w:val="en-us" w:eastAsia="en-us" w:bidi="en-us"/>
      </w:rPr>
    </w:lvl>
    <w:lvl w:ilvl="2">
      <w:start w:val="0"/>
      <w:numFmt w:val="bullet"/>
      <w:lvlText w:val="•"/>
      <w:lvlJc w:val="left"/>
      <w:pPr>
        <w:ind w:left="2224" w:hanging="720"/>
      </w:pPr>
      <w:rPr>
        <w:rFonts w:hint="default"/>
        <w:lang w:val="en-us" w:eastAsia="en-us" w:bidi="en-us"/>
      </w:rPr>
    </w:lvl>
    <w:lvl w:ilvl="3">
      <w:start w:val="0"/>
      <w:numFmt w:val="bullet"/>
      <w:lvlText w:val="•"/>
      <w:lvlJc w:val="left"/>
      <w:pPr>
        <w:ind w:left="3226" w:hanging="720"/>
      </w:pPr>
      <w:rPr>
        <w:rFonts w:hint="default"/>
        <w:lang w:val="en-us" w:eastAsia="en-us" w:bidi="en-us"/>
      </w:rPr>
    </w:lvl>
    <w:lvl w:ilvl="4">
      <w:start w:val="0"/>
      <w:numFmt w:val="bullet"/>
      <w:lvlText w:val="•"/>
      <w:lvlJc w:val="left"/>
      <w:pPr>
        <w:ind w:left="4228" w:hanging="720"/>
      </w:pPr>
      <w:rPr>
        <w:rFonts w:hint="default"/>
        <w:lang w:val="en-us" w:eastAsia="en-us" w:bidi="en-us"/>
      </w:rPr>
    </w:lvl>
    <w:lvl w:ilvl="5">
      <w:start w:val="0"/>
      <w:numFmt w:val="bullet"/>
      <w:lvlText w:val="•"/>
      <w:lvlJc w:val="left"/>
      <w:pPr>
        <w:ind w:left="5230" w:hanging="720"/>
      </w:pPr>
      <w:rPr>
        <w:rFonts w:hint="default"/>
        <w:lang w:val="en-us" w:eastAsia="en-us" w:bidi="en-us"/>
      </w:rPr>
    </w:lvl>
    <w:lvl w:ilvl="6">
      <w:start w:val="0"/>
      <w:numFmt w:val="bullet"/>
      <w:lvlText w:val="•"/>
      <w:lvlJc w:val="left"/>
      <w:pPr>
        <w:ind w:left="6232" w:hanging="720"/>
      </w:pPr>
      <w:rPr>
        <w:rFonts w:hint="default"/>
        <w:lang w:val="en-us" w:eastAsia="en-us" w:bidi="en-us"/>
      </w:rPr>
    </w:lvl>
    <w:lvl w:ilvl="7">
      <w:start w:val="0"/>
      <w:numFmt w:val="bullet"/>
      <w:lvlText w:val="•"/>
      <w:lvlJc w:val="left"/>
      <w:pPr>
        <w:ind w:left="7234" w:hanging="720"/>
      </w:pPr>
      <w:rPr>
        <w:rFonts w:hint="default"/>
        <w:lang w:val="en-us" w:eastAsia="en-us" w:bidi="en-us"/>
      </w:rPr>
    </w:lvl>
    <w:lvl w:ilvl="8">
      <w:start w:val="0"/>
      <w:numFmt w:val="bullet"/>
      <w:lvlText w:val="•"/>
      <w:lvlJc w:val="left"/>
      <w:pPr>
        <w:ind w:left="8236" w:hanging="720"/>
      </w:pPr>
      <w:rPr>
        <w:rFonts w:hint="default"/>
        <w:lang w:val="en-us" w:eastAsia="en-us" w:bidi="en-us"/>
      </w:rPr>
    </w:lvl>
  </w:abstractNum>
  <w:abstractNum w:abstractNumId="1">
    <w:multiLevelType w:val="hybridMultilevel"/>
    <w:lvl w:ilvl="0">
      <w:start w:val="1"/>
      <w:numFmt w:val="upperLetter"/>
      <w:lvlText w:val="%1."/>
      <w:lvlJc w:val="left"/>
      <w:pPr>
        <w:ind w:left="220" w:hanging="720"/>
        <w:jc w:val="left"/>
      </w:pPr>
      <w:rPr>
        <w:rFonts w:hint="default" w:ascii="Cambria" w:hAnsi="Cambria" w:eastAsia="Cambria" w:cs="Cambria"/>
        <w:b/>
        <w:bCs/>
        <w:spacing w:val="-3"/>
        <w:w w:val="100"/>
        <w:sz w:val="24"/>
        <w:szCs w:val="24"/>
        <w:lang w:val="en-us" w:eastAsia="en-us" w:bidi="en-us"/>
      </w:rPr>
    </w:lvl>
    <w:lvl w:ilvl="1">
      <w:start w:val="1"/>
      <w:numFmt w:val="decimal"/>
      <w:lvlText w:val="%2."/>
      <w:lvlJc w:val="left"/>
      <w:pPr>
        <w:ind w:left="1652" w:hanging="713"/>
        <w:jc w:val="left"/>
      </w:pPr>
      <w:rPr>
        <w:rFonts w:hint="default" w:ascii="Cambria" w:hAnsi="Cambria" w:eastAsia="Cambria" w:cs="Cambria"/>
        <w:spacing w:val="-2"/>
        <w:w w:val="100"/>
        <w:sz w:val="24"/>
        <w:szCs w:val="24"/>
        <w:lang w:val="en-us" w:eastAsia="en-us" w:bidi="en-us"/>
      </w:rPr>
    </w:lvl>
    <w:lvl w:ilvl="2">
      <w:start w:val="0"/>
      <w:numFmt w:val="bullet"/>
      <w:lvlText w:val="•"/>
      <w:lvlJc w:val="left"/>
      <w:pPr>
        <w:ind w:left="2613" w:hanging="713"/>
      </w:pPr>
      <w:rPr>
        <w:rFonts w:hint="default"/>
        <w:lang w:val="en-us" w:eastAsia="en-us" w:bidi="en-us"/>
      </w:rPr>
    </w:lvl>
    <w:lvl w:ilvl="3">
      <w:start w:val="0"/>
      <w:numFmt w:val="bullet"/>
      <w:lvlText w:val="•"/>
      <w:lvlJc w:val="left"/>
      <w:pPr>
        <w:ind w:left="3566" w:hanging="713"/>
      </w:pPr>
      <w:rPr>
        <w:rFonts w:hint="default"/>
        <w:lang w:val="en-us" w:eastAsia="en-us" w:bidi="en-us"/>
      </w:rPr>
    </w:lvl>
    <w:lvl w:ilvl="4">
      <w:start w:val="0"/>
      <w:numFmt w:val="bullet"/>
      <w:lvlText w:val="•"/>
      <w:lvlJc w:val="left"/>
      <w:pPr>
        <w:ind w:left="4520" w:hanging="713"/>
      </w:pPr>
      <w:rPr>
        <w:rFonts w:hint="default"/>
        <w:lang w:val="en-us" w:eastAsia="en-us" w:bidi="en-us"/>
      </w:rPr>
    </w:lvl>
    <w:lvl w:ilvl="5">
      <w:start w:val="0"/>
      <w:numFmt w:val="bullet"/>
      <w:lvlText w:val="•"/>
      <w:lvlJc w:val="left"/>
      <w:pPr>
        <w:ind w:left="5473" w:hanging="713"/>
      </w:pPr>
      <w:rPr>
        <w:rFonts w:hint="default"/>
        <w:lang w:val="en-us" w:eastAsia="en-us" w:bidi="en-us"/>
      </w:rPr>
    </w:lvl>
    <w:lvl w:ilvl="6">
      <w:start w:val="0"/>
      <w:numFmt w:val="bullet"/>
      <w:lvlText w:val="•"/>
      <w:lvlJc w:val="left"/>
      <w:pPr>
        <w:ind w:left="6426" w:hanging="713"/>
      </w:pPr>
      <w:rPr>
        <w:rFonts w:hint="default"/>
        <w:lang w:val="en-us" w:eastAsia="en-us" w:bidi="en-us"/>
      </w:rPr>
    </w:lvl>
    <w:lvl w:ilvl="7">
      <w:start w:val="0"/>
      <w:numFmt w:val="bullet"/>
      <w:lvlText w:val="•"/>
      <w:lvlJc w:val="left"/>
      <w:pPr>
        <w:ind w:left="7380" w:hanging="713"/>
      </w:pPr>
      <w:rPr>
        <w:rFonts w:hint="default"/>
        <w:lang w:val="en-us" w:eastAsia="en-us" w:bidi="en-us"/>
      </w:rPr>
    </w:lvl>
    <w:lvl w:ilvl="8">
      <w:start w:val="0"/>
      <w:numFmt w:val="bullet"/>
      <w:lvlText w:val="•"/>
      <w:lvlJc w:val="left"/>
      <w:pPr>
        <w:ind w:left="8333" w:hanging="713"/>
      </w:pPr>
      <w:rPr>
        <w:rFonts w:hint="default"/>
        <w:lang w:val="en-us" w:eastAsia="en-us" w:bidi="en-us"/>
      </w:rPr>
    </w:lvl>
  </w:abstractNum>
  <w:abstractNum w:abstractNumId="0">
    <w:multiLevelType w:val="hybridMultilevel"/>
    <w:lvl w:ilvl="0">
      <w:start w:val="0"/>
      <w:numFmt w:val="bullet"/>
      <w:lvlText w:val=""/>
      <w:lvlJc w:val="left"/>
      <w:pPr>
        <w:ind w:left="1084" w:hanging="322"/>
      </w:pPr>
      <w:rPr>
        <w:rFonts w:hint="default" w:ascii="Wingdings" w:hAnsi="Wingdings" w:eastAsia="Wingdings" w:cs="Wingdings"/>
        <w:w w:val="100"/>
        <w:sz w:val="24"/>
        <w:szCs w:val="24"/>
        <w:lang w:val="en-us" w:eastAsia="en-us" w:bidi="en-us"/>
      </w:rPr>
    </w:lvl>
    <w:lvl w:ilvl="1">
      <w:start w:val="0"/>
      <w:numFmt w:val="bullet"/>
      <w:lvlText w:val="•"/>
      <w:lvlJc w:val="left"/>
      <w:pPr>
        <w:ind w:left="1367" w:hanging="322"/>
      </w:pPr>
      <w:rPr>
        <w:rFonts w:hint="default"/>
        <w:lang w:val="en-us" w:eastAsia="en-us" w:bidi="en-us"/>
      </w:rPr>
    </w:lvl>
    <w:lvl w:ilvl="2">
      <w:start w:val="0"/>
      <w:numFmt w:val="bullet"/>
      <w:lvlText w:val="•"/>
      <w:lvlJc w:val="left"/>
      <w:pPr>
        <w:ind w:left="1654" w:hanging="322"/>
      </w:pPr>
      <w:rPr>
        <w:rFonts w:hint="default"/>
        <w:lang w:val="en-us" w:eastAsia="en-us" w:bidi="en-us"/>
      </w:rPr>
    </w:lvl>
    <w:lvl w:ilvl="3">
      <w:start w:val="0"/>
      <w:numFmt w:val="bullet"/>
      <w:lvlText w:val="•"/>
      <w:lvlJc w:val="left"/>
      <w:pPr>
        <w:ind w:left="1941" w:hanging="322"/>
      </w:pPr>
      <w:rPr>
        <w:rFonts w:hint="default"/>
        <w:lang w:val="en-us" w:eastAsia="en-us" w:bidi="en-us"/>
      </w:rPr>
    </w:lvl>
    <w:lvl w:ilvl="4">
      <w:start w:val="0"/>
      <w:numFmt w:val="bullet"/>
      <w:lvlText w:val="•"/>
      <w:lvlJc w:val="left"/>
      <w:pPr>
        <w:ind w:left="2228" w:hanging="322"/>
      </w:pPr>
      <w:rPr>
        <w:rFonts w:hint="default"/>
        <w:lang w:val="en-us" w:eastAsia="en-us" w:bidi="en-us"/>
      </w:rPr>
    </w:lvl>
    <w:lvl w:ilvl="5">
      <w:start w:val="0"/>
      <w:numFmt w:val="bullet"/>
      <w:lvlText w:val="•"/>
      <w:lvlJc w:val="left"/>
      <w:pPr>
        <w:ind w:left="2515" w:hanging="322"/>
      </w:pPr>
      <w:rPr>
        <w:rFonts w:hint="default"/>
        <w:lang w:val="en-us" w:eastAsia="en-us" w:bidi="en-us"/>
      </w:rPr>
    </w:lvl>
    <w:lvl w:ilvl="6">
      <w:start w:val="0"/>
      <w:numFmt w:val="bullet"/>
      <w:lvlText w:val="•"/>
      <w:lvlJc w:val="left"/>
      <w:pPr>
        <w:ind w:left="2802" w:hanging="322"/>
      </w:pPr>
      <w:rPr>
        <w:rFonts w:hint="default"/>
        <w:lang w:val="en-us" w:eastAsia="en-us" w:bidi="en-us"/>
      </w:rPr>
    </w:lvl>
    <w:lvl w:ilvl="7">
      <w:start w:val="0"/>
      <w:numFmt w:val="bullet"/>
      <w:lvlText w:val="•"/>
      <w:lvlJc w:val="left"/>
      <w:pPr>
        <w:ind w:left="3089" w:hanging="322"/>
      </w:pPr>
      <w:rPr>
        <w:rFonts w:hint="default"/>
        <w:lang w:val="en-us" w:eastAsia="en-us" w:bidi="en-us"/>
      </w:rPr>
    </w:lvl>
    <w:lvl w:ilvl="8">
      <w:start w:val="0"/>
      <w:numFmt w:val="bullet"/>
      <w:lvlText w:val="•"/>
      <w:lvlJc w:val="left"/>
      <w:pPr>
        <w:ind w:left="3376" w:hanging="32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ind w:left="1660" w:hanging="720"/>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ind w:left="220" w:firstLine="720"/>
    </w:pPr>
    <w:rPr>
      <w:rFonts w:ascii="Cambria" w:hAnsi="Cambria" w:eastAsia="Cambria" w:cs="Cambria"/>
      <w:lang w:val="en-us" w:eastAsia="en-us" w:bidi="en-us"/>
    </w:rPr>
  </w:style>
  <w:style w:styleId="TableParagraph" w:type="paragraph">
    <w:name w:val="Table Paragraph"/>
    <w:basedOn w:val="Normal"/>
    <w:uiPriority w:val="1"/>
    <w:qFormat/>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2019-03-22T15:59:59Z</dcterms:created>
  <dcterms:modified xsi:type="dcterms:W3CDTF">2019-03-22T15:59:59Z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Acrobat PDFMaker 15 for Word</vt:lpwstr>
  </property>
  <property fmtid="{D5CDD505-2E9C-101B-9397-08002B2CF9AE}" pid="4" name="LastSaved">
    <vt:filetime>2019-03-22T00:00:00Z</vt:filetime>
  </property>
</Properties>
</file>