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189"/>
      </w:tblGrid>
      <w:tr w:rsidR="001956FE" w14:paraId="4E3B3207" w14:textId="77777777">
        <w:trPr>
          <w:trHeight w:val="7176"/>
        </w:trPr>
        <w:tc>
          <w:tcPr>
            <w:tcW w:w="5389" w:type="dxa"/>
          </w:tcPr>
          <w:p w14:paraId="2D03CC24" w14:textId="77777777" w:rsidR="001956FE" w:rsidRDefault="000151B4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ARAPAHOE COUNTY DISTRICT COURT STATE OF COLORADO</w:t>
            </w:r>
          </w:p>
          <w:p w14:paraId="05BB3C20" w14:textId="77777777" w:rsidR="001956FE" w:rsidRDefault="001956FE">
            <w:pPr>
              <w:pStyle w:val="TableParagraph"/>
              <w:spacing w:before="6"/>
              <w:rPr>
                <w:sz w:val="23"/>
              </w:rPr>
            </w:pPr>
          </w:p>
          <w:p w14:paraId="7AFE5031" w14:textId="77777777" w:rsidR="001956FE" w:rsidRDefault="000151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Court Address</w:t>
            </w:r>
            <w:r>
              <w:rPr>
                <w:sz w:val="24"/>
              </w:rPr>
              <w:t>:</w:t>
            </w:r>
          </w:p>
          <w:p w14:paraId="09576D54" w14:textId="77777777" w:rsidR="001956FE" w:rsidRDefault="000151B4">
            <w:pPr>
              <w:pStyle w:val="TableParagraph"/>
              <w:ind w:left="107" w:right="2539"/>
              <w:rPr>
                <w:sz w:val="24"/>
              </w:rPr>
            </w:pPr>
            <w:r>
              <w:rPr>
                <w:sz w:val="24"/>
              </w:rPr>
              <w:t>7325 South Potomac Street Centennial, Colorado 80112</w:t>
            </w:r>
          </w:p>
          <w:p w14:paraId="7A09D700" w14:textId="77777777" w:rsidR="001956FE" w:rsidRDefault="001956FE">
            <w:pPr>
              <w:pStyle w:val="TableParagraph"/>
              <w:rPr>
                <w:sz w:val="20"/>
              </w:rPr>
            </w:pPr>
          </w:p>
          <w:p w14:paraId="668A10A3" w14:textId="77777777" w:rsidR="001956FE" w:rsidRDefault="001956FE">
            <w:pPr>
              <w:pStyle w:val="TableParagraph"/>
              <w:spacing w:before="1" w:after="1"/>
              <w:rPr>
                <w:sz w:val="27"/>
              </w:rPr>
            </w:pPr>
          </w:p>
          <w:p w14:paraId="59AD1DF2" w14:textId="77777777" w:rsidR="001956FE" w:rsidRDefault="000151B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339D3A">
                <v:group id="_x0000_s1031" style="width:252pt;height:.5pt;mso-position-horizontal-relative:char;mso-position-vertical-relative:line" coordsize="5040,10">
                  <v:line id="_x0000_s1032" style="position:absolute" from="0,5" to="5040,5" strokeweight=".48pt"/>
                  <w10:wrap type="none"/>
                  <w10:anchorlock/>
                </v:group>
              </w:pict>
            </w:r>
          </w:p>
          <w:p w14:paraId="6162B9DC" w14:textId="66E3A481" w:rsidR="001956FE" w:rsidRDefault="000151B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Plaintiff(s): </w:t>
            </w:r>
          </w:p>
          <w:p w14:paraId="23810ACF" w14:textId="77777777" w:rsidR="001956FE" w:rsidRDefault="001956FE">
            <w:pPr>
              <w:pStyle w:val="TableParagraph"/>
              <w:rPr>
                <w:sz w:val="24"/>
              </w:rPr>
            </w:pPr>
          </w:p>
          <w:p w14:paraId="28887188" w14:textId="5C7472D1" w:rsidR="001956FE" w:rsidRDefault="000151B4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Defendant(s):</w:t>
            </w:r>
          </w:p>
          <w:p w14:paraId="15782914" w14:textId="77777777" w:rsidR="001956FE" w:rsidRDefault="001956FE">
            <w:pPr>
              <w:pStyle w:val="TableParagraph"/>
              <w:spacing w:before="8"/>
            </w:pPr>
          </w:p>
          <w:p w14:paraId="3DCCA05C" w14:textId="77777777" w:rsidR="001956FE" w:rsidRDefault="000151B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A9D5B62">
                <v:group id="_x0000_s1029" style="width:252pt;height:.5pt;mso-position-horizontal-relative:char;mso-position-vertical-relative:line" coordsize="5040,10">
                  <v:line id="_x0000_s1030" style="position:absolute" from="0,5" to="5040,5" strokeweight=".48pt"/>
                  <w10:wrap type="none"/>
                  <w10:anchorlock/>
                </v:group>
              </w:pict>
            </w:r>
          </w:p>
          <w:p w14:paraId="6E30B6D2" w14:textId="77777777" w:rsidR="001956FE" w:rsidRDefault="000151B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Attorneys for Plaintiff</w:t>
            </w:r>
          </w:p>
          <w:p w14:paraId="358E7570" w14:textId="77777777" w:rsidR="000151B4" w:rsidRDefault="000151B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569AA9A1" w14:textId="2E389E89" w:rsidR="001956FE" w:rsidRDefault="000151B4">
            <w:pPr>
              <w:pStyle w:val="TableParagraph"/>
              <w:ind w:left="107" w:right="1219"/>
              <w:rPr>
                <w:sz w:val="24"/>
              </w:rPr>
            </w:pPr>
            <w:r>
              <w:rPr>
                <w:sz w:val="24"/>
              </w:rPr>
              <w:t>Phone Number:</w:t>
            </w:r>
            <w:r>
              <w:rPr>
                <w:spacing w:val="58"/>
                <w:sz w:val="24"/>
              </w:rPr>
              <w:t xml:space="preserve"> </w:t>
            </w:r>
          </w:p>
          <w:p w14:paraId="066A6241" w14:textId="5516ACFF" w:rsidR="001956FE" w:rsidRDefault="000151B4" w:rsidP="000151B4">
            <w:pPr>
              <w:pStyle w:val="TableParagraph"/>
              <w:ind w:left="107" w:right="2417"/>
              <w:rPr>
                <w:sz w:val="24"/>
              </w:rPr>
            </w:pPr>
            <w:r>
              <w:rPr>
                <w:sz w:val="24"/>
              </w:rPr>
              <w:t xml:space="preserve">Fax Number: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89" w:type="dxa"/>
          </w:tcPr>
          <w:p w14:paraId="3A480625" w14:textId="77777777" w:rsidR="001956FE" w:rsidRDefault="001956FE">
            <w:pPr>
              <w:pStyle w:val="TableParagraph"/>
            </w:pPr>
          </w:p>
          <w:p w14:paraId="78208B8F" w14:textId="77777777" w:rsidR="001956FE" w:rsidRDefault="001956FE">
            <w:pPr>
              <w:pStyle w:val="TableParagraph"/>
              <w:spacing w:before="6"/>
              <w:rPr>
                <w:sz w:val="32"/>
              </w:rPr>
            </w:pPr>
          </w:p>
          <w:p w14:paraId="1396F027" w14:textId="77777777" w:rsidR="001956FE" w:rsidRDefault="000151B4">
            <w:pPr>
              <w:pStyle w:val="TableParagraph"/>
              <w:spacing w:line="211" w:lineRule="exact"/>
              <w:ind w:left="276"/>
              <w:rPr>
                <w:sz w:val="20"/>
              </w:rPr>
            </w:pPr>
            <w:r>
              <w:rPr>
                <w:color w:val="0000FF"/>
                <w:sz w:val="20"/>
              </w:rPr>
              <w:t>DATE FILED: August 23, 2018 5:56 PM</w:t>
            </w:r>
          </w:p>
          <w:p w14:paraId="2087BDBE" w14:textId="77777777" w:rsidR="001956FE" w:rsidRDefault="000151B4">
            <w:pPr>
              <w:pStyle w:val="TableParagraph"/>
              <w:spacing w:line="247" w:lineRule="exact"/>
              <w:ind w:left="276"/>
              <w:rPr>
                <w:rFonts w:ascii="Marlett" w:hAnsi="Marlett"/>
                <w:sz w:val="24"/>
              </w:rPr>
            </w:pPr>
            <w:proofErr w:type="gramStart"/>
            <w:r>
              <w:rPr>
                <w:color w:val="0000FF"/>
                <w:spacing w:val="2"/>
                <w:sz w:val="20"/>
              </w:rPr>
              <w:t>FILIN</w:t>
            </w:r>
            <w:r>
              <w:rPr>
                <w:color w:val="0000FF"/>
                <w:sz w:val="20"/>
              </w:rPr>
              <w:t xml:space="preserve">G </w:t>
            </w:r>
            <w:r>
              <w:rPr>
                <w:color w:val="0000FF"/>
                <w:spacing w:val="-22"/>
                <w:sz w:val="20"/>
              </w:rPr>
              <w:t xml:space="preserve"> </w:t>
            </w:r>
            <w:r>
              <w:rPr>
                <w:color w:val="0000FF"/>
                <w:spacing w:val="2"/>
                <w:sz w:val="20"/>
              </w:rPr>
              <w:t>I</w:t>
            </w:r>
            <w:r>
              <w:rPr>
                <w:color w:val="0000FF"/>
                <w:spacing w:val="-140"/>
                <w:sz w:val="20"/>
              </w:rPr>
              <w:t>D</w:t>
            </w:r>
            <w:proofErr w:type="gramEnd"/>
            <w:r>
              <w:rPr>
                <w:rFonts w:ascii="Marlett" w:hAnsi="Marlett"/>
                <w:spacing w:val="-99"/>
                <w:position w:val="-2"/>
                <w:sz w:val="24"/>
              </w:rPr>
              <w:t></w:t>
            </w:r>
            <w:r>
              <w:rPr>
                <w:color w:val="0000FF"/>
                <w:sz w:val="20"/>
              </w:rPr>
              <w:t>:</w:t>
            </w:r>
            <w:r>
              <w:rPr>
                <w:color w:val="0000FF"/>
                <w:spacing w:val="-7"/>
                <w:sz w:val="20"/>
              </w:rPr>
              <w:t xml:space="preserve"> </w:t>
            </w:r>
            <w:r>
              <w:rPr>
                <w:spacing w:val="-126"/>
                <w:position w:val="-2"/>
                <w:sz w:val="24"/>
              </w:rPr>
              <w:t>C</w:t>
            </w:r>
            <w:r>
              <w:rPr>
                <w:color w:val="0000FF"/>
                <w:spacing w:val="-19"/>
                <w:sz w:val="20"/>
              </w:rPr>
              <w:t>D</w:t>
            </w:r>
            <w:r>
              <w:rPr>
                <w:spacing w:val="-100"/>
                <w:position w:val="-2"/>
                <w:sz w:val="24"/>
              </w:rPr>
              <w:t>o</w:t>
            </w:r>
            <w:r>
              <w:rPr>
                <w:color w:val="0000FF"/>
                <w:spacing w:val="-12"/>
                <w:sz w:val="20"/>
              </w:rPr>
              <w:t>F</w:t>
            </w:r>
            <w:r>
              <w:rPr>
                <w:spacing w:val="-107"/>
                <w:position w:val="-2"/>
                <w:sz w:val="24"/>
              </w:rPr>
              <w:t>u</w:t>
            </w:r>
            <w:r>
              <w:rPr>
                <w:color w:val="0000FF"/>
                <w:spacing w:val="2"/>
                <w:sz w:val="20"/>
              </w:rPr>
              <w:t>8</w:t>
            </w:r>
            <w:r>
              <w:rPr>
                <w:color w:val="0000FF"/>
                <w:spacing w:val="-96"/>
                <w:sz w:val="20"/>
              </w:rPr>
              <w:t>2</w:t>
            </w:r>
            <w:r>
              <w:rPr>
                <w:position w:val="-2"/>
                <w:sz w:val="24"/>
              </w:rPr>
              <w:t>r</w:t>
            </w:r>
            <w:r>
              <w:rPr>
                <w:spacing w:val="-49"/>
                <w:position w:val="-2"/>
                <w:sz w:val="24"/>
              </w:rPr>
              <w:t>t</w:t>
            </w:r>
            <w:r>
              <w:rPr>
                <w:color w:val="0000FF"/>
                <w:spacing w:val="2"/>
                <w:sz w:val="20"/>
              </w:rPr>
              <w:t>3</w:t>
            </w:r>
            <w:r>
              <w:rPr>
                <w:color w:val="0000FF"/>
                <w:spacing w:val="-138"/>
                <w:sz w:val="20"/>
              </w:rPr>
              <w:t>D</w:t>
            </w:r>
            <w:r>
              <w:rPr>
                <w:spacing w:val="-34"/>
                <w:w w:val="99"/>
                <w:position w:val="-2"/>
                <w:sz w:val="24"/>
              </w:rPr>
              <w:t>U</w:t>
            </w:r>
            <w:r>
              <w:rPr>
                <w:color w:val="0000FF"/>
                <w:spacing w:val="-68"/>
                <w:sz w:val="20"/>
              </w:rPr>
              <w:t>2</w:t>
            </w:r>
            <w:r>
              <w:rPr>
                <w:spacing w:val="-25"/>
                <w:w w:val="99"/>
                <w:position w:val="-2"/>
                <w:sz w:val="24"/>
              </w:rPr>
              <w:t>s</w:t>
            </w:r>
            <w:r>
              <w:rPr>
                <w:color w:val="0000FF"/>
                <w:spacing w:val="-121"/>
                <w:sz w:val="20"/>
              </w:rPr>
              <w:t>D</w:t>
            </w:r>
            <w:r>
              <w:rPr>
                <w:spacing w:val="15"/>
                <w:position w:val="-2"/>
                <w:sz w:val="24"/>
              </w:rPr>
              <w:t>e</w:t>
            </w:r>
            <w:r>
              <w:rPr>
                <w:color w:val="0000FF"/>
                <w:spacing w:val="-57"/>
                <w:sz w:val="20"/>
              </w:rPr>
              <w:t>3</w:t>
            </w:r>
            <w:r>
              <w:rPr>
                <w:spacing w:val="-115"/>
                <w:w w:val="99"/>
                <w:position w:val="-2"/>
                <w:sz w:val="24"/>
              </w:rPr>
              <w:t>O</w:t>
            </w:r>
            <w:r>
              <w:rPr>
                <w:color w:val="0000FF"/>
                <w:spacing w:val="2"/>
                <w:sz w:val="20"/>
              </w:rPr>
              <w:t>5</w:t>
            </w:r>
            <w:r>
              <w:rPr>
                <w:color w:val="0000FF"/>
                <w:spacing w:val="-88"/>
                <w:sz w:val="20"/>
              </w:rPr>
              <w:t>9</w:t>
            </w:r>
            <w:r>
              <w:rPr>
                <w:spacing w:val="-31"/>
                <w:position w:val="-2"/>
                <w:sz w:val="24"/>
              </w:rPr>
              <w:t>n</w:t>
            </w:r>
            <w:r>
              <w:rPr>
                <w:color w:val="0000FF"/>
                <w:spacing w:val="-70"/>
                <w:sz w:val="20"/>
              </w:rPr>
              <w:t>7</w:t>
            </w:r>
            <w:proofErr w:type="spellStart"/>
            <w:r>
              <w:rPr>
                <w:spacing w:val="2"/>
                <w:position w:val="-2"/>
                <w:sz w:val="24"/>
              </w:rPr>
              <w:t>l</w:t>
            </w:r>
            <w:r>
              <w:rPr>
                <w:spacing w:val="-118"/>
                <w:position w:val="-2"/>
                <w:sz w:val="24"/>
              </w:rPr>
              <w:t>y</w:t>
            </w:r>
            <w:proofErr w:type="spellEnd"/>
            <w:r>
              <w:rPr>
                <w:color w:val="0000FF"/>
                <w:spacing w:val="16"/>
                <w:sz w:val="20"/>
              </w:rPr>
              <w:t>2</w:t>
            </w:r>
            <w:r>
              <w:rPr>
                <w:rFonts w:ascii="Marlett" w:hAnsi="Marlett"/>
                <w:position w:val="-2"/>
                <w:sz w:val="24"/>
              </w:rPr>
              <w:t></w:t>
            </w:r>
          </w:p>
          <w:p w14:paraId="1286F6FF" w14:textId="77777777" w:rsidR="001956FE" w:rsidRDefault="000151B4">
            <w:pPr>
              <w:pStyle w:val="TableParagraph"/>
              <w:spacing w:line="204" w:lineRule="exact"/>
              <w:ind w:left="276"/>
              <w:rPr>
                <w:sz w:val="20"/>
              </w:rPr>
            </w:pPr>
            <w:proofErr w:type="gramStart"/>
            <w:r>
              <w:rPr>
                <w:color w:val="0000FF"/>
                <w:sz w:val="20"/>
              </w:rPr>
              <w:t>CASE  NUMBER</w:t>
            </w:r>
            <w:proofErr w:type="gramEnd"/>
            <w:r>
              <w:rPr>
                <w:color w:val="0000FF"/>
                <w:sz w:val="20"/>
              </w:rPr>
              <w:t>:</w:t>
            </w:r>
            <w:r>
              <w:rPr>
                <w:color w:val="0000FF"/>
                <w:spacing w:val="4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2018CV32021</w:t>
            </w:r>
          </w:p>
          <w:p w14:paraId="5EBE475D" w14:textId="77777777" w:rsidR="001956FE" w:rsidRDefault="001956FE">
            <w:pPr>
              <w:pStyle w:val="TableParagraph"/>
              <w:rPr>
                <w:sz w:val="20"/>
              </w:rPr>
            </w:pPr>
          </w:p>
          <w:p w14:paraId="44C49380" w14:textId="77777777" w:rsidR="001956FE" w:rsidRDefault="001956FE">
            <w:pPr>
              <w:pStyle w:val="TableParagraph"/>
              <w:rPr>
                <w:sz w:val="20"/>
              </w:rPr>
            </w:pPr>
          </w:p>
          <w:p w14:paraId="445B71BD" w14:textId="77777777" w:rsidR="001956FE" w:rsidRDefault="001956FE">
            <w:pPr>
              <w:pStyle w:val="TableParagraph"/>
              <w:rPr>
                <w:sz w:val="20"/>
              </w:rPr>
            </w:pPr>
          </w:p>
          <w:p w14:paraId="03272A25" w14:textId="77777777" w:rsidR="001956FE" w:rsidRDefault="001956FE">
            <w:pPr>
              <w:pStyle w:val="TableParagraph"/>
              <w:rPr>
                <w:sz w:val="20"/>
              </w:rPr>
            </w:pPr>
          </w:p>
          <w:p w14:paraId="10886FB0" w14:textId="77777777" w:rsidR="001956FE" w:rsidRDefault="001956FE">
            <w:pPr>
              <w:pStyle w:val="TableParagraph"/>
              <w:rPr>
                <w:sz w:val="24"/>
              </w:rPr>
            </w:pPr>
          </w:p>
          <w:p w14:paraId="5D3166CA" w14:textId="77777777" w:rsidR="001956FE" w:rsidRDefault="000151B4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446ED7">
                <v:group id="_x0000_s1027" style="width:174pt;height:.5pt;mso-position-horizontal-relative:char;mso-position-vertical-relative:line" coordsize="3480,10">
                  <v:line id="_x0000_s1028" style="position:absolute" from="0,5" to="3480,5" strokeweight=".48pt"/>
                  <w10:wrap type="none"/>
                  <w10:anchorlock/>
                </v:group>
              </w:pict>
            </w:r>
          </w:p>
          <w:p w14:paraId="4B413889" w14:textId="77777777" w:rsidR="001956FE" w:rsidRDefault="000151B4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Case Number:</w:t>
            </w:r>
          </w:p>
          <w:p w14:paraId="2022C1DA" w14:textId="77777777" w:rsidR="001956FE" w:rsidRDefault="001956FE">
            <w:pPr>
              <w:pStyle w:val="TableParagraph"/>
              <w:rPr>
                <w:sz w:val="26"/>
              </w:rPr>
            </w:pPr>
          </w:p>
          <w:p w14:paraId="7073991E" w14:textId="77777777" w:rsidR="001956FE" w:rsidRDefault="001956FE">
            <w:pPr>
              <w:pStyle w:val="TableParagraph"/>
              <w:rPr>
                <w:sz w:val="26"/>
              </w:rPr>
            </w:pPr>
          </w:p>
          <w:p w14:paraId="1DC5F455" w14:textId="77777777" w:rsidR="001956FE" w:rsidRDefault="000151B4">
            <w:pPr>
              <w:pStyle w:val="TableParagraph"/>
              <w:spacing w:before="230"/>
              <w:ind w:left="407"/>
              <w:rPr>
                <w:sz w:val="24"/>
              </w:rPr>
            </w:pPr>
            <w:r>
              <w:rPr>
                <w:sz w:val="24"/>
              </w:rPr>
              <w:t>Division/ Courtroom:</w:t>
            </w:r>
          </w:p>
        </w:tc>
      </w:tr>
      <w:tr w:rsidR="001956FE" w14:paraId="2A48C9AD" w14:textId="77777777">
        <w:trPr>
          <w:trHeight w:val="1379"/>
        </w:trPr>
        <w:tc>
          <w:tcPr>
            <w:tcW w:w="9578" w:type="dxa"/>
            <w:gridSpan w:val="2"/>
          </w:tcPr>
          <w:p w14:paraId="4FFB0584" w14:textId="77777777" w:rsidR="001956FE" w:rsidRDefault="001956FE">
            <w:pPr>
              <w:pStyle w:val="TableParagraph"/>
              <w:spacing w:before="10"/>
              <w:rPr>
                <w:sz w:val="23"/>
              </w:rPr>
            </w:pPr>
          </w:p>
          <w:p w14:paraId="6C0F8406" w14:textId="77777777" w:rsidR="001956FE" w:rsidRDefault="000151B4">
            <w:pPr>
              <w:pStyle w:val="TableParagraph"/>
              <w:ind w:left="244" w:right="23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COMPLAINT FOR DECLARATORY ORDER CONFIRMING ARBITRATION AWARD AND REDUCING AWARD TO JUDGMENT PURSUANT TO C.R.S. § 13-22- 222(1) AND C.R.S. § 13-22-225(1)</w:t>
            </w:r>
          </w:p>
        </w:tc>
      </w:tr>
    </w:tbl>
    <w:p w14:paraId="456DB01D" w14:textId="77777777" w:rsidR="001956FE" w:rsidRDefault="001956FE">
      <w:pPr>
        <w:pStyle w:val="BodyText"/>
        <w:spacing w:before="8"/>
        <w:ind w:left="0"/>
        <w:rPr>
          <w:sz w:val="15"/>
        </w:rPr>
      </w:pPr>
    </w:p>
    <w:p w14:paraId="1C0A2034" w14:textId="77777777" w:rsidR="001956FE" w:rsidRDefault="000151B4">
      <w:pPr>
        <w:pStyle w:val="BodyText"/>
        <w:spacing w:before="90" w:line="480" w:lineRule="auto"/>
        <w:ind w:right="339" w:firstLine="719"/>
        <w:jc w:val="both"/>
      </w:pPr>
      <w:r>
        <w:rPr>
          <w:b/>
        </w:rPr>
        <w:t>COMES NOW</w:t>
      </w:r>
      <w:r>
        <w:t xml:space="preserve">, the Plaintiff, High Impact, Inc., by and through its attorneys, Anderson </w:t>
      </w:r>
      <w:proofErr w:type="spellStart"/>
      <w:r>
        <w:t>Hemmat</w:t>
      </w:r>
      <w:proofErr w:type="spellEnd"/>
      <w:r>
        <w:t>, LLC, and for its Complaint for Order Confirming Arbitration Award and Reducing Award to Judgment Pursuant to C.R.S. § 13-22-222(1) and C.R.S. § 13-22-225(1), states and alle</w:t>
      </w:r>
      <w:r>
        <w:t>ges as follows:</w:t>
      </w:r>
    </w:p>
    <w:p w14:paraId="4B82324C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342" w:firstLine="720"/>
        <w:jc w:val="both"/>
        <w:rPr>
          <w:sz w:val="24"/>
        </w:rPr>
      </w:pPr>
      <w:r>
        <w:rPr>
          <w:sz w:val="24"/>
        </w:rPr>
        <w:t>High Impact, Inc. is a for profit corporation organized under the laws of the State of Colorado with a principal office located at 8008 East Arapahoe Court, Suite 200, Centennial, Colorado.</w:t>
      </w:r>
    </w:p>
    <w:p w14:paraId="5CD06B6B" w14:textId="77777777" w:rsidR="001956FE" w:rsidRDefault="001956FE">
      <w:pPr>
        <w:spacing w:line="480" w:lineRule="auto"/>
        <w:jc w:val="both"/>
        <w:rPr>
          <w:sz w:val="24"/>
        </w:rPr>
        <w:sectPr w:rsidR="001956FE">
          <w:footerReference w:type="default" r:id="rId7"/>
          <w:type w:val="continuous"/>
          <w:pgSz w:w="12240" w:h="15840"/>
          <w:pgMar w:top="1440" w:right="1100" w:bottom="1260" w:left="1340" w:header="720" w:footer="1066" w:gutter="0"/>
          <w:pgNumType w:start="1"/>
          <w:cols w:space="720"/>
        </w:sectPr>
      </w:pPr>
    </w:p>
    <w:p w14:paraId="42B5D198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74" w:line="48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Defendant</w:t>
      </w:r>
      <w:r>
        <w:rPr>
          <w:spacing w:val="-13"/>
          <w:sz w:val="24"/>
        </w:rPr>
        <w:t xml:space="preserve"> </w:t>
      </w:r>
      <w:r>
        <w:rPr>
          <w:sz w:val="24"/>
        </w:rPr>
        <w:t>Eldridge</w:t>
      </w:r>
      <w:r>
        <w:rPr>
          <w:spacing w:val="-13"/>
          <w:sz w:val="24"/>
        </w:rPr>
        <w:t xml:space="preserve"> </w:t>
      </w:r>
      <w:r>
        <w:rPr>
          <w:sz w:val="24"/>
        </w:rPr>
        <w:t>Suggs,</w:t>
      </w:r>
      <w:r>
        <w:rPr>
          <w:spacing w:val="-10"/>
          <w:sz w:val="24"/>
        </w:rPr>
        <w:t xml:space="preserve"> </w:t>
      </w:r>
      <w:r>
        <w:rPr>
          <w:sz w:val="24"/>
        </w:rPr>
        <w:t>IV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resident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domiciliary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County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Fulton, State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Georgia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business</w:t>
      </w:r>
      <w:r>
        <w:rPr>
          <w:spacing w:val="-11"/>
          <w:sz w:val="24"/>
        </w:rPr>
        <w:t xml:space="preserve"> </w:t>
      </w:r>
      <w:r>
        <w:rPr>
          <w:sz w:val="24"/>
        </w:rPr>
        <w:t>address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3500</w:t>
      </w:r>
      <w:r>
        <w:rPr>
          <w:spacing w:val="-10"/>
          <w:sz w:val="24"/>
        </w:rPr>
        <w:t xml:space="preserve"> </w:t>
      </w:r>
      <w:r>
        <w:rPr>
          <w:sz w:val="24"/>
        </w:rPr>
        <w:t>Lenox</w:t>
      </w:r>
      <w:r>
        <w:rPr>
          <w:spacing w:val="-9"/>
          <w:sz w:val="24"/>
        </w:rPr>
        <w:t xml:space="preserve"> </w:t>
      </w:r>
      <w:r>
        <w:rPr>
          <w:sz w:val="24"/>
        </w:rPr>
        <w:t>Road,</w:t>
      </w:r>
      <w:r>
        <w:rPr>
          <w:spacing w:val="-11"/>
          <w:sz w:val="24"/>
        </w:rPr>
        <w:t xml:space="preserve"> </w:t>
      </w:r>
      <w:r>
        <w:rPr>
          <w:sz w:val="24"/>
        </w:rPr>
        <w:t>Suite</w:t>
      </w:r>
      <w:r>
        <w:rPr>
          <w:spacing w:val="-12"/>
          <w:sz w:val="24"/>
        </w:rPr>
        <w:t xml:space="preserve"> </w:t>
      </w:r>
      <w:r>
        <w:rPr>
          <w:sz w:val="24"/>
        </w:rPr>
        <w:t>1500,</w:t>
      </w:r>
      <w:r>
        <w:rPr>
          <w:spacing w:val="-11"/>
          <w:sz w:val="24"/>
        </w:rPr>
        <w:t xml:space="preserve"> </w:t>
      </w:r>
      <w:r>
        <w:rPr>
          <w:sz w:val="24"/>
        </w:rPr>
        <w:t>Atlanta,</w:t>
      </w:r>
      <w:r>
        <w:rPr>
          <w:spacing w:val="-12"/>
          <w:sz w:val="24"/>
        </w:rPr>
        <w:t xml:space="preserve"> </w:t>
      </w:r>
      <w:r>
        <w:rPr>
          <w:sz w:val="24"/>
        </w:rPr>
        <w:t>Georgia</w:t>
      </w:r>
      <w:r>
        <w:rPr>
          <w:spacing w:val="-12"/>
          <w:sz w:val="24"/>
        </w:rPr>
        <w:t xml:space="preserve"> </w:t>
      </w:r>
      <w:r>
        <w:rPr>
          <w:sz w:val="24"/>
        </w:rPr>
        <w:t>30326.</w:t>
      </w:r>
    </w:p>
    <w:p w14:paraId="5436995F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1" w:line="480" w:lineRule="auto"/>
        <w:ind w:right="341" w:firstLine="720"/>
        <w:jc w:val="both"/>
        <w:rPr>
          <w:sz w:val="24"/>
        </w:rPr>
      </w:pPr>
      <w:r>
        <w:rPr>
          <w:sz w:val="24"/>
        </w:rPr>
        <w:t xml:space="preserve">Defendant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Suggs Law Firm, P.C., is a for profit corporation organized under the laws of the State of Georgia with a principal office located at 3500 Lenox Road, Suite 1500, Atlanta, Georgia</w:t>
      </w:r>
      <w:r>
        <w:rPr>
          <w:spacing w:val="-1"/>
          <w:sz w:val="24"/>
        </w:rPr>
        <w:t xml:space="preserve"> </w:t>
      </w:r>
      <w:r>
        <w:rPr>
          <w:sz w:val="24"/>
        </w:rPr>
        <w:t>30326.</w:t>
      </w:r>
    </w:p>
    <w:p w14:paraId="4DA6B398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firstLine="720"/>
        <w:jc w:val="both"/>
        <w:rPr>
          <w:sz w:val="24"/>
        </w:rPr>
      </w:pPr>
      <w:r>
        <w:rPr>
          <w:sz w:val="24"/>
        </w:rPr>
        <w:t>Pursuant to C.R.C.P. 98(c)(1), venue is proper in Arapa</w:t>
      </w:r>
      <w:r>
        <w:rPr>
          <w:sz w:val="24"/>
        </w:rPr>
        <w:t>hoe County, State of Colorado, because venue is proper in any county designated in this Complaint where, as here, Defendants are nonresidents of the state of</w:t>
      </w:r>
      <w:r>
        <w:rPr>
          <w:spacing w:val="-4"/>
          <w:sz w:val="24"/>
        </w:rPr>
        <w:t xml:space="preserve"> </w:t>
      </w:r>
      <w:r>
        <w:rPr>
          <w:sz w:val="24"/>
        </w:rPr>
        <w:t>Colorado</w:t>
      </w:r>
    </w:p>
    <w:p w14:paraId="0F449F25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336" w:firstLine="720"/>
        <w:jc w:val="both"/>
        <w:rPr>
          <w:sz w:val="24"/>
        </w:rPr>
      </w:pPr>
      <w:r>
        <w:rPr>
          <w:sz w:val="24"/>
        </w:rPr>
        <w:t>This Court has jurisdiction over this Complaint for Declaratory Judgment</w:t>
      </w:r>
      <w:r>
        <w:rPr>
          <w:spacing w:val="-39"/>
          <w:sz w:val="24"/>
        </w:rPr>
        <w:t xml:space="preserve"> </w:t>
      </w:r>
      <w:r>
        <w:rPr>
          <w:sz w:val="24"/>
        </w:rPr>
        <w:t>pursuant to C.R.</w:t>
      </w:r>
      <w:r>
        <w:rPr>
          <w:sz w:val="24"/>
        </w:rPr>
        <w:t xml:space="preserve">S. § 13-51-101, </w:t>
      </w:r>
      <w:r>
        <w:rPr>
          <w:i/>
          <w:sz w:val="24"/>
        </w:rPr>
        <w:t xml:space="preserve">et. seq., </w:t>
      </w:r>
      <w:r>
        <w:rPr>
          <w:sz w:val="24"/>
        </w:rPr>
        <w:t>and C.R.C.P.</w:t>
      </w:r>
      <w:r>
        <w:rPr>
          <w:spacing w:val="-1"/>
          <w:sz w:val="24"/>
        </w:rPr>
        <w:t xml:space="preserve"> </w:t>
      </w:r>
      <w:r>
        <w:rPr>
          <w:sz w:val="24"/>
        </w:rPr>
        <w:t>57.</w:t>
      </w:r>
    </w:p>
    <w:p w14:paraId="569A0883" w14:textId="77777777" w:rsidR="001956FE" w:rsidRDefault="000151B4">
      <w:pPr>
        <w:pStyle w:val="Heading1"/>
        <w:ind w:right="3508"/>
        <w:rPr>
          <w:u w:val="none"/>
        </w:rPr>
      </w:pPr>
      <w:r>
        <w:rPr>
          <w:u w:val="thick"/>
        </w:rPr>
        <w:t>FACTUAL ALLEGATIONS</w:t>
      </w:r>
    </w:p>
    <w:p w14:paraId="6E455AA9" w14:textId="77777777" w:rsidR="001956FE" w:rsidRDefault="001956FE">
      <w:pPr>
        <w:pStyle w:val="BodyText"/>
        <w:spacing w:before="9"/>
        <w:ind w:left="0"/>
        <w:rPr>
          <w:b/>
          <w:sz w:val="15"/>
        </w:rPr>
      </w:pPr>
    </w:p>
    <w:p w14:paraId="75B3F3C3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90" w:line="480" w:lineRule="auto"/>
        <w:ind w:right="348" w:firstLine="720"/>
        <w:jc w:val="both"/>
        <w:rPr>
          <w:sz w:val="24"/>
        </w:rPr>
      </w:pPr>
      <w:r>
        <w:rPr>
          <w:sz w:val="24"/>
        </w:rPr>
        <w:t>Plaintiff incorporates herein all allegations contained in paragraphs 1 through 4 in the preceding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139B6F1D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1" w:line="480" w:lineRule="auto"/>
        <w:ind w:right="337" w:firstLine="720"/>
        <w:jc w:val="both"/>
        <w:rPr>
          <w:sz w:val="24"/>
        </w:rPr>
      </w:pPr>
      <w:r>
        <w:rPr>
          <w:sz w:val="24"/>
        </w:rPr>
        <w:t>On August 14, 2018, an Arbitrator’s Opinion was handed down as a result of an arbitr</w:t>
      </w:r>
      <w:r>
        <w:rPr>
          <w:sz w:val="24"/>
        </w:rPr>
        <w:t>ation the parties submitted to in the underlying</w:t>
      </w:r>
      <w:r>
        <w:rPr>
          <w:spacing w:val="-5"/>
          <w:sz w:val="24"/>
        </w:rPr>
        <w:t xml:space="preserve"> </w:t>
      </w:r>
      <w:r>
        <w:rPr>
          <w:sz w:val="24"/>
        </w:rPr>
        <w:t>matter.</w:t>
      </w:r>
    </w:p>
    <w:p w14:paraId="4D0254F8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340" w:firstLine="720"/>
        <w:jc w:val="both"/>
        <w:rPr>
          <w:sz w:val="24"/>
        </w:rPr>
      </w:pPr>
      <w:r>
        <w:rPr>
          <w:sz w:val="24"/>
        </w:rPr>
        <w:t xml:space="preserve">The Opinion awarded Plaintiff $10,125.00 in attorneys’ fees expended in the underlying matter, plus $1,400.00 for costs, in addition to the sum of $2,433.75 previously awarded to Plaintiff, for a total sum of $13,915.75. </w:t>
      </w:r>
      <w:r>
        <w:rPr>
          <w:i/>
          <w:sz w:val="24"/>
        </w:rPr>
        <w:t xml:space="preserve">See </w:t>
      </w:r>
      <w:r>
        <w:rPr>
          <w:sz w:val="24"/>
        </w:rPr>
        <w:t>Supplemental Arbitrator’s Opini</w:t>
      </w:r>
      <w:r>
        <w:rPr>
          <w:sz w:val="24"/>
        </w:rPr>
        <w:t xml:space="preserve">on and Award attached as </w:t>
      </w:r>
      <w:r>
        <w:rPr>
          <w:b/>
          <w:sz w:val="24"/>
        </w:rPr>
        <w:t xml:space="preserve">Exhibit 1 </w:t>
      </w:r>
      <w:r>
        <w:rPr>
          <w:sz w:val="24"/>
        </w:rPr>
        <w:t>at ¶</w:t>
      </w:r>
      <w:r>
        <w:rPr>
          <w:spacing w:val="3"/>
          <w:sz w:val="24"/>
        </w:rPr>
        <w:t xml:space="preserve"> </w:t>
      </w:r>
      <w:r>
        <w:rPr>
          <w:sz w:val="24"/>
        </w:rPr>
        <w:t>7.</w:t>
      </w:r>
    </w:p>
    <w:p w14:paraId="6D829917" w14:textId="77777777" w:rsidR="001956FE" w:rsidRDefault="000151B4">
      <w:pPr>
        <w:pStyle w:val="Heading1"/>
        <w:ind w:left="3223"/>
        <w:jc w:val="left"/>
        <w:rPr>
          <w:u w:val="none"/>
        </w:rPr>
      </w:pPr>
      <w:r>
        <w:rPr>
          <w:u w:val="thick"/>
        </w:rPr>
        <w:t>FIRST CLAIM FOR RELIEF</w:t>
      </w:r>
    </w:p>
    <w:p w14:paraId="4637EFE1" w14:textId="77777777" w:rsidR="001956FE" w:rsidRDefault="000151B4">
      <w:pPr>
        <w:ind w:left="3271" w:right="3507"/>
        <w:jc w:val="center"/>
        <w:rPr>
          <w:b/>
          <w:sz w:val="24"/>
        </w:rPr>
      </w:pPr>
      <w:r>
        <w:rPr>
          <w:b/>
          <w:sz w:val="24"/>
        </w:rPr>
        <w:t>(Declaratory Judgment)</w:t>
      </w:r>
    </w:p>
    <w:p w14:paraId="6AFA7390" w14:textId="77777777" w:rsidR="001956FE" w:rsidRDefault="001956FE">
      <w:pPr>
        <w:pStyle w:val="BodyText"/>
        <w:spacing w:before="7"/>
        <w:ind w:left="0"/>
        <w:rPr>
          <w:b/>
          <w:sz w:val="23"/>
        </w:rPr>
      </w:pPr>
    </w:p>
    <w:p w14:paraId="25303993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348" w:firstLine="720"/>
        <w:jc w:val="both"/>
        <w:rPr>
          <w:sz w:val="24"/>
        </w:rPr>
      </w:pPr>
      <w:r>
        <w:rPr>
          <w:sz w:val="24"/>
        </w:rPr>
        <w:t>Plaintiff incorporates herein all allegations contained in paragraphs 1 through 7 in the preceding</w:t>
      </w:r>
      <w:r>
        <w:rPr>
          <w:spacing w:val="-4"/>
          <w:sz w:val="24"/>
        </w:rPr>
        <w:t xml:space="preserve"> </w:t>
      </w:r>
      <w:r>
        <w:rPr>
          <w:sz w:val="24"/>
        </w:rPr>
        <w:t>sections.</w:t>
      </w:r>
    </w:p>
    <w:p w14:paraId="461D835C" w14:textId="77777777" w:rsidR="001956FE" w:rsidRDefault="001956FE">
      <w:pPr>
        <w:spacing w:line="480" w:lineRule="auto"/>
        <w:jc w:val="both"/>
        <w:rPr>
          <w:sz w:val="24"/>
        </w:rPr>
        <w:sectPr w:rsidR="001956FE">
          <w:pgSz w:w="12240" w:h="15840"/>
          <w:pgMar w:top="1360" w:right="1100" w:bottom="1260" w:left="1340" w:header="0" w:footer="1066" w:gutter="0"/>
          <w:cols w:space="720"/>
        </w:sectPr>
      </w:pPr>
    </w:p>
    <w:p w14:paraId="75453AC8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74" w:line="48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Plaintiff seeks a declaratory order of the </w:t>
      </w:r>
      <w:r>
        <w:rPr>
          <w:sz w:val="24"/>
        </w:rPr>
        <w:t xml:space="preserve">Court pursuant to C.R.S. § 13-51-101, </w:t>
      </w:r>
      <w:r>
        <w:rPr>
          <w:i/>
          <w:sz w:val="24"/>
        </w:rPr>
        <w:t xml:space="preserve">et. seq., </w:t>
      </w:r>
      <w:r>
        <w:rPr>
          <w:sz w:val="24"/>
        </w:rPr>
        <w:t>and C.R.C.P.</w:t>
      </w:r>
      <w:r>
        <w:rPr>
          <w:spacing w:val="-1"/>
          <w:sz w:val="24"/>
        </w:rPr>
        <w:t xml:space="preserve"> </w:t>
      </w:r>
      <w:r>
        <w:rPr>
          <w:sz w:val="24"/>
        </w:rPr>
        <w:t>57.</w:t>
      </w:r>
    </w:p>
    <w:p w14:paraId="7BED0D1A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before="1" w:line="480" w:lineRule="auto"/>
        <w:ind w:right="337" w:firstLine="720"/>
        <w:jc w:val="both"/>
        <w:rPr>
          <w:sz w:val="24"/>
        </w:rPr>
      </w:pPr>
      <w:r>
        <w:rPr>
          <w:sz w:val="24"/>
        </w:rPr>
        <w:t>More specifically, Plaintiff seeks a declaratory order of the Court confirming the arbitration award referenced above and reducing this award to judgment pursuant to C.R.S. § 13- 22-222(1) an</w:t>
      </w:r>
      <w:r>
        <w:rPr>
          <w:sz w:val="24"/>
        </w:rPr>
        <w:t>d C.R.S. §</w:t>
      </w:r>
      <w:r>
        <w:rPr>
          <w:spacing w:val="-1"/>
          <w:sz w:val="24"/>
        </w:rPr>
        <w:t xml:space="preserve"> </w:t>
      </w:r>
      <w:r>
        <w:rPr>
          <w:sz w:val="24"/>
        </w:rPr>
        <w:t>13-22-225(1).</w:t>
      </w:r>
    </w:p>
    <w:p w14:paraId="501CA7CA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0" w:right="0"/>
        <w:rPr>
          <w:sz w:val="24"/>
        </w:rPr>
      </w:pPr>
      <w:r>
        <w:rPr>
          <w:sz w:val="24"/>
        </w:rPr>
        <w:t>Plaintiff is an interested party consistent with C.R.C.P.</w:t>
      </w:r>
      <w:r>
        <w:rPr>
          <w:spacing w:val="-5"/>
          <w:sz w:val="24"/>
        </w:rPr>
        <w:t xml:space="preserve"> </w:t>
      </w:r>
      <w:r>
        <w:rPr>
          <w:sz w:val="24"/>
        </w:rPr>
        <w:t>57(d).</w:t>
      </w:r>
    </w:p>
    <w:p w14:paraId="765DC845" w14:textId="77777777" w:rsidR="001956FE" w:rsidRDefault="001956FE">
      <w:pPr>
        <w:pStyle w:val="BodyText"/>
        <w:ind w:left="0"/>
      </w:pPr>
    </w:p>
    <w:p w14:paraId="06D901BF" w14:textId="77777777" w:rsidR="001956FE" w:rsidRDefault="000151B4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341" w:firstLine="720"/>
        <w:jc w:val="both"/>
        <w:rPr>
          <w:sz w:val="24"/>
        </w:rPr>
      </w:pPr>
      <w:r>
        <w:rPr>
          <w:sz w:val="24"/>
        </w:rPr>
        <w:t>Accordingly, Plaintiff prays for a declaratory judgment confirming the arbitration award and reducing it to</w:t>
      </w:r>
      <w:r>
        <w:rPr>
          <w:spacing w:val="-2"/>
          <w:sz w:val="24"/>
        </w:rPr>
        <w:t xml:space="preserve"> </w:t>
      </w:r>
      <w:r>
        <w:rPr>
          <w:sz w:val="24"/>
        </w:rPr>
        <w:t>judgment.</w:t>
      </w:r>
    </w:p>
    <w:p w14:paraId="4E24A778" w14:textId="77777777" w:rsidR="001956FE" w:rsidRDefault="000151B4">
      <w:pPr>
        <w:pStyle w:val="BodyText"/>
        <w:spacing w:line="480" w:lineRule="auto"/>
        <w:ind w:left="820" w:right="335"/>
      </w:pPr>
      <w:r>
        <w:t>WHEREFORE, Plaintiff prays for relief as is more particularly hereinafter set forth. WHEREFORE, on account of the matters set forth in the</w:t>
      </w:r>
      <w:r>
        <w:t xml:space="preserve"> First Claim </w:t>
      </w:r>
      <w:proofErr w:type="gramStart"/>
      <w:r>
        <w:t>For</w:t>
      </w:r>
      <w:proofErr w:type="gramEnd"/>
      <w:r>
        <w:t xml:space="preserve"> Relief,</w:t>
      </w:r>
      <w:r>
        <w:rPr>
          <w:spacing w:val="6"/>
        </w:rPr>
        <w:t xml:space="preserve"> </w:t>
      </w:r>
      <w:r>
        <w:t>Plaintiff,</w:t>
      </w:r>
    </w:p>
    <w:p w14:paraId="6F399170" w14:textId="77777777" w:rsidR="001956FE" w:rsidRDefault="000151B4">
      <w:pPr>
        <w:pStyle w:val="BodyText"/>
        <w:spacing w:before="1" w:line="480" w:lineRule="auto"/>
        <w:ind w:right="338"/>
        <w:jc w:val="both"/>
      </w:pPr>
      <w:r>
        <w:t xml:space="preserve">High Impact, Inc., seeks a declaratory judgment against Defendants Eldridge Suggs, IV., and Suggs Law Firm, P.C., pursuant to C.R.S. § 13-51-101, </w:t>
      </w:r>
      <w:r>
        <w:rPr>
          <w:i/>
        </w:rPr>
        <w:t xml:space="preserve">et. seq., </w:t>
      </w:r>
      <w:r>
        <w:t>and C.R.C.P. 57, confirming the arbitration award for a total of</w:t>
      </w:r>
      <w:r>
        <w:t xml:space="preserve"> $13,915.75 and reducing the award to judgment pursuant to</w:t>
      </w:r>
      <w:r>
        <w:rPr>
          <w:spacing w:val="-42"/>
        </w:rPr>
        <w:t xml:space="preserve"> </w:t>
      </w:r>
      <w:r>
        <w:t>C.R.S.</w:t>
      </w:r>
    </w:p>
    <w:p w14:paraId="0E8D76A4" w14:textId="77777777" w:rsidR="001956FE" w:rsidRDefault="000151B4">
      <w:pPr>
        <w:pStyle w:val="BodyText"/>
        <w:spacing w:line="480" w:lineRule="auto"/>
        <w:ind w:right="340"/>
        <w:jc w:val="both"/>
      </w:pPr>
      <w:r>
        <w:t>§ 13-22-222(1) and C.R.S. § 13-22-225(1), and for such other and further relief as to the Court may deem appropriate and just including all costs, attorneys’ fees and for such other and furt</w:t>
      </w:r>
      <w:r>
        <w:t>her relief as to the Court appears proper on the premises.</w:t>
      </w:r>
    </w:p>
    <w:p w14:paraId="640D3C48" w14:textId="77777777" w:rsidR="001956FE" w:rsidRDefault="000151B4">
      <w:pPr>
        <w:pStyle w:val="BodyText"/>
        <w:spacing w:line="276" w:lineRule="exact"/>
        <w:ind w:left="820"/>
      </w:pPr>
      <w:r>
        <w:t>Respectfully submitted this 22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t xml:space="preserve">day of </w:t>
      </w:r>
      <w:proofErr w:type="gramStart"/>
      <w:r>
        <w:t>August,</w:t>
      </w:r>
      <w:proofErr w:type="gramEnd"/>
      <w:r>
        <w:t xml:space="preserve"> 2018.</w:t>
      </w:r>
    </w:p>
    <w:p w14:paraId="6ACE73AA" w14:textId="77777777" w:rsidR="001956FE" w:rsidRDefault="001956FE">
      <w:pPr>
        <w:pStyle w:val="BodyText"/>
        <w:ind w:left="0"/>
      </w:pPr>
    </w:p>
    <w:p w14:paraId="0D3834FA" w14:textId="225E5650" w:rsidR="001956FE" w:rsidRDefault="000151B4">
      <w:pPr>
        <w:pStyle w:val="BodyText"/>
        <w:spacing w:line="275" w:lineRule="exact"/>
        <w:ind w:left="5141"/>
      </w:pPr>
      <w:r>
        <w:t>FIRM</w:t>
      </w:r>
    </w:p>
    <w:p w14:paraId="405503CE" w14:textId="79F77DE3" w:rsidR="001956FE" w:rsidRDefault="000151B4">
      <w:pPr>
        <w:spacing w:line="229" w:lineRule="exact"/>
        <w:ind w:left="5141"/>
        <w:rPr>
          <w:i/>
          <w:sz w:val="20"/>
        </w:rPr>
      </w:pPr>
      <w:r>
        <w:rPr>
          <w:i/>
          <w:sz w:val="20"/>
        </w:rPr>
        <w:t>s/ LAWYER</w:t>
      </w:r>
    </w:p>
    <w:p w14:paraId="187FDD64" w14:textId="77777777" w:rsidR="001956FE" w:rsidRDefault="000151B4">
      <w:pPr>
        <w:pStyle w:val="BodyText"/>
        <w:spacing w:before="8"/>
        <w:ind w:left="0"/>
        <w:rPr>
          <w:i/>
          <w:sz w:val="19"/>
        </w:rPr>
      </w:pPr>
      <w:r>
        <w:pict w14:anchorId="1F5CEF4C">
          <v:line id="_x0000_s1026" style="position:absolute;z-index:-251660288;mso-wrap-distance-left:0;mso-wrap-distance-right:0;mso-position-horizontal-relative:page" from="324.05pt,13.55pt" to="534.05pt,13.55pt" strokeweight=".48pt">
            <w10:wrap type="topAndBottom" anchorx="page"/>
          </v:line>
        </w:pict>
      </w:r>
    </w:p>
    <w:p w14:paraId="15EA06B3" w14:textId="26A55C49" w:rsidR="001956FE" w:rsidRDefault="000151B4">
      <w:pPr>
        <w:ind w:left="5141" w:right="1606"/>
        <w:rPr>
          <w:i/>
          <w:sz w:val="24"/>
        </w:rPr>
      </w:pPr>
      <w:r>
        <w:rPr>
          <w:i/>
          <w:sz w:val="24"/>
        </w:rPr>
        <w:t>Attorneys for Plaintiff</w:t>
      </w:r>
    </w:p>
    <w:p w14:paraId="4E0FC716" w14:textId="77777777" w:rsidR="001956FE" w:rsidRDefault="001956FE">
      <w:pPr>
        <w:pStyle w:val="BodyText"/>
        <w:spacing w:before="2"/>
        <w:ind w:left="0"/>
        <w:rPr>
          <w:i/>
          <w:sz w:val="16"/>
        </w:rPr>
      </w:pPr>
    </w:p>
    <w:p w14:paraId="4E556A76" w14:textId="77777777" w:rsidR="001956FE" w:rsidRDefault="000151B4">
      <w:pPr>
        <w:pStyle w:val="BodyText"/>
        <w:spacing w:before="90"/>
        <w:ind w:left="820"/>
      </w:pPr>
      <w:r>
        <w:rPr>
          <w:u w:val="single"/>
        </w:rPr>
        <w:t>Plaintiff’s Address</w:t>
      </w:r>
      <w:r>
        <w:t>:</w:t>
      </w:r>
    </w:p>
    <w:p w14:paraId="3DE2180B" w14:textId="77777777" w:rsidR="001956FE" w:rsidRDefault="001956FE">
      <w:pPr>
        <w:pStyle w:val="BodyText"/>
        <w:spacing w:before="2"/>
        <w:ind w:left="0"/>
        <w:rPr>
          <w:sz w:val="16"/>
        </w:rPr>
      </w:pPr>
      <w:bookmarkStart w:id="0" w:name="_GoBack"/>
      <w:bookmarkEnd w:id="0"/>
    </w:p>
    <w:sectPr w:rsidR="001956FE">
      <w:pgSz w:w="12240" w:h="15840"/>
      <w:pgMar w:top="1360" w:right="1100" w:bottom="1260" w:left="134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0BD4" w14:textId="77777777" w:rsidR="00000000" w:rsidRDefault="000151B4">
      <w:r>
        <w:separator/>
      </w:r>
    </w:p>
  </w:endnote>
  <w:endnote w:type="continuationSeparator" w:id="0">
    <w:p w14:paraId="65E0468E" w14:textId="77777777" w:rsidR="00000000" w:rsidRDefault="000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1D6E" w14:textId="77777777" w:rsidR="001956FE" w:rsidRDefault="000151B4">
    <w:pPr>
      <w:pStyle w:val="BodyText"/>
      <w:spacing w:line="14" w:lineRule="auto"/>
      <w:ind w:left="0"/>
      <w:rPr>
        <w:sz w:val="20"/>
      </w:rPr>
    </w:pPr>
    <w:r>
      <w:pict w14:anchorId="7CE8DCF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27.7pt;width:10pt;height:15.3pt;z-index:-251658752;mso-position-horizontal-relative:page;mso-position-vertical-relative:page" filled="f" stroked="f">
          <v:textbox inset="0,0,0,0">
            <w:txbxContent>
              <w:p w14:paraId="0C72110E" w14:textId="77777777" w:rsidR="001956FE" w:rsidRDefault="000151B4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EB22" w14:textId="77777777" w:rsidR="00000000" w:rsidRDefault="000151B4">
      <w:r>
        <w:separator/>
      </w:r>
    </w:p>
  </w:footnote>
  <w:footnote w:type="continuationSeparator" w:id="0">
    <w:p w14:paraId="4896609E" w14:textId="77777777" w:rsidR="00000000" w:rsidRDefault="0001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D49C6"/>
    <w:multiLevelType w:val="hybridMultilevel"/>
    <w:tmpl w:val="C9AC52B0"/>
    <w:lvl w:ilvl="0" w:tplc="924C1104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5844E0A">
      <w:numFmt w:val="bullet"/>
      <w:lvlText w:val="•"/>
      <w:lvlJc w:val="left"/>
      <w:pPr>
        <w:ind w:left="1070" w:hanging="720"/>
      </w:pPr>
      <w:rPr>
        <w:rFonts w:hint="default"/>
      </w:rPr>
    </w:lvl>
    <w:lvl w:ilvl="2" w:tplc="5880A28A"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0D9A26E6">
      <w:numFmt w:val="bullet"/>
      <w:lvlText w:val="•"/>
      <w:lvlJc w:val="left"/>
      <w:pPr>
        <w:ind w:left="3010" w:hanging="720"/>
      </w:pPr>
      <w:rPr>
        <w:rFonts w:hint="default"/>
      </w:rPr>
    </w:lvl>
    <w:lvl w:ilvl="4" w:tplc="B8A2AD10"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DD6AE6D8">
      <w:numFmt w:val="bullet"/>
      <w:lvlText w:val="•"/>
      <w:lvlJc w:val="left"/>
      <w:pPr>
        <w:ind w:left="4950" w:hanging="720"/>
      </w:pPr>
      <w:rPr>
        <w:rFonts w:hint="default"/>
      </w:rPr>
    </w:lvl>
    <w:lvl w:ilvl="6" w:tplc="9B92A0FA"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5AE7AF6">
      <w:numFmt w:val="bullet"/>
      <w:lvlText w:val="•"/>
      <w:lvlJc w:val="left"/>
      <w:pPr>
        <w:ind w:left="6890" w:hanging="720"/>
      </w:pPr>
      <w:rPr>
        <w:rFonts w:hint="default"/>
      </w:rPr>
    </w:lvl>
    <w:lvl w:ilvl="8" w:tplc="A25C2ABC">
      <w:numFmt w:val="bullet"/>
      <w:lvlText w:val="•"/>
      <w:lvlJc w:val="left"/>
      <w:pPr>
        <w:ind w:left="78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6FE"/>
    <w:rsid w:val="000151B4"/>
    <w:rsid w:val="001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42831D"/>
  <w15:docId w15:val="{C28F734E-617B-449C-9DE9-0C6D2F1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327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338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Martinez</cp:lastModifiedBy>
  <cp:revision>2</cp:revision>
  <dcterms:created xsi:type="dcterms:W3CDTF">2019-04-02T16:33:00Z</dcterms:created>
  <dcterms:modified xsi:type="dcterms:W3CDTF">2019-04-02T17:03:00Z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2019-04-02T00:00:00Z</vt:filetime>
  </property>
</Properties>
</file>