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6376" w14:textId="77777777" w:rsidR="00982B63" w:rsidRDefault="00982B63">
      <w:pPr>
        <w:pStyle w:val="BodyText"/>
        <w:rPr>
          <w:sz w:val="20"/>
        </w:rPr>
      </w:pPr>
    </w:p>
    <w:p w14:paraId="747EA0E6" w14:textId="77777777" w:rsidR="00982B63" w:rsidRDefault="00982B63">
      <w:pPr>
        <w:pStyle w:val="BodyText"/>
        <w:rPr>
          <w:sz w:val="20"/>
        </w:rPr>
      </w:pPr>
    </w:p>
    <w:p w14:paraId="38EF7B49" w14:textId="77777777" w:rsidR="00982B63" w:rsidRDefault="00982B63">
      <w:pPr>
        <w:pStyle w:val="BodyText"/>
        <w:spacing w:before="4" w:after="1"/>
        <w:rPr>
          <w:sz w:val="17"/>
        </w:rPr>
      </w:pPr>
    </w:p>
    <w:tbl>
      <w:tblPr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1"/>
        <w:gridCol w:w="3421"/>
      </w:tblGrid>
      <w:tr w:rsidR="00982B63" w14:paraId="7D4F7286" w14:textId="77777777">
        <w:trPr>
          <w:trHeight w:val="350"/>
        </w:trPr>
        <w:tc>
          <w:tcPr>
            <w:tcW w:w="6061" w:type="dxa"/>
            <w:tcBorders>
              <w:bottom w:val="nil"/>
            </w:tcBorders>
          </w:tcPr>
          <w:p w14:paraId="5659705E" w14:textId="77777777" w:rsidR="00982B63" w:rsidRDefault="00D52249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pacing w:val="1"/>
                <w:w w:val="99"/>
                <w:sz w:val="24"/>
              </w:rPr>
              <w:t>D</w:t>
            </w:r>
            <w:r>
              <w:rPr>
                <w:spacing w:val="-6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T</w:t>
            </w:r>
            <w:r>
              <w:rPr>
                <w:spacing w:val="2"/>
                <w:sz w:val="24"/>
              </w:rPr>
              <w:t>R</w:t>
            </w:r>
            <w:r>
              <w:rPr>
                <w:spacing w:val="-4"/>
                <w:sz w:val="24"/>
              </w:rPr>
              <w:t>I</w:t>
            </w:r>
            <w:r>
              <w:rPr>
                <w:sz w:val="24"/>
              </w:rPr>
              <w:t>CT C</w:t>
            </w:r>
            <w:r>
              <w:rPr>
                <w:w w:val="99"/>
                <w:sz w:val="24"/>
              </w:rPr>
              <w:t>O</w:t>
            </w:r>
            <w:r>
              <w:rPr>
                <w:spacing w:val="-1"/>
                <w:w w:val="99"/>
                <w:sz w:val="24"/>
              </w:rPr>
              <w:t>U</w:t>
            </w:r>
            <w:r>
              <w:rPr>
                <w:sz w:val="24"/>
              </w:rPr>
              <w:t xml:space="preserve">RT, </w:t>
            </w:r>
            <w:r>
              <w:rPr>
                <w:w w:val="99"/>
                <w:sz w:val="24"/>
              </w:rPr>
              <w:t>A</w:t>
            </w:r>
            <w:r>
              <w:rPr>
                <w:spacing w:val="1"/>
                <w:w w:val="99"/>
                <w:sz w:val="24"/>
              </w:rPr>
              <w:t>D</w:t>
            </w:r>
            <w:r>
              <w:rPr>
                <w:w w:val="99"/>
                <w:sz w:val="24"/>
              </w:rPr>
              <w:t>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w w:val="99"/>
                <w:sz w:val="24"/>
              </w:rPr>
              <w:t>O</w:t>
            </w:r>
            <w:r>
              <w:rPr>
                <w:spacing w:val="-1"/>
                <w:w w:val="99"/>
                <w:sz w:val="24"/>
              </w:rPr>
              <w:t>U</w:t>
            </w:r>
            <w:r>
              <w:rPr>
                <w:w w:val="99"/>
                <w:sz w:val="24"/>
              </w:rPr>
              <w:t>N</w:t>
            </w:r>
            <w:r>
              <w:rPr>
                <w:spacing w:val="-1"/>
                <w:w w:val="99"/>
                <w:sz w:val="24"/>
              </w:rPr>
              <w:t>T</w:t>
            </w:r>
            <w:r>
              <w:rPr>
                <w:w w:val="99"/>
                <w:sz w:val="24"/>
              </w:rPr>
              <w:t>Y,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C</w:t>
            </w:r>
            <w:r>
              <w:rPr>
                <w:spacing w:val="1"/>
                <w:w w:val="99"/>
                <w:sz w:val="24"/>
              </w:rPr>
              <w:t>O</w:t>
            </w:r>
            <w:r>
              <w:rPr>
                <w:spacing w:val="-3"/>
                <w:sz w:val="24"/>
              </w:rPr>
              <w:t>L</w:t>
            </w:r>
            <w:r>
              <w:rPr>
                <w:spacing w:val="1"/>
                <w:w w:val="99"/>
                <w:sz w:val="24"/>
              </w:rPr>
              <w:t>O</w:t>
            </w:r>
            <w:r>
              <w:rPr>
                <w:sz w:val="24"/>
              </w:rPr>
              <w:t>R</w:t>
            </w:r>
            <w:r>
              <w:rPr>
                <w:w w:val="99"/>
                <w:sz w:val="24"/>
              </w:rPr>
              <w:t>A</w:t>
            </w:r>
            <w:r>
              <w:rPr>
                <w:spacing w:val="-1"/>
                <w:w w:val="99"/>
                <w:sz w:val="24"/>
              </w:rPr>
              <w:t>D</w:t>
            </w:r>
            <w:r>
              <w:rPr>
                <w:spacing w:val="-143"/>
                <w:w w:val="99"/>
                <w:sz w:val="24"/>
              </w:rPr>
              <w:t>O</w:t>
            </w:r>
            <w:r>
              <w:rPr>
                <w:color w:val="0000FF"/>
                <w:spacing w:val="2"/>
                <w:position w:val="13"/>
                <w:sz w:val="20"/>
              </w:rPr>
              <w:t>DATE</w:t>
            </w:r>
          </w:p>
          <w:p w14:paraId="40389F9D" w14:textId="77777777" w:rsidR="00982B63" w:rsidRDefault="00D52249">
            <w:pPr>
              <w:pStyle w:val="TableParagraph"/>
              <w:spacing w:line="131" w:lineRule="exact"/>
              <w:ind w:left="0" w:right="-44"/>
              <w:jc w:val="right"/>
              <w:rPr>
                <w:sz w:val="20"/>
              </w:rPr>
            </w:pPr>
            <w:r>
              <w:rPr>
                <w:color w:val="0000FF"/>
                <w:sz w:val="20"/>
              </w:rPr>
              <w:t>FILING</w:t>
            </w:r>
          </w:p>
        </w:tc>
        <w:tc>
          <w:tcPr>
            <w:tcW w:w="3421" w:type="dxa"/>
            <w:tcBorders>
              <w:bottom w:val="nil"/>
            </w:tcBorders>
          </w:tcPr>
          <w:p w14:paraId="57501F3A" w14:textId="77777777" w:rsidR="00982B63" w:rsidRDefault="00D52249">
            <w:pPr>
              <w:pStyle w:val="TableParagraph"/>
              <w:spacing w:line="130" w:lineRule="exact"/>
              <w:ind w:left="-26"/>
              <w:rPr>
                <w:sz w:val="20"/>
              </w:rPr>
            </w:pPr>
            <w:r>
              <w:rPr>
                <w:color w:val="0000FF"/>
                <w:sz w:val="20"/>
              </w:rPr>
              <w:t>FILED: February 4, 2019 3:41 PM</w:t>
            </w:r>
          </w:p>
          <w:p w14:paraId="37CAE211" w14:textId="77777777" w:rsidR="00982B63" w:rsidRDefault="00D5224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color w:val="0000FF"/>
                <w:sz w:val="20"/>
              </w:rPr>
              <w:t>ID: B15A8A72B06B5</w:t>
            </w:r>
          </w:p>
        </w:tc>
      </w:tr>
      <w:tr w:rsidR="00982B63" w14:paraId="466736FF" w14:textId="77777777">
        <w:trPr>
          <w:trHeight w:val="216"/>
        </w:trPr>
        <w:tc>
          <w:tcPr>
            <w:tcW w:w="6061" w:type="dxa"/>
            <w:tcBorders>
              <w:top w:val="nil"/>
              <w:bottom w:val="nil"/>
            </w:tcBorders>
          </w:tcPr>
          <w:p w14:paraId="6BE98267" w14:textId="77777777" w:rsidR="00982B63" w:rsidRDefault="00D52249">
            <w:pPr>
              <w:pStyle w:val="TableParagraph"/>
              <w:spacing w:line="197" w:lineRule="exact"/>
              <w:ind w:left="0" w:right="111"/>
              <w:jc w:val="right"/>
              <w:rPr>
                <w:sz w:val="20"/>
              </w:rPr>
            </w:pPr>
            <w:r>
              <w:rPr>
                <w:color w:val="0000FF"/>
                <w:sz w:val="20"/>
              </w:rPr>
              <w:t>CASE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783C8FD8" w14:textId="77777777" w:rsidR="00982B63" w:rsidRDefault="00D52249">
            <w:pPr>
              <w:pStyle w:val="TableParagraph"/>
              <w:spacing w:line="197" w:lineRule="exact"/>
              <w:ind w:left="98"/>
              <w:rPr>
                <w:sz w:val="20"/>
              </w:rPr>
            </w:pPr>
            <w:r>
              <w:rPr>
                <w:color w:val="0000FF"/>
                <w:sz w:val="20"/>
              </w:rPr>
              <w:t>UMBER: 2018CV30347</w:t>
            </w:r>
          </w:p>
        </w:tc>
      </w:tr>
      <w:tr w:rsidR="00982B63" w14:paraId="26EB15AB" w14:textId="77777777">
        <w:trPr>
          <w:trHeight w:val="264"/>
        </w:trPr>
        <w:tc>
          <w:tcPr>
            <w:tcW w:w="6061" w:type="dxa"/>
            <w:tcBorders>
              <w:top w:val="nil"/>
              <w:bottom w:val="nil"/>
            </w:tcBorders>
          </w:tcPr>
          <w:p w14:paraId="00B5B346" w14:textId="77777777" w:rsidR="00982B63" w:rsidRDefault="00D52249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1100 Judicial Center Drive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55AB47B7" w14:textId="77777777" w:rsidR="00982B63" w:rsidRDefault="00982B63">
            <w:pPr>
              <w:pStyle w:val="TableParagraph"/>
              <w:ind w:left="0"/>
              <w:rPr>
                <w:sz w:val="18"/>
              </w:rPr>
            </w:pPr>
          </w:p>
        </w:tc>
      </w:tr>
      <w:tr w:rsidR="00982B63" w14:paraId="0442173D" w14:textId="77777777">
        <w:trPr>
          <w:trHeight w:val="329"/>
        </w:trPr>
        <w:tc>
          <w:tcPr>
            <w:tcW w:w="6061" w:type="dxa"/>
            <w:tcBorders>
              <w:top w:val="nil"/>
            </w:tcBorders>
          </w:tcPr>
          <w:p w14:paraId="23AB0C6D" w14:textId="77777777" w:rsidR="00982B63" w:rsidRDefault="00D5224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Brighton, Colorado 80601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74087A20" w14:textId="77777777" w:rsidR="00982B63" w:rsidRDefault="00982B63">
            <w:pPr>
              <w:pStyle w:val="TableParagraph"/>
              <w:ind w:left="0"/>
            </w:pPr>
          </w:p>
        </w:tc>
      </w:tr>
      <w:tr w:rsidR="00982B63" w14:paraId="74D6FC52" w14:textId="77777777">
        <w:trPr>
          <w:trHeight w:val="556"/>
        </w:trPr>
        <w:tc>
          <w:tcPr>
            <w:tcW w:w="6061" w:type="dxa"/>
            <w:tcBorders>
              <w:bottom w:val="nil"/>
            </w:tcBorders>
          </w:tcPr>
          <w:p w14:paraId="76822B24" w14:textId="77777777" w:rsidR="00982B63" w:rsidRDefault="00982B6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ABDF5D1" w14:textId="1B2AB90B" w:rsidR="00982B63" w:rsidRDefault="00D522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Plaintiff: 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648C48F0" w14:textId="77777777" w:rsidR="00982B63" w:rsidRDefault="00982B63">
            <w:pPr>
              <w:pStyle w:val="TableParagraph"/>
              <w:ind w:left="0"/>
            </w:pPr>
          </w:p>
        </w:tc>
      </w:tr>
      <w:tr w:rsidR="00982B63" w14:paraId="36D6197A" w14:textId="77777777">
        <w:trPr>
          <w:trHeight w:val="275"/>
        </w:trPr>
        <w:tc>
          <w:tcPr>
            <w:tcW w:w="6061" w:type="dxa"/>
            <w:tcBorders>
              <w:top w:val="nil"/>
              <w:bottom w:val="nil"/>
            </w:tcBorders>
          </w:tcPr>
          <w:p w14:paraId="769ACD85" w14:textId="39F3D2F0" w:rsidR="00982B63" w:rsidRDefault="00982B6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2BCB71B6" w14:textId="77777777" w:rsidR="00982B63" w:rsidRDefault="00982B63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B63" w14:paraId="670AD9C7" w14:textId="77777777">
        <w:trPr>
          <w:trHeight w:val="552"/>
        </w:trPr>
        <w:tc>
          <w:tcPr>
            <w:tcW w:w="6061" w:type="dxa"/>
            <w:tcBorders>
              <w:top w:val="nil"/>
              <w:bottom w:val="nil"/>
            </w:tcBorders>
          </w:tcPr>
          <w:p w14:paraId="57762EAA" w14:textId="59F002C0" w:rsidR="00982B63" w:rsidRDefault="00982B63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14:paraId="6BE90FAA" w14:textId="77777777" w:rsidR="00982B63" w:rsidRDefault="00D52249">
            <w:pPr>
              <w:pStyle w:val="TableParagraph"/>
              <w:spacing w:before="203"/>
              <w:ind w:left="338"/>
              <w:rPr>
                <w:b/>
                <w:sz w:val="24"/>
              </w:rPr>
            </w:pPr>
            <w:r>
              <w:rPr>
                <w:sz w:val="24"/>
              </w:rPr>
              <w:t xml:space="preserve">▲ </w:t>
            </w:r>
            <w:r>
              <w:rPr>
                <w:b/>
                <w:sz w:val="24"/>
              </w:rPr>
              <w:t>COURT USE ONLY ▲</w:t>
            </w:r>
          </w:p>
        </w:tc>
      </w:tr>
      <w:tr w:rsidR="00982B63" w14:paraId="6E0FEC11" w14:textId="77777777">
        <w:trPr>
          <w:trHeight w:val="687"/>
        </w:trPr>
        <w:tc>
          <w:tcPr>
            <w:tcW w:w="6061" w:type="dxa"/>
            <w:tcBorders>
              <w:top w:val="nil"/>
              <w:bottom w:val="nil"/>
            </w:tcBorders>
          </w:tcPr>
          <w:p w14:paraId="26518C39" w14:textId="77777777" w:rsidR="00982B63" w:rsidRDefault="00982B63">
            <w:pPr>
              <w:pStyle w:val="TableParagraph"/>
              <w:spacing w:before="8"/>
              <w:ind w:left="0"/>
            </w:pPr>
          </w:p>
          <w:p w14:paraId="217D33E3" w14:textId="77777777" w:rsidR="00982B63" w:rsidRDefault="00D522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3421" w:type="dxa"/>
            <w:tcBorders>
              <w:bottom w:val="nil"/>
            </w:tcBorders>
          </w:tcPr>
          <w:p w14:paraId="5B3C4263" w14:textId="77777777" w:rsidR="00982B63" w:rsidRDefault="00982B6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1CBAF46" w14:textId="77777777" w:rsidR="00982B63" w:rsidRDefault="00D52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Case No: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18CV030347</w:t>
            </w:r>
          </w:p>
        </w:tc>
      </w:tr>
      <w:tr w:rsidR="00982B63" w14:paraId="0D8EFBA2" w14:textId="77777777">
        <w:trPr>
          <w:trHeight w:val="682"/>
        </w:trPr>
        <w:tc>
          <w:tcPr>
            <w:tcW w:w="6061" w:type="dxa"/>
            <w:tcBorders>
              <w:top w:val="nil"/>
              <w:bottom w:val="nil"/>
            </w:tcBorders>
          </w:tcPr>
          <w:p w14:paraId="73E027A2" w14:textId="78D370CC" w:rsidR="00982B63" w:rsidRDefault="00D52249">
            <w:pPr>
              <w:pStyle w:val="TableParagraph"/>
              <w:spacing w:before="125" w:line="270" w:lineRule="atLeast"/>
              <w:ind w:right="397"/>
              <w:rPr>
                <w:sz w:val="24"/>
              </w:rPr>
            </w:pPr>
            <w:r>
              <w:rPr>
                <w:b/>
                <w:sz w:val="24"/>
              </w:rPr>
              <w:t xml:space="preserve">Defendants: 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795D5B92" w14:textId="77777777" w:rsidR="00982B63" w:rsidRDefault="00D52249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Division:</w:t>
            </w:r>
          </w:p>
        </w:tc>
      </w:tr>
      <w:tr w:rsidR="00982B63" w14:paraId="14586586" w14:textId="77777777">
        <w:trPr>
          <w:trHeight w:val="547"/>
        </w:trPr>
        <w:tc>
          <w:tcPr>
            <w:tcW w:w="6061" w:type="dxa"/>
            <w:tcBorders>
              <w:top w:val="nil"/>
            </w:tcBorders>
          </w:tcPr>
          <w:p w14:paraId="4158389D" w14:textId="51099CDB" w:rsidR="00982B63" w:rsidRDefault="00982B63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7080B2CD" w14:textId="77777777" w:rsidR="00982B63" w:rsidRDefault="00982B63">
            <w:pPr>
              <w:pStyle w:val="TableParagraph"/>
              <w:ind w:left="0"/>
            </w:pPr>
          </w:p>
        </w:tc>
      </w:tr>
      <w:tr w:rsidR="00982B63" w14:paraId="252FA294" w14:textId="77777777">
        <w:trPr>
          <w:trHeight w:val="280"/>
        </w:trPr>
        <w:tc>
          <w:tcPr>
            <w:tcW w:w="6061" w:type="dxa"/>
            <w:tcBorders>
              <w:bottom w:val="nil"/>
            </w:tcBorders>
          </w:tcPr>
          <w:p w14:paraId="1E3B93AF" w14:textId="77777777" w:rsidR="00982B63" w:rsidRDefault="00D52249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Attorneys for Defendants: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6E9D576B" w14:textId="77777777" w:rsidR="00982B63" w:rsidRDefault="00982B63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B63" w14:paraId="14436DCF" w14:textId="77777777">
        <w:trPr>
          <w:trHeight w:val="275"/>
        </w:trPr>
        <w:tc>
          <w:tcPr>
            <w:tcW w:w="6061" w:type="dxa"/>
            <w:tcBorders>
              <w:top w:val="nil"/>
              <w:bottom w:val="nil"/>
            </w:tcBorders>
          </w:tcPr>
          <w:p w14:paraId="2F7CC13D" w14:textId="629B29E2" w:rsidR="00982B63" w:rsidRDefault="00982B6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600E00D9" w14:textId="77777777" w:rsidR="00982B63" w:rsidRDefault="00982B63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B63" w14:paraId="0F6FBDFF" w14:textId="77777777">
        <w:trPr>
          <w:trHeight w:val="276"/>
        </w:trPr>
        <w:tc>
          <w:tcPr>
            <w:tcW w:w="6061" w:type="dxa"/>
            <w:tcBorders>
              <w:top w:val="nil"/>
              <w:bottom w:val="nil"/>
            </w:tcBorders>
          </w:tcPr>
          <w:p w14:paraId="79D86407" w14:textId="75A2B2F7" w:rsidR="00982B63" w:rsidRDefault="00982B6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7D826BD5" w14:textId="77777777" w:rsidR="00982B63" w:rsidRDefault="00982B63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B63" w14:paraId="32A16056" w14:textId="77777777">
        <w:trPr>
          <w:trHeight w:val="275"/>
        </w:trPr>
        <w:tc>
          <w:tcPr>
            <w:tcW w:w="6061" w:type="dxa"/>
            <w:tcBorders>
              <w:top w:val="nil"/>
              <w:bottom w:val="nil"/>
            </w:tcBorders>
          </w:tcPr>
          <w:p w14:paraId="4CD89D9A" w14:textId="7DB8B533" w:rsidR="00982B63" w:rsidRDefault="00982B63" w:rsidP="00D52249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2D22FF1A" w14:textId="77777777" w:rsidR="00982B63" w:rsidRDefault="00982B63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B63" w14:paraId="008809D5" w14:textId="77777777">
        <w:trPr>
          <w:trHeight w:val="275"/>
        </w:trPr>
        <w:tc>
          <w:tcPr>
            <w:tcW w:w="6061" w:type="dxa"/>
            <w:tcBorders>
              <w:top w:val="nil"/>
              <w:bottom w:val="nil"/>
            </w:tcBorders>
          </w:tcPr>
          <w:p w14:paraId="73F99F8D" w14:textId="59D2004A" w:rsidR="00982B63" w:rsidRDefault="00D522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ADDRESSES 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4A6ADC08" w14:textId="77777777" w:rsidR="00982B63" w:rsidRDefault="00982B63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B63" w14:paraId="7C8EC92C" w14:textId="77777777">
        <w:trPr>
          <w:trHeight w:val="276"/>
        </w:trPr>
        <w:tc>
          <w:tcPr>
            <w:tcW w:w="6061" w:type="dxa"/>
            <w:tcBorders>
              <w:top w:val="nil"/>
              <w:bottom w:val="nil"/>
            </w:tcBorders>
          </w:tcPr>
          <w:p w14:paraId="7DEDEB92" w14:textId="1D3DAFFF" w:rsidR="00982B63" w:rsidRDefault="00982B6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2B732CEA" w14:textId="77777777" w:rsidR="00982B63" w:rsidRDefault="00982B63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B63" w14:paraId="4025F549" w14:textId="77777777">
        <w:trPr>
          <w:trHeight w:val="276"/>
        </w:trPr>
        <w:tc>
          <w:tcPr>
            <w:tcW w:w="6061" w:type="dxa"/>
            <w:tcBorders>
              <w:top w:val="nil"/>
              <w:bottom w:val="nil"/>
            </w:tcBorders>
          </w:tcPr>
          <w:p w14:paraId="0CC897B8" w14:textId="52B855CD" w:rsidR="00982B63" w:rsidRDefault="00D522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59"/>
                <w:sz w:val="24"/>
              </w:rPr>
              <w:t xml:space="preserve"> 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14:paraId="648227D7" w14:textId="77777777" w:rsidR="00982B63" w:rsidRDefault="00982B63">
            <w:pPr>
              <w:pStyle w:val="TableParagraph"/>
              <w:ind w:left="0"/>
              <w:rPr>
                <w:sz w:val="20"/>
              </w:rPr>
            </w:pPr>
          </w:p>
          <w:p w14:paraId="067135B4" w14:textId="04C068D3" w:rsidR="00D52249" w:rsidRDefault="00D52249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B63" w14:paraId="753D5502" w14:textId="77777777">
        <w:trPr>
          <w:trHeight w:val="271"/>
        </w:trPr>
        <w:tc>
          <w:tcPr>
            <w:tcW w:w="6061" w:type="dxa"/>
            <w:tcBorders>
              <w:top w:val="nil"/>
            </w:tcBorders>
          </w:tcPr>
          <w:p w14:paraId="0B3FC285" w14:textId="31113A57" w:rsidR="00982B63" w:rsidRDefault="00D5224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  <w:tc>
          <w:tcPr>
            <w:tcW w:w="3421" w:type="dxa"/>
            <w:tcBorders>
              <w:top w:val="nil"/>
            </w:tcBorders>
          </w:tcPr>
          <w:p w14:paraId="2816295B" w14:textId="77777777" w:rsidR="00982B63" w:rsidRDefault="00982B63">
            <w:pPr>
              <w:pStyle w:val="TableParagraph"/>
              <w:ind w:left="0"/>
              <w:rPr>
                <w:sz w:val="20"/>
              </w:rPr>
            </w:pPr>
          </w:p>
        </w:tc>
      </w:tr>
      <w:tr w:rsidR="00982B63" w14:paraId="562DB1F5" w14:textId="77777777">
        <w:trPr>
          <w:trHeight w:val="1103"/>
        </w:trPr>
        <w:tc>
          <w:tcPr>
            <w:tcW w:w="9482" w:type="dxa"/>
            <w:gridSpan w:val="2"/>
          </w:tcPr>
          <w:p w14:paraId="4CF31C78" w14:textId="77777777" w:rsidR="00982B63" w:rsidRDefault="00982B6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598136B" w14:textId="77777777" w:rsidR="00982B63" w:rsidRDefault="00D52249">
            <w:pPr>
              <w:pStyle w:val="TableParagraph"/>
              <w:ind w:left="1617" w:right="1120" w:hanging="473"/>
              <w:rPr>
                <w:b/>
                <w:sz w:val="24"/>
              </w:rPr>
            </w:pPr>
            <w:r>
              <w:rPr>
                <w:b/>
                <w:sz w:val="24"/>
              </w:rPr>
              <w:t>DEFENDANTS’ MOTION IN LIMINE RE SPECULATION ABOUT CONDITION OF THE STAIRS PURSUANT TO C.R.E. 602</w:t>
            </w:r>
          </w:p>
        </w:tc>
      </w:tr>
    </w:tbl>
    <w:p w14:paraId="3210E5C9" w14:textId="77777777" w:rsidR="00982B63" w:rsidRDefault="00982B63">
      <w:pPr>
        <w:pStyle w:val="BodyText"/>
        <w:spacing w:before="1"/>
        <w:rPr>
          <w:sz w:val="16"/>
        </w:rPr>
      </w:pPr>
    </w:p>
    <w:p w14:paraId="4D4C2B6E" w14:textId="77777777" w:rsidR="00982B63" w:rsidRDefault="00D52249">
      <w:pPr>
        <w:pStyle w:val="BodyText"/>
        <w:spacing w:before="90" w:line="480" w:lineRule="auto"/>
        <w:ind w:left="100" w:right="416" w:firstLine="631"/>
        <w:jc w:val="both"/>
      </w:pPr>
      <w:r>
        <w:t xml:space="preserve">Defendants FPA5 Washington Park, LLC a/k/a The Oslo Apartments and Trinity Property Consultants, LLC, by and through their attorneys of record, </w:t>
      </w:r>
      <w:proofErr w:type="spellStart"/>
      <w:r>
        <w:t>Jachimiak</w:t>
      </w:r>
      <w:proofErr w:type="spellEnd"/>
      <w:r>
        <w:t xml:space="preserve"> Peterson, LLC, in support of their Motion state as follows:</w:t>
      </w:r>
    </w:p>
    <w:p w14:paraId="7E2B0BE0" w14:textId="77777777" w:rsidR="00982B63" w:rsidRDefault="00D52249">
      <w:pPr>
        <w:pStyle w:val="ListParagraph"/>
        <w:numPr>
          <w:ilvl w:val="0"/>
          <w:numId w:val="1"/>
        </w:numPr>
        <w:tabs>
          <w:tab w:val="left" w:pos="1541"/>
        </w:tabs>
        <w:spacing w:before="1" w:line="480" w:lineRule="auto"/>
        <w:ind w:right="415" w:firstLine="720"/>
        <w:jc w:val="both"/>
        <w:rPr>
          <w:sz w:val="24"/>
        </w:rPr>
      </w:pPr>
      <w:r>
        <w:rPr>
          <w:sz w:val="24"/>
        </w:rPr>
        <w:t xml:space="preserve">This matter arises out of a fall suffered </w:t>
      </w:r>
      <w:r>
        <w:rPr>
          <w:sz w:val="24"/>
        </w:rPr>
        <w:t>by the decedent, Edward Makowski, on February 2, 2017 at The Oslo Apartments located at 11501 North Washington Street in Northglenn,</w:t>
      </w:r>
      <w:r>
        <w:rPr>
          <w:spacing w:val="-13"/>
          <w:sz w:val="24"/>
        </w:rPr>
        <w:t xml:space="preserve"> </w:t>
      </w:r>
      <w:r>
        <w:rPr>
          <w:sz w:val="24"/>
        </w:rPr>
        <w:t>Colorado.</w:t>
      </w:r>
      <w:r>
        <w:rPr>
          <w:spacing w:val="-10"/>
          <w:sz w:val="24"/>
        </w:rPr>
        <w:t xml:space="preserve"> </w:t>
      </w:r>
      <w:r>
        <w:rPr>
          <w:sz w:val="24"/>
        </w:rPr>
        <w:t>Plaintiff</w:t>
      </w:r>
      <w:r>
        <w:rPr>
          <w:spacing w:val="-15"/>
          <w:sz w:val="24"/>
        </w:rPr>
        <w:t xml:space="preserve"> </w:t>
      </w:r>
      <w:r>
        <w:rPr>
          <w:sz w:val="24"/>
        </w:rPr>
        <w:t>raises</w:t>
      </w:r>
      <w:r>
        <w:rPr>
          <w:spacing w:val="-12"/>
          <w:sz w:val="24"/>
        </w:rPr>
        <w:t xml:space="preserve"> </w:t>
      </w:r>
      <w:r>
        <w:rPr>
          <w:sz w:val="24"/>
        </w:rPr>
        <w:t>only</w:t>
      </w:r>
      <w:r>
        <w:rPr>
          <w:spacing w:val="-18"/>
          <w:sz w:val="24"/>
        </w:rPr>
        <w:t xml:space="preserve"> </w:t>
      </w:r>
      <w:r>
        <w:rPr>
          <w:sz w:val="24"/>
        </w:rPr>
        <w:t>one</w:t>
      </w:r>
      <w:r>
        <w:rPr>
          <w:spacing w:val="-13"/>
          <w:sz w:val="24"/>
        </w:rPr>
        <w:t xml:space="preserve"> </w:t>
      </w:r>
      <w:r>
        <w:rPr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action</w:t>
      </w:r>
      <w:r>
        <w:rPr>
          <w:spacing w:val="-10"/>
          <w:sz w:val="24"/>
        </w:rPr>
        <w:t xml:space="preserve"> </w:t>
      </w:r>
      <w:r>
        <w:rPr>
          <w:sz w:val="24"/>
        </w:rPr>
        <w:t>against</w:t>
      </w:r>
      <w:r>
        <w:rPr>
          <w:spacing w:val="-13"/>
          <w:sz w:val="24"/>
        </w:rPr>
        <w:t xml:space="preserve"> </w:t>
      </w:r>
      <w:r>
        <w:rPr>
          <w:sz w:val="24"/>
        </w:rPr>
        <w:t>Defendants:</w:t>
      </w:r>
      <w:r>
        <w:rPr>
          <w:spacing w:val="-12"/>
          <w:sz w:val="24"/>
        </w:rPr>
        <w:t xml:space="preserve"> </w:t>
      </w:r>
      <w:r>
        <w:rPr>
          <w:sz w:val="24"/>
        </w:rPr>
        <w:t>wrongful</w:t>
      </w:r>
      <w:r>
        <w:rPr>
          <w:spacing w:val="-14"/>
          <w:sz w:val="24"/>
        </w:rPr>
        <w:t xml:space="preserve"> </w:t>
      </w:r>
      <w:r>
        <w:rPr>
          <w:sz w:val="24"/>
        </w:rPr>
        <w:t>death grounded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Colorado</w:t>
      </w:r>
      <w:r>
        <w:rPr>
          <w:spacing w:val="-6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Li</w:t>
      </w:r>
      <w:r>
        <w:rPr>
          <w:sz w:val="24"/>
        </w:rPr>
        <w:t>ability</w:t>
      </w:r>
      <w:r>
        <w:rPr>
          <w:spacing w:val="-9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(“PLA”).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7"/>
          <w:sz w:val="24"/>
        </w:rPr>
        <w:t xml:space="preserve"> </w:t>
      </w:r>
      <w:r>
        <w:rPr>
          <w:sz w:val="24"/>
        </w:rPr>
        <w:t>Amended</w:t>
      </w:r>
      <w:r>
        <w:rPr>
          <w:spacing w:val="-7"/>
          <w:sz w:val="24"/>
        </w:rPr>
        <w:t xml:space="preserve"> </w:t>
      </w:r>
      <w:r>
        <w:rPr>
          <w:sz w:val="24"/>
        </w:rPr>
        <w:t>Complaint</w:t>
      </w:r>
      <w:r>
        <w:rPr>
          <w:spacing w:val="-7"/>
          <w:sz w:val="24"/>
        </w:rPr>
        <w:t xml:space="preserve"> </w:t>
      </w:r>
      <w:r>
        <w:rPr>
          <w:sz w:val="24"/>
        </w:rPr>
        <w:t>alleges:</w:t>
      </w:r>
    </w:p>
    <w:p w14:paraId="54738650" w14:textId="77777777" w:rsidR="00982B63" w:rsidRDefault="00982B63">
      <w:pPr>
        <w:spacing w:line="480" w:lineRule="auto"/>
        <w:jc w:val="both"/>
        <w:rPr>
          <w:sz w:val="24"/>
        </w:rPr>
        <w:sectPr w:rsidR="00982B63">
          <w:type w:val="continuous"/>
          <w:pgSz w:w="12240" w:h="15840"/>
          <w:pgMar w:top="1500" w:right="1020" w:bottom="280" w:left="1340" w:header="720" w:footer="720" w:gutter="0"/>
          <w:cols w:space="720"/>
        </w:sectPr>
      </w:pPr>
    </w:p>
    <w:p w14:paraId="6EF4814D" w14:textId="77777777" w:rsidR="00982B63" w:rsidRDefault="00982B63">
      <w:pPr>
        <w:pStyle w:val="BodyText"/>
        <w:rPr>
          <w:sz w:val="20"/>
        </w:rPr>
      </w:pPr>
    </w:p>
    <w:p w14:paraId="351169CC" w14:textId="77777777" w:rsidR="00982B63" w:rsidRDefault="00982B63">
      <w:pPr>
        <w:pStyle w:val="BodyText"/>
        <w:spacing w:before="6"/>
        <w:rPr>
          <w:sz w:val="29"/>
        </w:rPr>
      </w:pPr>
    </w:p>
    <w:p w14:paraId="781496A4" w14:textId="77777777" w:rsidR="00982B63" w:rsidRDefault="00D52249">
      <w:pPr>
        <w:pStyle w:val="BodyText"/>
        <w:spacing w:before="90" w:line="480" w:lineRule="auto"/>
        <w:ind w:left="100"/>
      </w:pPr>
      <w:r>
        <w:t>“Edward J. Makowski slipped on icy unmaintained stairs on the property and fell resulting in his death.”</w:t>
      </w:r>
    </w:p>
    <w:p w14:paraId="48E4021F" w14:textId="77777777" w:rsidR="00982B63" w:rsidRDefault="00D5224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480" w:lineRule="auto"/>
        <w:ind w:right="415" w:firstLine="720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8"/>
          <w:sz w:val="24"/>
        </w:rPr>
        <w:t xml:space="preserve"> </w:t>
      </w:r>
      <w:r>
        <w:rPr>
          <w:sz w:val="24"/>
        </w:rPr>
        <w:t>deposition,</w:t>
      </w:r>
      <w:r>
        <w:rPr>
          <w:spacing w:val="-6"/>
          <w:sz w:val="24"/>
        </w:rPr>
        <w:t xml:space="preserve"> </w:t>
      </w:r>
      <w:r>
        <w:rPr>
          <w:sz w:val="24"/>
        </w:rPr>
        <w:t>Plaintiff</w:t>
      </w:r>
      <w:r>
        <w:rPr>
          <w:spacing w:val="-8"/>
          <w:sz w:val="24"/>
        </w:rPr>
        <w:t xml:space="preserve"> </w:t>
      </w:r>
      <w:r>
        <w:rPr>
          <w:sz w:val="24"/>
        </w:rPr>
        <w:t>testified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she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knowledge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8"/>
          <w:sz w:val="24"/>
        </w:rPr>
        <w:t xml:space="preserve"> </w:t>
      </w:r>
      <w:r>
        <w:rPr>
          <w:sz w:val="24"/>
        </w:rPr>
        <w:t>the condition of the property at the time of the incident (</w:t>
      </w:r>
      <w:r>
        <w:rPr>
          <w:sz w:val="24"/>
          <w:u w:val="single"/>
        </w:rPr>
        <w:t>Exhibit A</w:t>
      </w:r>
      <w:r>
        <w:rPr>
          <w:sz w:val="24"/>
        </w:rPr>
        <w:t>, Plaintiff Judith</w:t>
      </w:r>
      <w:r>
        <w:rPr>
          <w:spacing w:val="14"/>
          <w:sz w:val="24"/>
        </w:rPr>
        <w:t xml:space="preserve"> </w:t>
      </w:r>
      <w:r>
        <w:rPr>
          <w:sz w:val="24"/>
        </w:rPr>
        <w:t>Makowski’s</w:t>
      </w:r>
    </w:p>
    <w:p w14:paraId="6E323281" w14:textId="77777777" w:rsidR="00982B63" w:rsidRDefault="00D52249">
      <w:pPr>
        <w:pStyle w:val="BodyText"/>
        <w:ind w:left="100"/>
      </w:pPr>
      <w:r>
        <w:t>deposition at 56:23–57:1).</w:t>
      </w:r>
    </w:p>
    <w:p w14:paraId="16C87780" w14:textId="77777777" w:rsidR="00982B63" w:rsidRDefault="00982B63">
      <w:pPr>
        <w:pStyle w:val="BodyText"/>
      </w:pPr>
    </w:p>
    <w:p w14:paraId="239D2E10" w14:textId="77777777" w:rsidR="00982B63" w:rsidRDefault="00D5224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540"/>
        <w:rPr>
          <w:sz w:val="24"/>
        </w:rPr>
      </w:pPr>
      <w:r>
        <w:rPr>
          <w:sz w:val="24"/>
        </w:rPr>
        <w:t>Plaintiff testified at her deposition that she does not know what caused</w:t>
      </w:r>
      <w:r>
        <w:rPr>
          <w:spacing w:val="53"/>
          <w:sz w:val="24"/>
        </w:rPr>
        <w:t xml:space="preserve"> </w:t>
      </w:r>
      <w:r>
        <w:rPr>
          <w:sz w:val="24"/>
        </w:rPr>
        <w:t>Mr.</w:t>
      </w:r>
    </w:p>
    <w:p w14:paraId="5FFCD701" w14:textId="77777777" w:rsidR="00982B63" w:rsidRDefault="00982B63">
      <w:pPr>
        <w:pStyle w:val="BodyText"/>
      </w:pPr>
    </w:p>
    <w:p w14:paraId="01D12E3D" w14:textId="77777777" w:rsidR="00982B63" w:rsidRDefault="00D52249">
      <w:pPr>
        <w:pStyle w:val="BodyText"/>
        <w:spacing w:before="1" w:line="480" w:lineRule="auto"/>
        <w:ind w:left="100" w:right="215"/>
      </w:pPr>
      <w:r>
        <w:t>Makowski to fall, how the incident h</w:t>
      </w:r>
      <w:r>
        <w:t>appened, or which step Mr. Makowski was on at the time of his fall (</w:t>
      </w:r>
      <w:r>
        <w:rPr>
          <w:u w:val="single"/>
        </w:rPr>
        <w:t>Ex. A</w:t>
      </w:r>
      <w:r>
        <w:t xml:space="preserve"> at 57:18-24; 61:9-11; 80:8-11; 82:15-17).</w:t>
      </w:r>
    </w:p>
    <w:p w14:paraId="50E78AB7" w14:textId="77777777" w:rsidR="00982B63" w:rsidRDefault="00D52249">
      <w:pPr>
        <w:pStyle w:val="ListParagraph"/>
        <w:numPr>
          <w:ilvl w:val="0"/>
          <w:numId w:val="1"/>
        </w:numPr>
        <w:tabs>
          <w:tab w:val="left" w:pos="1541"/>
        </w:tabs>
        <w:spacing w:line="480" w:lineRule="auto"/>
        <w:ind w:right="418" w:firstLine="720"/>
        <w:jc w:val="both"/>
        <w:rPr>
          <w:sz w:val="24"/>
        </w:rPr>
      </w:pPr>
      <w:r>
        <w:rPr>
          <w:sz w:val="24"/>
        </w:rPr>
        <w:t>Plaintiff also testified that she is not aware of any witnesses to the condition of the property at the time of the incident or anyone who w</w:t>
      </w:r>
      <w:r>
        <w:rPr>
          <w:sz w:val="24"/>
        </w:rPr>
        <w:t>ould know which step Mr. Makowski was</w:t>
      </w:r>
      <w:r>
        <w:rPr>
          <w:spacing w:val="-38"/>
          <w:sz w:val="24"/>
        </w:rPr>
        <w:t xml:space="preserve"> </w:t>
      </w:r>
      <w:r>
        <w:rPr>
          <w:sz w:val="24"/>
        </w:rPr>
        <w:t>on at the time of the fall other than employees of the Defendants (</w:t>
      </w:r>
      <w:r>
        <w:rPr>
          <w:sz w:val="24"/>
          <w:u w:val="single"/>
        </w:rPr>
        <w:t>Ex. A</w:t>
      </w:r>
      <w:r>
        <w:rPr>
          <w:sz w:val="24"/>
        </w:rPr>
        <w:t xml:space="preserve"> at 57:13-17;</w:t>
      </w:r>
      <w:r>
        <w:rPr>
          <w:spacing w:val="-10"/>
          <w:sz w:val="24"/>
        </w:rPr>
        <w:t xml:space="preserve"> </w:t>
      </w:r>
      <w:r>
        <w:rPr>
          <w:sz w:val="24"/>
        </w:rPr>
        <w:t>80:12-14).</w:t>
      </w:r>
    </w:p>
    <w:p w14:paraId="5DC15CEE" w14:textId="77777777" w:rsidR="00982B63" w:rsidRDefault="00D5224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480" w:lineRule="auto"/>
        <w:ind w:right="414" w:firstLine="720"/>
        <w:rPr>
          <w:sz w:val="24"/>
        </w:rPr>
      </w:pPr>
      <w:r>
        <w:rPr>
          <w:sz w:val="24"/>
        </w:rPr>
        <w:t>Plaintiff’s son, Greg Makowski, and nephew were not able to determine the cause of</w:t>
      </w:r>
      <w:r>
        <w:rPr>
          <w:spacing w:val="24"/>
          <w:sz w:val="24"/>
        </w:rPr>
        <w:t xml:space="preserve"> </w:t>
      </w:r>
      <w:r>
        <w:rPr>
          <w:sz w:val="24"/>
        </w:rPr>
        <w:t>Mr.</w:t>
      </w:r>
      <w:r>
        <w:rPr>
          <w:spacing w:val="25"/>
          <w:sz w:val="24"/>
        </w:rPr>
        <w:t xml:space="preserve"> </w:t>
      </w:r>
      <w:r>
        <w:rPr>
          <w:sz w:val="24"/>
        </w:rPr>
        <w:t>Makowski’s</w:t>
      </w:r>
      <w:r>
        <w:rPr>
          <w:spacing w:val="24"/>
          <w:sz w:val="24"/>
        </w:rPr>
        <w:t xml:space="preserve"> </w:t>
      </w:r>
      <w:r>
        <w:rPr>
          <w:sz w:val="24"/>
        </w:rPr>
        <w:t>fall</w:t>
      </w:r>
      <w:r>
        <w:rPr>
          <w:spacing w:val="26"/>
          <w:sz w:val="24"/>
        </w:rPr>
        <w:t xml:space="preserve"> </w:t>
      </w:r>
      <w:r>
        <w:rPr>
          <w:sz w:val="24"/>
        </w:rPr>
        <w:t>when</w:t>
      </w:r>
      <w:r>
        <w:rPr>
          <w:spacing w:val="26"/>
          <w:sz w:val="24"/>
        </w:rPr>
        <w:t xml:space="preserve"> </w:t>
      </w:r>
      <w:r>
        <w:rPr>
          <w:sz w:val="24"/>
        </w:rPr>
        <w:t>they</w:t>
      </w:r>
      <w:r>
        <w:rPr>
          <w:spacing w:val="20"/>
          <w:sz w:val="24"/>
        </w:rPr>
        <w:t xml:space="preserve"> </w:t>
      </w:r>
      <w:r>
        <w:rPr>
          <w:sz w:val="24"/>
        </w:rPr>
        <w:t>inspecte</w:t>
      </w:r>
      <w:r>
        <w:rPr>
          <w:sz w:val="24"/>
        </w:rPr>
        <w:t>d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property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day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incident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Ex.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</w:p>
    <w:p w14:paraId="5E170E1F" w14:textId="77777777" w:rsidR="00982B63" w:rsidRDefault="00D52249">
      <w:pPr>
        <w:pStyle w:val="BodyText"/>
        <w:ind w:left="100"/>
      </w:pPr>
      <w:r>
        <w:t xml:space="preserve">56:18-22; </w:t>
      </w:r>
      <w:r>
        <w:rPr>
          <w:u w:val="single"/>
        </w:rPr>
        <w:t>Exhibit B</w:t>
      </w:r>
      <w:r>
        <w:t>, Greg Makowski’s deposition at 36:20-22).</w:t>
      </w:r>
    </w:p>
    <w:p w14:paraId="3585982C" w14:textId="77777777" w:rsidR="00982B63" w:rsidRDefault="00982B63">
      <w:pPr>
        <w:pStyle w:val="BodyText"/>
        <w:spacing w:before="2"/>
        <w:rPr>
          <w:sz w:val="16"/>
        </w:rPr>
      </w:pPr>
    </w:p>
    <w:p w14:paraId="612BB2D0" w14:textId="77777777" w:rsidR="00982B63" w:rsidRDefault="00D52249">
      <w:pPr>
        <w:pStyle w:val="ListParagraph"/>
        <w:numPr>
          <w:ilvl w:val="0"/>
          <w:numId w:val="1"/>
        </w:numPr>
        <w:tabs>
          <w:tab w:val="left" w:pos="1541"/>
        </w:tabs>
        <w:spacing w:before="90" w:line="480" w:lineRule="auto"/>
        <w:ind w:right="417" w:firstLine="720"/>
        <w:jc w:val="both"/>
        <w:rPr>
          <w:sz w:val="24"/>
        </w:rPr>
      </w:pPr>
      <w:r>
        <w:rPr>
          <w:sz w:val="24"/>
        </w:rPr>
        <w:t xml:space="preserve">Plaintiff’s expert, Mr. </w:t>
      </w:r>
      <w:proofErr w:type="spellStart"/>
      <w:r>
        <w:rPr>
          <w:sz w:val="24"/>
        </w:rPr>
        <w:t>DiNicola</w:t>
      </w:r>
      <w:proofErr w:type="spellEnd"/>
      <w:r>
        <w:rPr>
          <w:sz w:val="24"/>
        </w:rPr>
        <w:t>, also conceded at his deposition that he did not know the condition of the stairs at the time of the incident, only what he observed during his site inspection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January</w:t>
      </w:r>
      <w:r>
        <w:rPr>
          <w:spacing w:val="11"/>
          <w:sz w:val="24"/>
        </w:rPr>
        <w:t xml:space="preserve"> </w:t>
      </w:r>
      <w:r>
        <w:rPr>
          <w:sz w:val="24"/>
        </w:rPr>
        <w:t>9,</w:t>
      </w:r>
      <w:r>
        <w:rPr>
          <w:spacing w:val="17"/>
          <w:sz w:val="24"/>
        </w:rPr>
        <w:t xml:space="preserve"> </w:t>
      </w:r>
      <w:r>
        <w:rPr>
          <w:sz w:val="24"/>
        </w:rPr>
        <w:t>2019,</w:t>
      </w:r>
      <w:r>
        <w:rPr>
          <w:spacing w:val="15"/>
          <w:sz w:val="24"/>
        </w:rPr>
        <w:t xml:space="preserve"> </w:t>
      </w:r>
      <w:r>
        <w:rPr>
          <w:sz w:val="24"/>
        </w:rPr>
        <w:t>almost</w:t>
      </w:r>
      <w:r>
        <w:rPr>
          <w:spacing w:val="17"/>
          <w:sz w:val="24"/>
        </w:rPr>
        <w:t xml:space="preserve"> </w:t>
      </w:r>
      <w:r>
        <w:rPr>
          <w:sz w:val="24"/>
        </w:rPr>
        <w:t>two</w:t>
      </w:r>
      <w:r>
        <w:rPr>
          <w:spacing w:val="20"/>
          <w:sz w:val="24"/>
        </w:rPr>
        <w:t xml:space="preserve"> </w:t>
      </w:r>
      <w:r>
        <w:rPr>
          <w:sz w:val="24"/>
        </w:rPr>
        <w:t>years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>after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incident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Exhibi</w:t>
      </w:r>
      <w:r>
        <w:rPr>
          <w:sz w:val="24"/>
          <w:u w:val="single"/>
        </w:rPr>
        <w:t>t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C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Tony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DiNicola’s</w:t>
      </w:r>
      <w:proofErr w:type="spellEnd"/>
    </w:p>
    <w:p w14:paraId="6477C5CE" w14:textId="77777777" w:rsidR="00982B63" w:rsidRDefault="00D52249">
      <w:pPr>
        <w:pStyle w:val="BodyText"/>
        <w:spacing w:before="1"/>
        <w:ind w:left="100"/>
      </w:pPr>
      <w:r>
        <w:t>deposition at 68:17-69:3).</w:t>
      </w:r>
    </w:p>
    <w:p w14:paraId="61EC4D6B" w14:textId="77777777" w:rsidR="00982B63" w:rsidRDefault="00982B63">
      <w:pPr>
        <w:pStyle w:val="BodyText"/>
      </w:pPr>
    </w:p>
    <w:p w14:paraId="4162FD0E" w14:textId="77777777" w:rsidR="00982B63" w:rsidRDefault="00D5224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540"/>
        <w:rPr>
          <w:sz w:val="24"/>
        </w:rPr>
      </w:pPr>
      <w:r>
        <w:rPr>
          <w:sz w:val="24"/>
        </w:rPr>
        <w:t>Colorado Rule of Evidence 602</w:t>
      </w:r>
      <w:r>
        <w:rPr>
          <w:spacing w:val="-4"/>
          <w:sz w:val="24"/>
        </w:rPr>
        <w:t xml:space="preserve"> </w:t>
      </w:r>
      <w:r>
        <w:rPr>
          <w:sz w:val="24"/>
        </w:rPr>
        <w:t>states:</w:t>
      </w:r>
    </w:p>
    <w:p w14:paraId="0D92CD3E" w14:textId="77777777" w:rsidR="00982B63" w:rsidRDefault="00982B63">
      <w:pPr>
        <w:pStyle w:val="BodyText"/>
      </w:pPr>
    </w:p>
    <w:p w14:paraId="53D87E1E" w14:textId="77777777" w:rsidR="00982B63" w:rsidRDefault="00D52249">
      <w:pPr>
        <w:pStyle w:val="BodyText"/>
        <w:ind w:left="1540" w:right="1860"/>
        <w:jc w:val="both"/>
      </w:pPr>
      <w:r>
        <w:t xml:space="preserve">A witness may not testify to a matter unless evidence is introduced </w:t>
      </w:r>
      <w:proofErr w:type="gramStart"/>
      <w:r>
        <w:t>sufficient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finding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4"/>
        </w:rPr>
        <w:t xml:space="preserve">the </w:t>
      </w:r>
      <w:r>
        <w:t>matter.</w:t>
      </w:r>
    </w:p>
    <w:p w14:paraId="336B2063" w14:textId="77777777" w:rsidR="00982B63" w:rsidRDefault="00982B63">
      <w:pPr>
        <w:jc w:val="both"/>
        <w:sectPr w:rsidR="00982B63">
          <w:footerReference w:type="default" r:id="rId7"/>
          <w:pgSz w:w="12240" w:h="15840"/>
          <w:pgMar w:top="1500" w:right="1020" w:bottom="1260" w:left="1340" w:header="0" w:footer="1073" w:gutter="0"/>
          <w:pgNumType w:start="2"/>
          <w:cols w:space="720"/>
        </w:sectPr>
      </w:pPr>
    </w:p>
    <w:p w14:paraId="2FC6477D" w14:textId="77777777" w:rsidR="00982B63" w:rsidRDefault="00982B63">
      <w:pPr>
        <w:pStyle w:val="BodyText"/>
        <w:rPr>
          <w:sz w:val="20"/>
        </w:rPr>
      </w:pPr>
    </w:p>
    <w:p w14:paraId="64B151DC" w14:textId="77777777" w:rsidR="00982B63" w:rsidRDefault="00982B63">
      <w:pPr>
        <w:pStyle w:val="BodyText"/>
        <w:spacing w:before="6"/>
        <w:rPr>
          <w:sz w:val="29"/>
        </w:rPr>
      </w:pPr>
    </w:p>
    <w:p w14:paraId="019E61C2" w14:textId="77777777" w:rsidR="00982B63" w:rsidRDefault="00D52249">
      <w:pPr>
        <w:pStyle w:val="BodyText"/>
        <w:spacing w:before="90" w:line="480" w:lineRule="auto"/>
        <w:ind w:left="100" w:right="416" w:firstLine="719"/>
        <w:jc w:val="both"/>
      </w:pPr>
      <w:r>
        <w:t>Plaintiff,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Greg</w:t>
      </w:r>
      <w:r>
        <w:rPr>
          <w:spacing w:val="-5"/>
        </w:rPr>
        <w:t xml:space="preserve"> </w:t>
      </w:r>
      <w:r>
        <w:t>Makowski,</w:t>
      </w:r>
      <w:r>
        <w:rPr>
          <w:spacing w:val="-3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Plaintiff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lay</w:t>
      </w:r>
      <w:r>
        <w:rPr>
          <w:spacing w:val="-8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trial,</w:t>
      </w:r>
      <w:r>
        <w:rPr>
          <w:spacing w:val="-2"/>
        </w:rPr>
        <w:t xml:space="preserve"> </w:t>
      </w:r>
      <w:r>
        <w:t xml:space="preserve">and Mr. </w:t>
      </w:r>
      <w:proofErr w:type="spellStart"/>
      <w:r>
        <w:t>DiNicola</w:t>
      </w:r>
      <w:proofErr w:type="spellEnd"/>
      <w:r>
        <w:t xml:space="preserve"> have all stated under oath during their depositions that they do not know the condition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stairs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incident.</w:t>
      </w:r>
      <w:r>
        <w:rPr>
          <w:spacing w:val="31"/>
        </w:rPr>
        <w:t xml:space="preserve"> </w:t>
      </w:r>
      <w:r>
        <w:t>Allowing</w:t>
      </w:r>
      <w:r>
        <w:rPr>
          <w:spacing w:val="-17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speculate</w:t>
      </w:r>
      <w:r>
        <w:rPr>
          <w:spacing w:val="-17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critical issue at trial would be contrary to C.R.E. 602 and extremely prejudicial to the Defendants. There is no question that the only information Plaintiff, Greg Makowski, or Plaintiff’s expert</w:t>
      </w:r>
      <w:r>
        <w:t xml:space="preserve"> (if he is allowed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testify)</w:t>
      </w:r>
      <w:r>
        <w:rPr>
          <w:spacing w:val="-10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regarding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stairs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incident</w:t>
      </w:r>
      <w:r>
        <w:rPr>
          <w:spacing w:val="-10"/>
        </w:rPr>
        <w:t xml:space="preserve"> </w:t>
      </w:r>
      <w:r>
        <w:t xml:space="preserve">would be anything more than speculation and, therefore, any testimony from Plaintiff or her witnesses regarding the condition of the stairs at the </w:t>
      </w:r>
      <w:r>
        <w:t>time of the incident must be</w:t>
      </w:r>
      <w:r>
        <w:rPr>
          <w:spacing w:val="-7"/>
        </w:rPr>
        <w:t xml:space="preserve"> </w:t>
      </w:r>
      <w:r>
        <w:t>excluded.</w:t>
      </w:r>
    </w:p>
    <w:p w14:paraId="3418F41E" w14:textId="77777777" w:rsidR="00982B63" w:rsidRDefault="00D52249">
      <w:pPr>
        <w:pStyle w:val="BodyText"/>
        <w:spacing w:before="1" w:line="480" w:lineRule="auto"/>
        <w:ind w:left="100" w:right="418" w:firstLine="719"/>
        <w:jc w:val="both"/>
      </w:pPr>
      <w:r>
        <w:t>WHEREFORE, Defendants respectfully request an Order granting their Motion in</w:t>
      </w:r>
      <w:r>
        <w:rPr>
          <w:spacing w:val="-33"/>
        </w:rPr>
        <w:t xml:space="preserve"> </w:t>
      </w:r>
      <w:proofErr w:type="spellStart"/>
      <w:r>
        <w:t>Limine</w:t>
      </w:r>
      <w:proofErr w:type="spellEnd"/>
      <w:r>
        <w:t xml:space="preserve"> and excluding plaintiff, Greg Makowski, or Tony </w:t>
      </w:r>
      <w:proofErr w:type="spellStart"/>
      <w:r>
        <w:t>DiNicola</w:t>
      </w:r>
      <w:proofErr w:type="spellEnd"/>
      <w:r>
        <w:t xml:space="preserve"> from offering any testimony relating to the condition of the stairs at the time of the incident, and for any other relief this Court deems just and</w:t>
      </w:r>
      <w:r>
        <w:rPr>
          <w:spacing w:val="-1"/>
        </w:rPr>
        <w:t xml:space="preserve"> </w:t>
      </w:r>
      <w:r>
        <w:t>proper.</w:t>
      </w:r>
    </w:p>
    <w:p w14:paraId="3C59F5EC" w14:textId="77777777" w:rsidR="00982B63" w:rsidRDefault="00982B63">
      <w:pPr>
        <w:pStyle w:val="BodyText"/>
      </w:pPr>
    </w:p>
    <w:p w14:paraId="623C279A" w14:textId="77777777" w:rsidR="00982B63" w:rsidRDefault="00D52249">
      <w:pPr>
        <w:pStyle w:val="BodyText"/>
        <w:ind w:left="820"/>
      </w:pPr>
      <w:r>
        <w:t xml:space="preserve">Dated this 4th day of </w:t>
      </w:r>
      <w:proofErr w:type="gramStart"/>
      <w:r>
        <w:t>February,</w:t>
      </w:r>
      <w:proofErr w:type="gramEnd"/>
      <w:r>
        <w:t xml:space="preserve"> 201</w:t>
      </w:r>
      <w:r>
        <w:t>9.</w:t>
      </w:r>
    </w:p>
    <w:p w14:paraId="38C81E68" w14:textId="77777777" w:rsidR="00982B63" w:rsidRDefault="00982B63">
      <w:pPr>
        <w:pStyle w:val="BodyText"/>
        <w:rPr>
          <w:sz w:val="26"/>
        </w:rPr>
      </w:pPr>
    </w:p>
    <w:p w14:paraId="70433EFD" w14:textId="77777777" w:rsidR="00982B63" w:rsidRDefault="00982B63">
      <w:pPr>
        <w:pStyle w:val="BodyText"/>
        <w:rPr>
          <w:sz w:val="22"/>
        </w:rPr>
      </w:pPr>
    </w:p>
    <w:p w14:paraId="5ED46D7D" w14:textId="2C24F417" w:rsidR="00982B63" w:rsidRDefault="00D52249">
      <w:pPr>
        <w:pStyle w:val="BodyText"/>
        <w:ind w:left="4781"/>
      </w:pPr>
      <w:r>
        <w:t>COMPANY NAME</w:t>
      </w:r>
      <w:bookmarkStart w:id="0" w:name="_GoBack"/>
      <w:bookmarkEnd w:id="0"/>
    </w:p>
    <w:p w14:paraId="16793EBC" w14:textId="77777777" w:rsidR="00982B63" w:rsidRDefault="00D52249">
      <w:pPr>
        <w:spacing w:before="121"/>
        <w:ind w:left="4781" w:right="1009"/>
        <w:rPr>
          <w:i/>
          <w:sz w:val="18"/>
        </w:rPr>
      </w:pPr>
      <w:r>
        <w:rPr>
          <w:i/>
          <w:sz w:val="18"/>
        </w:rPr>
        <w:t>Pursuant to C.R.C.P. 121 §1-26 the duly signed original remains on file at the office of the undersigned</w:t>
      </w:r>
    </w:p>
    <w:p w14:paraId="44688278" w14:textId="77777777" w:rsidR="00982B63" w:rsidRDefault="00982B63">
      <w:pPr>
        <w:pStyle w:val="BodyText"/>
        <w:spacing w:before="10"/>
        <w:rPr>
          <w:i/>
          <w:sz w:val="23"/>
        </w:rPr>
      </w:pPr>
    </w:p>
    <w:p w14:paraId="78621D11" w14:textId="2B5446FD" w:rsidR="00982B63" w:rsidRDefault="00D52249">
      <w:pPr>
        <w:tabs>
          <w:tab w:val="left" w:pos="9461"/>
        </w:tabs>
        <w:ind w:left="4781"/>
        <w:rPr>
          <w:i/>
          <w:sz w:val="24"/>
        </w:rPr>
      </w:pPr>
      <w:r>
        <w:rPr>
          <w:i/>
          <w:sz w:val="24"/>
          <w:u w:val="single"/>
        </w:rPr>
        <w:t xml:space="preserve"> /s/ </w:t>
      </w:r>
      <w:r>
        <w:rPr>
          <w:i/>
          <w:sz w:val="24"/>
          <w:u w:val="single"/>
        </w:rPr>
        <w:tab/>
      </w:r>
    </w:p>
    <w:p w14:paraId="06E0E97C" w14:textId="77777777" w:rsidR="00D52249" w:rsidRDefault="00D52249">
      <w:pPr>
        <w:ind w:left="4781" w:right="1992"/>
        <w:rPr>
          <w:i/>
          <w:sz w:val="24"/>
        </w:rPr>
      </w:pPr>
    </w:p>
    <w:p w14:paraId="67020F75" w14:textId="2E8030E7" w:rsidR="00982B63" w:rsidRDefault="00D52249">
      <w:pPr>
        <w:ind w:left="4781" w:right="1992"/>
        <w:rPr>
          <w:i/>
          <w:sz w:val="24"/>
        </w:rPr>
      </w:pPr>
      <w:r>
        <w:rPr>
          <w:i/>
          <w:sz w:val="24"/>
        </w:rPr>
        <w:t>Attorneys for Defendants</w:t>
      </w:r>
    </w:p>
    <w:p w14:paraId="5517E620" w14:textId="77777777" w:rsidR="00982B63" w:rsidRDefault="00982B63">
      <w:pPr>
        <w:rPr>
          <w:sz w:val="24"/>
        </w:rPr>
        <w:sectPr w:rsidR="00982B63">
          <w:pgSz w:w="12240" w:h="15840"/>
          <w:pgMar w:top="1500" w:right="1020" w:bottom="1260" w:left="1340" w:header="0" w:footer="1073" w:gutter="0"/>
          <w:cols w:space="720"/>
        </w:sectPr>
      </w:pPr>
    </w:p>
    <w:p w14:paraId="10E445AD" w14:textId="77777777" w:rsidR="00982B63" w:rsidRDefault="00982B63">
      <w:pPr>
        <w:pStyle w:val="BodyText"/>
        <w:rPr>
          <w:i/>
          <w:sz w:val="20"/>
        </w:rPr>
      </w:pPr>
    </w:p>
    <w:p w14:paraId="2051AE7A" w14:textId="77777777" w:rsidR="00982B63" w:rsidRDefault="00982B63">
      <w:pPr>
        <w:pStyle w:val="BodyText"/>
        <w:rPr>
          <w:i/>
          <w:sz w:val="20"/>
        </w:rPr>
      </w:pPr>
    </w:p>
    <w:p w14:paraId="789F53BC" w14:textId="77777777" w:rsidR="00982B63" w:rsidRDefault="00982B63">
      <w:pPr>
        <w:pStyle w:val="BodyText"/>
        <w:rPr>
          <w:i/>
          <w:sz w:val="20"/>
        </w:rPr>
      </w:pPr>
    </w:p>
    <w:p w14:paraId="135C5633" w14:textId="77777777" w:rsidR="00982B63" w:rsidRDefault="00982B63">
      <w:pPr>
        <w:pStyle w:val="BodyText"/>
        <w:spacing w:before="4"/>
        <w:rPr>
          <w:i/>
          <w:sz w:val="21"/>
        </w:rPr>
      </w:pPr>
    </w:p>
    <w:p w14:paraId="5863A297" w14:textId="77777777" w:rsidR="00982B63" w:rsidRDefault="00D52249">
      <w:pPr>
        <w:ind w:left="3187"/>
        <w:rPr>
          <w:b/>
          <w:sz w:val="24"/>
        </w:rPr>
      </w:pPr>
      <w:r>
        <w:rPr>
          <w:b/>
          <w:sz w:val="24"/>
        </w:rPr>
        <w:t>CERTIFICATE OF SERVICE</w:t>
      </w:r>
    </w:p>
    <w:p w14:paraId="01616050" w14:textId="77777777" w:rsidR="00982B63" w:rsidRDefault="00982B63">
      <w:pPr>
        <w:pStyle w:val="BodyText"/>
        <w:spacing w:before="1"/>
        <w:rPr>
          <w:b/>
          <w:sz w:val="21"/>
        </w:rPr>
      </w:pPr>
    </w:p>
    <w:p w14:paraId="0FB88E4B" w14:textId="77777777" w:rsidR="00982B63" w:rsidRDefault="00D52249">
      <w:pPr>
        <w:ind w:left="100" w:right="943" w:firstLine="719"/>
        <w:rPr>
          <w:b/>
          <w:sz w:val="24"/>
        </w:rPr>
      </w:pPr>
      <w:r>
        <w:rPr>
          <w:sz w:val="24"/>
        </w:rPr>
        <w:t xml:space="preserve">I hereby certify that on this 4th day of </w:t>
      </w:r>
      <w:proofErr w:type="gramStart"/>
      <w:r>
        <w:rPr>
          <w:sz w:val="24"/>
        </w:rPr>
        <w:t>February,</w:t>
      </w:r>
      <w:proofErr w:type="gramEnd"/>
      <w:r>
        <w:rPr>
          <w:sz w:val="24"/>
        </w:rPr>
        <w:t xml:space="preserve"> 2019, a true and correct copy of the foregoing </w:t>
      </w:r>
      <w:r>
        <w:rPr>
          <w:b/>
          <w:sz w:val="24"/>
        </w:rPr>
        <w:t>DEFENDANTS’ MOTION IN LIMINE RE SPECULATION ABOUT</w:t>
      </w:r>
    </w:p>
    <w:p w14:paraId="363793B0" w14:textId="77777777" w:rsidR="00982B63" w:rsidRDefault="00D52249">
      <w:pPr>
        <w:ind w:left="100" w:right="733"/>
        <w:rPr>
          <w:sz w:val="24"/>
        </w:rPr>
      </w:pPr>
      <w:r>
        <w:rPr>
          <w:b/>
          <w:sz w:val="24"/>
        </w:rPr>
        <w:t xml:space="preserve">CONDITION OF THE STAIRS PURSUANT TO C.R.E. 602 </w:t>
      </w:r>
      <w:r>
        <w:rPr>
          <w:sz w:val="24"/>
        </w:rPr>
        <w:t>was electronically filed with the Court and served via Colora</w:t>
      </w:r>
      <w:r>
        <w:rPr>
          <w:sz w:val="24"/>
        </w:rPr>
        <w:t>do Courts E-Filing upon all counsel of record.</w:t>
      </w:r>
    </w:p>
    <w:p w14:paraId="0D298E03" w14:textId="77777777" w:rsidR="00982B63" w:rsidRDefault="00982B63">
      <w:pPr>
        <w:pStyle w:val="BodyText"/>
        <w:spacing w:before="10"/>
        <w:rPr>
          <w:sz w:val="23"/>
        </w:rPr>
      </w:pPr>
    </w:p>
    <w:p w14:paraId="0E39B467" w14:textId="6CF175A6" w:rsidR="00982B63" w:rsidRDefault="00D52249">
      <w:pPr>
        <w:ind w:left="5141" w:right="752"/>
        <w:rPr>
          <w:i/>
          <w:sz w:val="20"/>
        </w:rPr>
      </w:pPr>
      <w:r>
        <w:rPr>
          <w:i/>
          <w:sz w:val="20"/>
        </w:rPr>
        <w:t xml:space="preserve">Pursuant to C.R.C.P. 121 §1-26 the duly signed original remains on file at the office of </w:t>
      </w:r>
    </w:p>
    <w:p w14:paraId="56CA8671" w14:textId="77777777" w:rsidR="00982B63" w:rsidRDefault="00982B63">
      <w:pPr>
        <w:pStyle w:val="BodyText"/>
        <w:rPr>
          <w:i/>
          <w:sz w:val="22"/>
        </w:rPr>
      </w:pPr>
    </w:p>
    <w:p w14:paraId="329491A4" w14:textId="77777777" w:rsidR="00982B63" w:rsidRDefault="00982B63">
      <w:pPr>
        <w:pStyle w:val="BodyText"/>
        <w:spacing w:before="1"/>
        <w:rPr>
          <w:i/>
          <w:sz w:val="26"/>
        </w:rPr>
      </w:pPr>
    </w:p>
    <w:p w14:paraId="08A40C56" w14:textId="4D486257" w:rsidR="00982B63" w:rsidRDefault="00D52249">
      <w:pPr>
        <w:tabs>
          <w:tab w:val="left" w:pos="9461"/>
        </w:tabs>
        <w:ind w:left="5141"/>
        <w:rPr>
          <w:i/>
          <w:sz w:val="24"/>
        </w:rPr>
      </w:pPr>
      <w:r>
        <w:rPr>
          <w:i/>
          <w:sz w:val="24"/>
          <w:u w:val="single"/>
        </w:rPr>
        <w:t xml:space="preserve">  /s/</w:t>
      </w:r>
    </w:p>
    <w:sectPr w:rsidR="00982B63">
      <w:pgSz w:w="12240" w:h="15840"/>
      <w:pgMar w:top="1500" w:right="10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DBA7" w14:textId="77777777" w:rsidR="00000000" w:rsidRDefault="00D52249">
      <w:r>
        <w:separator/>
      </w:r>
    </w:p>
  </w:endnote>
  <w:endnote w:type="continuationSeparator" w:id="0">
    <w:p w14:paraId="6C8A5FA3" w14:textId="77777777" w:rsidR="00000000" w:rsidRDefault="00D5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999F" w14:textId="77777777" w:rsidR="00982B63" w:rsidRDefault="00D52249">
    <w:pPr>
      <w:pStyle w:val="BodyText"/>
      <w:spacing w:line="14" w:lineRule="auto"/>
      <w:rPr>
        <w:sz w:val="20"/>
      </w:rPr>
    </w:pPr>
    <w:r>
      <w:pict w14:anchorId="72115C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05pt;margin-top:727.35pt;width:10pt;height:15.3pt;z-index:-251658752;mso-position-horizontal-relative:page;mso-position-vertical-relative:page" filled="f" stroked="f">
          <v:textbox inset="0,0,0,0">
            <w:txbxContent>
              <w:p w14:paraId="1F14A24A" w14:textId="77777777" w:rsidR="00982B63" w:rsidRDefault="00D52249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E4DC" w14:textId="77777777" w:rsidR="00000000" w:rsidRDefault="00D52249">
      <w:r>
        <w:separator/>
      </w:r>
    </w:p>
  </w:footnote>
  <w:footnote w:type="continuationSeparator" w:id="0">
    <w:p w14:paraId="142B7193" w14:textId="77777777" w:rsidR="00000000" w:rsidRDefault="00D5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7029"/>
    <w:multiLevelType w:val="hybridMultilevel"/>
    <w:tmpl w:val="69623758"/>
    <w:lvl w:ilvl="0" w:tplc="A9607C7A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EE90CA08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1E2CF41E">
      <w:numFmt w:val="bullet"/>
      <w:lvlText w:val="•"/>
      <w:lvlJc w:val="left"/>
      <w:pPr>
        <w:ind w:left="2056" w:hanging="720"/>
      </w:pPr>
      <w:rPr>
        <w:rFonts w:hint="default"/>
      </w:rPr>
    </w:lvl>
    <w:lvl w:ilvl="3" w:tplc="EEC23A30">
      <w:numFmt w:val="bullet"/>
      <w:lvlText w:val="•"/>
      <w:lvlJc w:val="left"/>
      <w:pPr>
        <w:ind w:left="3034" w:hanging="720"/>
      </w:pPr>
      <w:rPr>
        <w:rFonts w:hint="default"/>
      </w:rPr>
    </w:lvl>
    <w:lvl w:ilvl="4" w:tplc="C4940930">
      <w:numFmt w:val="bullet"/>
      <w:lvlText w:val="•"/>
      <w:lvlJc w:val="left"/>
      <w:pPr>
        <w:ind w:left="4012" w:hanging="720"/>
      </w:pPr>
      <w:rPr>
        <w:rFonts w:hint="default"/>
      </w:rPr>
    </w:lvl>
    <w:lvl w:ilvl="5" w:tplc="DCC29B74">
      <w:numFmt w:val="bullet"/>
      <w:lvlText w:val="•"/>
      <w:lvlJc w:val="left"/>
      <w:pPr>
        <w:ind w:left="4990" w:hanging="720"/>
      </w:pPr>
      <w:rPr>
        <w:rFonts w:hint="default"/>
      </w:rPr>
    </w:lvl>
    <w:lvl w:ilvl="6" w:tplc="308AAF00">
      <w:numFmt w:val="bullet"/>
      <w:lvlText w:val="•"/>
      <w:lvlJc w:val="left"/>
      <w:pPr>
        <w:ind w:left="5968" w:hanging="720"/>
      </w:pPr>
      <w:rPr>
        <w:rFonts w:hint="default"/>
      </w:rPr>
    </w:lvl>
    <w:lvl w:ilvl="7" w:tplc="2B860940">
      <w:numFmt w:val="bullet"/>
      <w:lvlText w:val="•"/>
      <w:lvlJc w:val="left"/>
      <w:pPr>
        <w:ind w:left="6946" w:hanging="720"/>
      </w:pPr>
      <w:rPr>
        <w:rFonts w:hint="default"/>
      </w:rPr>
    </w:lvl>
    <w:lvl w:ilvl="8" w:tplc="3DC4F428">
      <w:numFmt w:val="bullet"/>
      <w:lvlText w:val="•"/>
      <w:lvlJc w:val="left"/>
      <w:pPr>
        <w:ind w:left="792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B63"/>
    <w:rsid w:val="00982B63"/>
    <w:rsid w:val="00D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98F97"/>
  <w15:docId w15:val="{C28F734E-617B-449C-9DE9-0C6D2F1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firstLine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 Martinez</cp:lastModifiedBy>
  <cp:revision>2</cp:revision>
  <dcterms:created xsi:type="dcterms:W3CDTF">2019-04-02T16:34:00Z</dcterms:created>
  <dcterms:modified xsi:type="dcterms:W3CDTF">2019-04-02T17:16:00Z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2019-04-02T00:00:00Z</vt:filetime>
  </property>
</Properties>
</file>