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1"/>
        <w:ind w:left="119"/>
      </w:pPr>
      <w:r>
        <w:rPr/>
        <w:t>Evaluate the mixture profile for the following:</w:t>
      </w:r>
    </w:p>
    <w:p>
      <w:pPr>
        <w:pStyle w:val="BodyText"/>
        <w:spacing w:after="1"/>
        <w:rPr>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7421"/>
      </w:tblGrid>
      <w:tr>
        <w:trPr>
          <w:trHeight w:val="299" w:hRule="atLeast"/>
        </w:trPr>
        <w:tc>
          <w:tcPr>
            <w:tcW w:w="2179" w:type="dxa"/>
          </w:tcPr>
          <w:p>
            <w:pPr>
              <w:pStyle w:val="TableParagraph"/>
              <w:spacing w:before="27"/>
              <w:ind w:left="107"/>
              <w:rPr>
                <w:sz w:val="20"/>
              </w:rPr>
            </w:pPr>
            <w:r>
              <w:rPr>
                <w:sz w:val="20"/>
              </w:rPr>
              <w:t>Peaks</w:t>
            </w:r>
          </w:p>
        </w:tc>
        <w:tc>
          <w:tcPr>
            <w:tcW w:w="7421" w:type="dxa"/>
          </w:tcPr>
          <w:p>
            <w:pPr>
              <w:pStyle w:val="TableParagraph"/>
              <w:spacing w:line="223" w:lineRule="exact" w:before="56"/>
              <w:ind w:left="107"/>
              <w:rPr>
                <w:sz w:val="20"/>
              </w:rPr>
            </w:pPr>
            <w:r>
              <w:rPr>
                <w:sz w:val="20"/>
              </w:rPr>
              <w:t>Evaluate true allele vs stutter, pull-up, split peaks (-A), spikes, dye blobs, etc.</w:t>
            </w:r>
          </w:p>
        </w:tc>
      </w:tr>
      <w:tr>
        <w:trPr>
          <w:trHeight w:val="302" w:hRule="atLeast"/>
        </w:trPr>
        <w:tc>
          <w:tcPr>
            <w:tcW w:w="2179" w:type="dxa"/>
          </w:tcPr>
          <w:p>
            <w:pPr>
              <w:pStyle w:val="TableParagraph"/>
              <w:spacing w:before="27"/>
              <w:ind w:left="107"/>
              <w:rPr>
                <w:sz w:val="20"/>
              </w:rPr>
            </w:pPr>
            <w:r>
              <w:rPr>
                <w:sz w:val="20"/>
              </w:rPr>
              <w:t>Stochastic Effects</w:t>
            </w:r>
          </w:p>
        </w:tc>
        <w:tc>
          <w:tcPr>
            <w:tcW w:w="7421" w:type="dxa"/>
          </w:tcPr>
          <w:p>
            <w:pPr>
              <w:pStyle w:val="TableParagraph"/>
              <w:spacing w:line="225" w:lineRule="exact" w:before="56"/>
              <w:ind w:left="107"/>
              <w:rPr>
                <w:sz w:val="20"/>
              </w:rPr>
            </w:pPr>
            <w:r>
              <w:rPr>
                <w:sz w:val="20"/>
              </w:rPr>
              <w:t>Dropout, peak imbalance with a locus, ski-slope between loci, etc</w:t>
            </w:r>
          </w:p>
        </w:tc>
      </w:tr>
      <w:tr>
        <w:trPr>
          <w:trHeight w:val="599" w:hRule="atLeast"/>
        </w:trPr>
        <w:tc>
          <w:tcPr>
            <w:tcW w:w="2179" w:type="dxa"/>
          </w:tcPr>
          <w:p>
            <w:pPr>
              <w:pStyle w:val="TableParagraph"/>
              <w:spacing w:before="176"/>
              <w:ind w:left="107"/>
              <w:rPr>
                <w:sz w:val="20"/>
              </w:rPr>
            </w:pPr>
            <w:r>
              <w:rPr>
                <w:sz w:val="20"/>
              </w:rPr>
              <w:t>Mixture Ratio</w:t>
            </w:r>
          </w:p>
        </w:tc>
        <w:tc>
          <w:tcPr>
            <w:tcW w:w="7421" w:type="dxa"/>
          </w:tcPr>
          <w:p>
            <w:pPr>
              <w:pStyle w:val="TableParagraph"/>
              <w:spacing w:line="240" w:lineRule="atLeast" w:before="109"/>
              <w:ind w:left="107" w:right="457"/>
              <w:rPr>
                <w:sz w:val="20"/>
              </w:rPr>
            </w:pPr>
            <w:r>
              <w:rPr>
                <w:sz w:val="20"/>
              </w:rPr>
              <w:t>Determine mixture ratio for all loci within the profile containing allelic combinations suitable for determining mixture ratio; average results.</w:t>
            </w:r>
          </w:p>
        </w:tc>
      </w:tr>
    </w:tbl>
    <w:p>
      <w:pPr>
        <w:pStyle w:val="BodyText"/>
        <w:spacing w:before="7"/>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7421"/>
      </w:tblGrid>
      <w:tr>
        <w:trPr>
          <w:trHeight w:val="314" w:hRule="atLeast"/>
        </w:trPr>
        <w:tc>
          <w:tcPr>
            <w:tcW w:w="9600" w:type="dxa"/>
            <w:gridSpan w:val="2"/>
          </w:tcPr>
          <w:p>
            <w:pPr>
              <w:pStyle w:val="TableParagraph"/>
              <w:spacing w:line="223" w:lineRule="exact" w:before="71"/>
              <w:ind w:left="107"/>
              <w:rPr>
                <w:sz w:val="20"/>
              </w:rPr>
            </w:pPr>
            <w:r>
              <w:rPr>
                <w:sz w:val="20"/>
              </w:rPr>
              <w:t>Deconvolute the profile using the following parameters:</w:t>
            </w:r>
          </w:p>
        </w:tc>
      </w:tr>
      <w:tr>
        <w:trPr>
          <w:trHeight w:val="602" w:hRule="atLeast"/>
        </w:trPr>
        <w:tc>
          <w:tcPr>
            <w:tcW w:w="2179" w:type="dxa"/>
          </w:tcPr>
          <w:p>
            <w:pPr>
              <w:pStyle w:val="TableParagraph"/>
              <w:spacing w:before="179"/>
              <w:ind w:left="107"/>
              <w:rPr>
                <w:sz w:val="20"/>
              </w:rPr>
            </w:pPr>
            <w:r>
              <w:rPr>
                <w:sz w:val="20"/>
              </w:rPr>
              <w:t>PAT</w:t>
            </w:r>
          </w:p>
        </w:tc>
        <w:tc>
          <w:tcPr>
            <w:tcW w:w="7421" w:type="dxa"/>
          </w:tcPr>
          <w:p>
            <w:pPr>
              <w:pStyle w:val="TableParagraph"/>
              <w:spacing w:before="56"/>
              <w:ind w:left="107" w:right="388"/>
              <w:rPr>
                <w:sz w:val="20"/>
              </w:rPr>
            </w:pPr>
            <w:r>
              <w:rPr>
                <w:sz w:val="20"/>
              </w:rPr>
              <w:t>Reported alleles must be above the established analytical threshold (universal or dye specific).</w:t>
            </w:r>
          </w:p>
        </w:tc>
      </w:tr>
      <w:tr>
        <w:trPr>
          <w:trHeight w:val="899" w:hRule="atLeast"/>
        </w:trPr>
        <w:tc>
          <w:tcPr>
            <w:tcW w:w="2179" w:type="dxa"/>
          </w:tcPr>
          <w:p>
            <w:pPr>
              <w:pStyle w:val="TableParagraph"/>
              <w:spacing w:before="8"/>
              <w:rPr>
                <w:sz w:val="26"/>
              </w:rPr>
            </w:pPr>
          </w:p>
          <w:p>
            <w:pPr>
              <w:pStyle w:val="TableParagraph"/>
              <w:ind w:left="107"/>
              <w:rPr>
                <w:sz w:val="20"/>
              </w:rPr>
            </w:pPr>
            <w:r>
              <w:rPr>
                <w:sz w:val="20"/>
              </w:rPr>
              <w:t>HET PHR</w:t>
            </w:r>
          </w:p>
        </w:tc>
        <w:tc>
          <w:tcPr>
            <w:tcW w:w="7421" w:type="dxa"/>
          </w:tcPr>
          <w:p>
            <w:pPr>
              <w:pStyle w:val="TableParagraph"/>
              <w:spacing w:before="10"/>
              <w:rPr>
                <w:sz w:val="16"/>
              </w:rPr>
            </w:pPr>
          </w:p>
          <w:p>
            <w:pPr>
              <w:pStyle w:val="TableParagraph"/>
              <w:ind w:left="107" w:right="128"/>
              <w:rPr>
                <w:sz w:val="20"/>
              </w:rPr>
            </w:pPr>
            <w:r>
              <w:rPr>
                <w:sz w:val="20"/>
              </w:rPr>
              <w:t>Expected PHR for heterozygote alleles is </w:t>
            </w:r>
            <w:r>
              <w:rPr>
                <w:sz w:val="20"/>
                <w:u w:val="single"/>
              </w:rPr>
              <w:t>&gt;</w:t>
            </w:r>
            <w:r>
              <w:rPr>
                <w:sz w:val="20"/>
              </w:rPr>
              <w:t> 55%. Peak imbalance may occur and should be considered for lower RFU samples and at high molecular weight loci.</w:t>
            </w:r>
          </w:p>
        </w:tc>
      </w:tr>
      <w:tr>
        <w:trPr>
          <w:trHeight w:val="1799" w:hRule="atLeast"/>
        </w:trPr>
        <w:tc>
          <w:tcPr>
            <w:tcW w:w="2179" w:type="dxa"/>
          </w:tcPr>
          <w:p>
            <w:pPr>
              <w:pStyle w:val="TableParagraph"/>
              <w:rPr>
                <w:sz w:val="20"/>
              </w:rPr>
            </w:pPr>
          </w:p>
          <w:p>
            <w:pPr>
              <w:pStyle w:val="TableParagraph"/>
              <w:rPr>
                <w:sz w:val="20"/>
              </w:rPr>
            </w:pPr>
          </w:p>
          <w:p>
            <w:pPr>
              <w:pStyle w:val="TableParagraph"/>
              <w:spacing w:before="7"/>
              <w:rPr>
                <w:sz w:val="23"/>
              </w:rPr>
            </w:pPr>
          </w:p>
          <w:p>
            <w:pPr>
              <w:pStyle w:val="TableParagraph"/>
              <w:ind w:left="107"/>
              <w:rPr>
                <w:sz w:val="20"/>
              </w:rPr>
            </w:pPr>
            <w:r>
              <w:rPr>
                <w:sz w:val="20"/>
              </w:rPr>
              <w:t>ST</w:t>
            </w:r>
          </w:p>
        </w:tc>
        <w:tc>
          <w:tcPr>
            <w:tcW w:w="7421" w:type="dxa"/>
          </w:tcPr>
          <w:p>
            <w:pPr>
              <w:pStyle w:val="TableParagraph"/>
              <w:spacing w:before="167"/>
              <w:ind w:left="107" w:right="349"/>
              <w:rPr>
                <w:b/>
                <w:sz w:val="20"/>
              </w:rPr>
            </w:pPr>
            <w:r>
              <w:rPr>
                <w:sz w:val="20"/>
              </w:rPr>
              <w:t>When interpreting STR genotypes for samples of low RFUs, care must be taken to distinguish a homozygote peak from a heterozygote peak whose sister allele has dropped out (e.g., complete or partial dropout). As a general guideline, single peaks should not be called as homozygote genotypes unless the peak is </w:t>
            </w:r>
            <w:r>
              <w:rPr>
                <w:sz w:val="20"/>
                <w:u w:val="single"/>
              </w:rPr>
              <w:t>&gt;</w:t>
            </w:r>
            <w:r>
              <w:rPr>
                <w:sz w:val="20"/>
              </w:rPr>
              <w:t> to the established ST. </w:t>
            </w:r>
            <w:r>
              <w:rPr>
                <w:b/>
                <w:sz w:val="20"/>
              </w:rPr>
              <w:t>Consider allele sharing (stacking) when assessing an allele as a possible homozygote peak.</w:t>
            </w:r>
          </w:p>
        </w:tc>
      </w:tr>
      <w:tr>
        <w:trPr>
          <w:trHeight w:val="299" w:hRule="atLeast"/>
        </w:trPr>
        <w:tc>
          <w:tcPr>
            <w:tcW w:w="2179" w:type="dxa"/>
          </w:tcPr>
          <w:p>
            <w:pPr>
              <w:pStyle w:val="TableParagraph"/>
              <w:spacing w:before="27"/>
              <w:ind w:left="107"/>
              <w:rPr>
                <w:sz w:val="20"/>
              </w:rPr>
            </w:pPr>
            <w:r>
              <w:rPr>
                <w:sz w:val="20"/>
              </w:rPr>
              <w:t>Mixture Ratio</w:t>
            </w:r>
          </w:p>
        </w:tc>
        <w:tc>
          <w:tcPr>
            <w:tcW w:w="7421" w:type="dxa"/>
          </w:tcPr>
          <w:p>
            <w:pPr>
              <w:pStyle w:val="TableParagraph"/>
              <w:spacing w:before="27"/>
              <w:ind w:left="107"/>
              <w:rPr>
                <w:sz w:val="20"/>
              </w:rPr>
            </w:pPr>
            <w:r>
              <w:rPr>
                <w:sz w:val="20"/>
              </w:rPr>
              <w:t>Calculated genotype combinations should meet the expected mixture ratios.</w:t>
            </w:r>
          </w:p>
        </w:tc>
      </w:tr>
    </w:tbl>
    <w:p>
      <w:pPr>
        <w:pStyle w:val="BodyText"/>
      </w:pPr>
    </w:p>
    <w:p>
      <w:pPr>
        <w:pStyle w:val="BodyText"/>
        <w:spacing w:before="0"/>
        <w:ind w:left="119"/>
      </w:pPr>
      <w:r>
        <w:rPr/>
        <w:t>For mixture ratios ≥70:30, evaluate the mixture profile using the following guidelines:</w:t>
      </w:r>
    </w:p>
    <w:p>
      <w:pPr>
        <w:pStyle w:val="BodyText"/>
        <w:rPr>
          <w:sz w:val="1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7421"/>
      </w:tblGrid>
      <w:tr>
        <w:trPr>
          <w:trHeight w:val="297" w:hRule="atLeast"/>
        </w:trPr>
        <w:tc>
          <w:tcPr>
            <w:tcW w:w="2179" w:type="dxa"/>
            <w:shd w:val="clear" w:color="auto" w:fill="D9D9D9"/>
          </w:tcPr>
          <w:p>
            <w:pPr>
              <w:pStyle w:val="TableParagraph"/>
              <w:spacing w:line="221" w:lineRule="exact" w:before="56"/>
              <w:ind w:left="573" w:right="566"/>
              <w:jc w:val="center"/>
              <w:rPr>
                <w:sz w:val="20"/>
              </w:rPr>
            </w:pPr>
            <w:r>
              <w:rPr>
                <w:sz w:val="20"/>
              </w:rPr>
              <w:t>Total profile</w:t>
            </w:r>
          </w:p>
        </w:tc>
        <w:tc>
          <w:tcPr>
            <w:tcW w:w="7421" w:type="dxa"/>
            <w:tcBorders>
              <w:bottom w:val="single" w:sz="6" w:space="0" w:color="000000"/>
            </w:tcBorders>
            <w:shd w:val="clear" w:color="auto" w:fill="D9D9D9"/>
          </w:tcPr>
          <w:p>
            <w:pPr>
              <w:pStyle w:val="TableParagraph"/>
              <w:spacing w:line="221" w:lineRule="exact" w:before="56"/>
              <w:ind w:right="2690"/>
              <w:jc w:val="right"/>
              <w:rPr>
                <w:sz w:val="20"/>
              </w:rPr>
            </w:pPr>
            <w:r>
              <w:rPr>
                <w:sz w:val="20"/>
              </w:rPr>
              <w:t>Major Contributor &gt; 70%</w:t>
            </w:r>
          </w:p>
        </w:tc>
      </w:tr>
      <w:tr>
        <w:trPr>
          <w:trHeight w:val="599" w:hRule="atLeast"/>
        </w:trPr>
        <w:tc>
          <w:tcPr>
            <w:tcW w:w="2179" w:type="dxa"/>
            <w:shd w:val="clear" w:color="auto" w:fill="D9D9D9"/>
          </w:tcPr>
          <w:p>
            <w:pPr>
              <w:pStyle w:val="TableParagraph"/>
              <w:spacing w:before="176"/>
              <w:ind w:left="573" w:right="565"/>
              <w:jc w:val="center"/>
              <w:rPr>
                <w:sz w:val="20"/>
              </w:rPr>
            </w:pPr>
            <w:r>
              <w:rPr>
                <w:sz w:val="20"/>
              </w:rPr>
              <w:t>4 alleles</w:t>
            </w:r>
          </w:p>
        </w:tc>
        <w:tc>
          <w:tcPr>
            <w:tcW w:w="7421" w:type="dxa"/>
            <w:tcBorders>
              <w:top w:val="single" w:sz="6" w:space="0" w:color="000000"/>
            </w:tcBorders>
          </w:tcPr>
          <w:p>
            <w:pPr>
              <w:pStyle w:val="TableParagraph"/>
              <w:spacing w:before="54"/>
              <w:ind w:left="107" w:right="457"/>
              <w:rPr>
                <w:sz w:val="20"/>
              </w:rPr>
            </w:pPr>
            <w:r>
              <w:rPr>
                <w:sz w:val="20"/>
              </w:rPr>
              <w:t>No drop out even if one or more alleles are below ST. Deconvolute based on peak height ratio and mixture ratio.</w:t>
            </w:r>
          </w:p>
        </w:tc>
      </w:tr>
      <w:tr>
        <w:trPr>
          <w:trHeight w:val="1799" w:hRule="atLeast"/>
        </w:trPr>
        <w:tc>
          <w:tcPr>
            <w:tcW w:w="2179" w:type="dxa"/>
            <w:shd w:val="clear" w:color="auto" w:fill="D9D9D9"/>
          </w:tcPr>
          <w:p>
            <w:pPr>
              <w:pStyle w:val="TableParagraph"/>
              <w:rPr>
                <w:sz w:val="20"/>
              </w:rPr>
            </w:pPr>
          </w:p>
          <w:p>
            <w:pPr>
              <w:pStyle w:val="TableParagraph"/>
              <w:rPr>
                <w:sz w:val="20"/>
              </w:rPr>
            </w:pPr>
          </w:p>
          <w:p>
            <w:pPr>
              <w:pStyle w:val="TableParagraph"/>
              <w:spacing w:before="7"/>
              <w:rPr>
                <w:sz w:val="23"/>
              </w:rPr>
            </w:pPr>
          </w:p>
          <w:p>
            <w:pPr>
              <w:pStyle w:val="TableParagraph"/>
              <w:ind w:left="573" w:right="565"/>
              <w:jc w:val="center"/>
              <w:rPr>
                <w:sz w:val="20"/>
              </w:rPr>
            </w:pPr>
            <w:r>
              <w:rPr>
                <w:sz w:val="20"/>
              </w:rPr>
              <w:t>3 alleles</w:t>
            </w:r>
          </w:p>
        </w:tc>
        <w:tc>
          <w:tcPr>
            <w:tcW w:w="7421" w:type="dxa"/>
          </w:tcPr>
          <w:p>
            <w:pPr>
              <w:pStyle w:val="TableParagraph"/>
              <w:spacing w:before="6"/>
              <w:rPr>
                <w:sz w:val="23"/>
              </w:rPr>
            </w:pPr>
          </w:p>
          <w:p>
            <w:pPr>
              <w:pStyle w:val="TableParagraph"/>
              <w:ind w:left="107"/>
              <w:rPr>
                <w:sz w:val="20"/>
              </w:rPr>
            </w:pPr>
            <w:r>
              <w:rPr>
                <w:sz w:val="20"/>
              </w:rPr>
              <w:t>If one or more alleles are below ST, possibility of drop out. Deconvolute based on peak height and mixture ratio. In general, the genotype for any allele below ST is "X,ANY" (X=allele). An exception for the minor contributor would be in the instance of a major homozygote with two minor alleles where one or both are below ST. Consider allele sharing (stacking) when assessing an allele as a possible homozygote peak.</w:t>
            </w:r>
          </w:p>
        </w:tc>
      </w:tr>
      <w:tr>
        <w:trPr>
          <w:trHeight w:val="1199" w:hRule="atLeast"/>
        </w:trPr>
        <w:tc>
          <w:tcPr>
            <w:tcW w:w="2179" w:type="dxa"/>
            <w:shd w:val="clear" w:color="auto" w:fill="D9D9D9"/>
          </w:tcPr>
          <w:p>
            <w:pPr>
              <w:pStyle w:val="TableParagraph"/>
              <w:rPr>
                <w:sz w:val="20"/>
              </w:rPr>
            </w:pPr>
          </w:p>
          <w:p>
            <w:pPr>
              <w:pStyle w:val="TableParagraph"/>
              <w:rPr>
                <w:sz w:val="19"/>
              </w:rPr>
            </w:pPr>
          </w:p>
          <w:p>
            <w:pPr>
              <w:pStyle w:val="TableParagraph"/>
              <w:ind w:left="573" w:right="565"/>
              <w:jc w:val="center"/>
              <w:rPr>
                <w:sz w:val="20"/>
              </w:rPr>
            </w:pPr>
            <w:r>
              <w:rPr>
                <w:sz w:val="20"/>
              </w:rPr>
              <w:t>2 alleles</w:t>
            </w:r>
          </w:p>
        </w:tc>
        <w:tc>
          <w:tcPr>
            <w:tcW w:w="7421" w:type="dxa"/>
          </w:tcPr>
          <w:p>
            <w:pPr>
              <w:pStyle w:val="TableParagraph"/>
              <w:spacing w:before="109"/>
              <w:ind w:left="107" w:right="85"/>
              <w:rPr>
                <w:sz w:val="20"/>
              </w:rPr>
            </w:pPr>
            <w:r>
              <w:rPr>
                <w:sz w:val="20"/>
              </w:rPr>
              <w:t>If one or two alleles are below ST, possibility of drop out. If applicable, deconvolute based on peak height and mixture ratio. The genotype for any allele below ST is "X,ANY" (X=allele). Consider allele sharing (stacking) when assessing an allele as a possible homozygote peak.</w:t>
            </w:r>
          </w:p>
        </w:tc>
      </w:tr>
      <w:tr>
        <w:trPr>
          <w:trHeight w:val="599" w:hRule="atLeast"/>
        </w:trPr>
        <w:tc>
          <w:tcPr>
            <w:tcW w:w="2179" w:type="dxa"/>
            <w:shd w:val="clear" w:color="auto" w:fill="D9D9D9"/>
          </w:tcPr>
          <w:p>
            <w:pPr>
              <w:pStyle w:val="TableParagraph"/>
              <w:spacing w:before="176"/>
              <w:ind w:left="571" w:right="566"/>
              <w:jc w:val="center"/>
              <w:rPr>
                <w:sz w:val="20"/>
              </w:rPr>
            </w:pPr>
            <w:r>
              <w:rPr>
                <w:sz w:val="20"/>
              </w:rPr>
              <w:t>1 allele</w:t>
            </w:r>
          </w:p>
        </w:tc>
        <w:tc>
          <w:tcPr>
            <w:tcW w:w="7421" w:type="dxa"/>
          </w:tcPr>
          <w:p>
            <w:pPr>
              <w:pStyle w:val="TableParagraph"/>
              <w:spacing w:before="54"/>
              <w:ind w:left="107" w:right="457"/>
              <w:rPr>
                <w:sz w:val="20"/>
              </w:rPr>
            </w:pPr>
            <w:r>
              <w:rPr>
                <w:sz w:val="20"/>
              </w:rPr>
              <w:t>If the allele is below ST, drop out is present. The locus is "INC" for statistical interpretation.</w:t>
            </w:r>
          </w:p>
        </w:tc>
      </w:tr>
      <w:tr>
        <w:trPr>
          <w:trHeight w:val="299" w:hRule="atLeast"/>
        </w:trPr>
        <w:tc>
          <w:tcPr>
            <w:tcW w:w="2179" w:type="dxa"/>
            <w:tcBorders>
              <w:left w:val="nil"/>
            </w:tcBorders>
            <w:shd w:val="clear" w:color="auto" w:fill="D9D9D9"/>
          </w:tcPr>
          <w:p>
            <w:pPr>
              <w:pStyle w:val="TableParagraph"/>
              <w:rPr>
                <w:rFonts w:ascii="Times New Roman"/>
                <w:sz w:val="18"/>
              </w:rPr>
            </w:pPr>
          </w:p>
        </w:tc>
        <w:tc>
          <w:tcPr>
            <w:tcW w:w="7421" w:type="dxa"/>
            <w:shd w:val="clear" w:color="auto" w:fill="D9D9D9"/>
          </w:tcPr>
          <w:p>
            <w:pPr>
              <w:pStyle w:val="TableParagraph"/>
              <w:spacing w:line="223" w:lineRule="exact" w:before="56"/>
              <w:ind w:right="2685"/>
              <w:jc w:val="right"/>
              <w:rPr>
                <w:sz w:val="20"/>
              </w:rPr>
            </w:pPr>
            <w:r>
              <w:rPr>
                <w:sz w:val="20"/>
              </w:rPr>
              <w:t>Minor Contributor ≤ 30%</w:t>
            </w:r>
          </w:p>
        </w:tc>
      </w:tr>
      <w:tr>
        <w:trPr>
          <w:trHeight w:val="299" w:hRule="atLeast"/>
        </w:trPr>
        <w:tc>
          <w:tcPr>
            <w:tcW w:w="2179" w:type="dxa"/>
            <w:shd w:val="clear" w:color="auto" w:fill="D9D9D9"/>
          </w:tcPr>
          <w:p>
            <w:pPr>
              <w:pStyle w:val="TableParagraph"/>
              <w:spacing w:before="27"/>
              <w:ind w:left="573" w:right="565"/>
              <w:jc w:val="center"/>
              <w:rPr>
                <w:sz w:val="20"/>
              </w:rPr>
            </w:pPr>
            <w:r>
              <w:rPr>
                <w:sz w:val="20"/>
              </w:rPr>
              <w:t>4 alleles</w:t>
            </w:r>
          </w:p>
        </w:tc>
        <w:tc>
          <w:tcPr>
            <w:tcW w:w="7421" w:type="dxa"/>
          </w:tcPr>
          <w:p>
            <w:pPr>
              <w:pStyle w:val="TableParagraph"/>
              <w:spacing w:before="27"/>
              <w:ind w:left="108"/>
              <w:rPr>
                <w:sz w:val="20"/>
              </w:rPr>
            </w:pPr>
            <w:r>
              <w:rPr>
                <w:sz w:val="20"/>
              </w:rPr>
              <w:t>See above.</w:t>
            </w:r>
          </w:p>
        </w:tc>
      </w:tr>
      <w:tr>
        <w:trPr>
          <w:trHeight w:val="902" w:hRule="atLeast"/>
        </w:trPr>
        <w:tc>
          <w:tcPr>
            <w:tcW w:w="2179" w:type="dxa"/>
            <w:shd w:val="clear" w:color="auto" w:fill="D9D9D9"/>
          </w:tcPr>
          <w:p>
            <w:pPr>
              <w:pStyle w:val="TableParagraph"/>
              <w:spacing w:before="10"/>
              <w:rPr>
                <w:sz w:val="26"/>
              </w:rPr>
            </w:pPr>
          </w:p>
          <w:p>
            <w:pPr>
              <w:pStyle w:val="TableParagraph"/>
              <w:ind w:left="573" w:right="565"/>
              <w:jc w:val="center"/>
              <w:rPr>
                <w:sz w:val="20"/>
              </w:rPr>
            </w:pPr>
            <w:r>
              <w:rPr>
                <w:sz w:val="20"/>
              </w:rPr>
              <w:t>3 alleles</w:t>
            </w:r>
          </w:p>
        </w:tc>
        <w:tc>
          <w:tcPr>
            <w:tcW w:w="7421" w:type="dxa"/>
          </w:tcPr>
          <w:p>
            <w:pPr>
              <w:pStyle w:val="TableParagraph"/>
              <w:spacing w:line="240" w:lineRule="atLeast" w:before="167"/>
              <w:ind w:left="107"/>
              <w:rPr>
                <w:sz w:val="20"/>
              </w:rPr>
            </w:pPr>
            <w:r>
              <w:rPr>
                <w:sz w:val="20"/>
              </w:rPr>
              <w:t>See above. Consider allele sharing (stacking) when assessing an allele as a possible homozygote peak. Evaluate homozygote minor peak at ~2X ST. Account for possible stutter if allele is located in stutter position.</w:t>
            </w:r>
          </w:p>
        </w:tc>
      </w:tr>
    </w:tbl>
    <w:p>
      <w:pPr>
        <w:spacing w:after="0" w:line="240" w:lineRule="atLeast"/>
        <w:rPr>
          <w:sz w:val="20"/>
        </w:rPr>
        <w:sectPr>
          <w:type w:val="continuous"/>
          <w:pgSz w:w="12240" w:h="15840"/>
          <w:pgMar w:top="1400" w:bottom="280" w:left="1320" w:right="11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7421"/>
      </w:tblGrid>
      <w:tr>
        <w:trPr>
          <w:trHeight w:val="1499" w:hRule="atLeast"/>
        </w:trPr>
        <w:tc>
          <w:tcPr>
            <w:tcW w:w="2179" w:type="dxa"/>
            <w:tcBorders>
              <w:top w:val="nil"/>
            </w:tcBorders>
            <w:shd w:val="clear" w:color="auto" w:fill="D9D9D9"/>
          </w:tcPr>
          <w:p>
            <w:pPr>
              <w:pStyle w:val="TableParagraph"/>
              <w:rPr>
                <w:sz w:val="20"/>
              </w:rPr>
            </w:pPr>
          </w:p>
          <w:p>
            <w:pPr>
              <w:pStyle w:val="TableParagraph"/>
              <w:rPr>
                <w:sz w:val="20"/>
              </w:rPr>
            </w:pPr>
          </w:p>
          <w:p>
            <w:pPr>
              <w:pStyle w:val="TableParagraph"/>
              <w:spacing w:before="139"/>
              <w:ind w:left="760"/>
              <w:rPr>
                <w:sz w:val="20"/>
              </w:rPr>
            </w:pPr>
            <w:r>
              <w:rPr>
                <w:sz w:val="20"/>
              </w:rPr>
              <w:t>2 alleles</w:t>
            </w:r>
          </w:p>
        </w:tc>
        <w:tc>
          <w:tcPr>
            <w:tcW w:w="7421" w:type="dxa"/>
            <w:tcBorders>
              <w:top w:val="nil"/>
            </w:tcBorders>
          </w:tcPr>
          <w:p>
            <w:pPr>
              <w:pStyle w:val="TableParagraph"/>
              <w:spacing w:before="4"/>
              <w:rPr>
                <w:sz w:val="21"/>
              </w:rPr>
            </w:pPr>
          </w:p>
          <w:p>
            <w:pPr>
              <w:pStyle w:val="TableParagraph"/>
              <w:ind w:left="107" w:right="112"/>
              <w:rPr>
                <w:sz w:val="20"/>
              </w:rPr>
            </w:pPr>
            <w:r>
              <w:rPr>
                <w:sz w:val="20"/>
              </w:rPr>
              <w:t>If one or two alleles are below ST, possibility of drop out. The genotype for any allele below ST is "X,any" (X=allele). Consider allele sharing (stacking) when assessing an allele as a possible homozygote peak. Evaluate homozygote minor peak at ~2X ST. Account for possible stutter if allele is located in stutter position.</w:t>
            </w:r>
          </w:p>
        </w:tc>
      </w:tr>
      <w:tr>
        <w:trPr>
          <w:trHeight w:val="299" w:hRule="atLeast"/>
        </w:trPr>
        <w:tc>
          <w:tcPr>
            <w:tcW w:w="2179" w:type="dxa"/>
            <w:shd w:val="clear" w:color="auto" w:fill="D9D9D9"/>
          </w:tcPr>
          <w:p>
            <w:pPr>
              <w:pStyle w:val="TableParagraph"/>
              <w:spacing w:before="27"/>
              <w:ind w:left="798"/>
              <w:rPr>
                <w:sz w:val="20"/>
              </w:rPr>
            </w:pPr>
            <w:r>
              <w:rPr>
                <w:sz w:val="20"/>
              </w:rPr>
              <w:t>1 allele</w:t>
            </w:r>
          </w:p>
        </w:tc>
        <w:tc>
          <w:tcPr>
            <w:tcW w:w="7421" w:type="dxa"/>
          </w:tcPr>
          <w:p>
            <w:pPr>
              <w:pStyle w:val="TableParagraph"/>
              <w:spacing w:before="27"/>
              <w:ind w:left="108"/>
              <w:rPr>
                <w:sz w:val="20"/>
              </w:rPr>
            </w:pPr>
            <w:r>
              <w:rPr>
                <w:sz w:val="20"/>
              </w:rPr>
              <w:t>The locus is "INC" for statistical interpretation.</w:t>
            </w:r>
          </w:p>
        </w:tc>
      </w:tr>
    </w:tbl>
    <w:p>
      <w:pPr>
        <w:pStyle w:val="BodyText"/>
        <w:spacing w:before="0"/>
      </w:pPr>
    </w:p>
    <w:p>
      <w:pPr>
        <w:pStyle w:val="BodyText"/>
        <w:spacing w:before="9"/>
        <w:rPr>
          <w:sz w:val="14"/>
        </w:rPr>
      </w:pPr>
    </w:p>
    <w:p>
      <w:pPr>
        <w:pStyle w:val="BodyText"/>
        <w:spacing w:before="60"/>
        <w:ind w:left="119"/>
      </w:pPr>
      <w:r>
        <w:rPr/>
        <w:t>For mixture ratio &lt;70:30, evaluate the mixture profile using the following guidelines:</w:t>
      </w:r>
    </w:p>
    <w:p>
      <w:pPr>
        <w:pStyle w:val="BodyText"/>
        <w:rPr>
          <w:sz w:val="1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7421"/>
      </w:tblGrid>
      <w:tr>
        <w:trPr>
          <w:trHeight w:val="299" w:hRule="atLeast"/>
        </w:trPr>
        <w:tc>
          <w:tcPr>
            <w:tcW w:w="2179" w:type="dxa"/>
            <w:shd w:val="clear" w:color="auto" w:fill="D9D9D9"/>
          </w:tcPr>
          <w:p>
            <w:pPr>
              <w:pStyle w:val="TableParagraph"/>
              <w:spacing w:line="225" w:lineRule="exact" w:before="54"/>
              <w:ind w:left="573" w:right="566"/>
              <w:jc w:val="center"/>
              <w:rPr>
                <w:sz w:val="20"/>
              </w:rPr>
            </w:pPr>
            <w:r>
              <w:rPr>
                <w:sz w:val="20"/>
              </w:rPr>
              <w:t>Total profile</w:t>
            </w:r>
          </w:p>
        </w:tc>
        <w:tc>
          <w:tcPr>
            <w:tcW w:w="7421" w:type="dxa"/>
            <w:shd w:val="clear" w:color="auto" w:fill="D9D9D9"/>
          </w:tcPr>
          <w:p>
            <w:pPr>
              <w:pStyle w:val="TableParagraph"/>
              <w:spacing w:line="225" w:lineRule="exact" w:before="54"/>
              <w:ind w:left="2827" w:right="2820"/>
              <w:jc w:val="center"/>
              <w:rPr>
                <w:sz w:val="20"/>
              </w:rPr>
            </w:pPr>
            <w:r>
              <w:rPr>
                <w:sz w:val="20"/>
              </w:rPr>
              <w:t>Mixture ratio &lt; 70:30</w:t>
            </w:r>
          </w:p>
        </w:tc>
      </w:tr>
      <w:tr>
        <w:trPr>
          <w:trHeight w:val="599" w:hRule="atLeast"/>
        </w:trPr>
        <w:tc>
          <w:tcPr>
            <w:tcW w:w="2179" w:type="dxa"/>
            <w:shd w:val="clear" w:color="auto" w:fill="D9D9D9"/>
          </w:tcPr>
          <w:p>
            <w:pPr>
              <w:pStyle w:val="TableParagraph"/>
              <w:spacing w:before="176"/>
              <w:ind w:left="573" w:right="565"/>
              <w:jc w:val="center"/>
              <w:rPr>
                <w:sz w:val="20"/>
              </w:rPr>
            </w:pPr>
            <w:r>
              <w:rPr>
                <w:sz w:val="20"/>
              </w:rPr>
              <w:t>4 alleles</w:t>
            </w:r>
          </w:p>
        </w:tc>
        <w:tc>
          <w:tcPr>
            <w:tcW w:w="7421" w:type="dxa"/>
          </w:tcPr>
          <w:p>
            <w:pPr>
              <w:pStyle w:val="TableParagraph"/>
              <w:spacing w:before="56"/>
              <w:ind w:left="107"/>
              <w:rPr>
                <w:sz w:val="20"/>
              </w:rPr>
            </w:pPr>
            <w:r>
              <w:rPr>
                <w:sz w:val="20"/>
              </w:rPr>
              <w:t>No drop out even if an allele is below ST. All heterozygote genotype combinations included.</w:t>
            </w:r>
          </w:p>
        </w:tc>
      </w:tr>
      <w:tr>
        <w:trPr>
          <w:trHeight w:val="1799" w:hRule="atLeast"/>
        </w:trPr>
        <w:tc>
          <w:tcPr>
            <w:tcW w:w="2179" w:type="dxa"/>
            <w:shd w:val="clear" w:color="auto" w:fill="D9D9D9"/>
          </w:tcPr>
          <w:p>
            <w:pPr>
              <w:pStyle w:val="TableParagraph"/>
              <w:rPr>
                <w:sz w:val="20"/>
              </w:rPr>
            </w:pPr>
          </w:p>
          <w:p>
            <w:pPr>
              <w:pStyle w:val="TableParagraph"/>
              <w:rPr>
                <w:sz w:val="20"/>
              </w:rPr>
            </w:pPr>
          </w:p>
          <w:p>
            <w:pPr>
              <w:pStyle w:val="TableParagraph"/>
              <w:spacing w:before="9"/>
              <w:rPr>
                <w:sz w:val="23"/>
              </w:rPr>
            </w:pPr>
          </w:p>
          <w:p>
            <w:pPr>
              <w:pStyle w:val="TableParagraph"/>
              <w:spacing w:before="1"/>
              <w:ind w:left="573" w:right="565"/>
              <w:jc w:val="center"/>
              <w:rPr>
                <w:sz w:val="20"/>
              </w:rPr>
            </w:pPr>
            <w:r>
              <w:rPr>
                <w:sz w:val="20"/>
              </w:rPr>
              <w:t>3 alleles</w:t>
            </w:r>
          </w:p>
        </w:tc>
        <w:tc>
          <w:tcPr>
            <w:tcW w:w="7421" w:type="dxa"/>
          </w:tcPr>
          <w:p>
            <w:pPr>
              <w:pStyle w:val="TableParagraph"/>
              <w:rPr>
                <w:sz w:val="20"/>
              </w:rPr>
            </w:pPr>
          </w:p>
          <w:p>
            <w:pPr>
              <w:pStyle w:val="TableParagraph"/>
              <w:spacing w:before="9"/>
              <w:rPr>
                <w:sz w:val="23"/>
              </w:rPr>
            </w:pPr>
          </w:p>
          <w:p>
            <w:pPr>
              <w:pStyle w:val="TableParagraph"/>
              <w:ind w:left="107" w:right="220"/>
              <w:jc w:val="both"/>
              <w:rPr>
                <w:sz w:val="20"/>
              </w:rPr>
            </w:pPr>
            <w:r>
              <w:rPr>
                <w:sz w:val="20"/>
              </w:rPr>
              <w:t>If one or more alleles are below ST, possibility of drop out. Deconvolute based on peak height ratio. The genotype for any allele below ST is "X,ANY" (X=allele). Consider allele sharing (stacking) when assessing an allele as a possible homozygote peak.</w:t>
            </w:r>
          </w:p>
        </w:tc>
      </w:tr>
      <w:tr>
        <w:trPr>
          <w:trHeight w:val="1202" w:hRule="atLeast"/>
        </w:trPr>
        <w:tc>
          <w:tcPr>
            <w:tcW w:w="2179" w:type="dxa"/>
            <w:shd w:val="clear" w:color="auto" w:fill="D9D9D9"/>
          </w:tcPr>
          <w:p>
            <w:pPr>
              <w:pStyle w:val="TableParagraph"/>
              <w:rPr>
                <w:sz w:val="20"/>
              </w:rPr>
            </w:pPr>
          </w:p>
          <w:p>
            <w:pPr>
              <w:pStyle w:val="TableParagraph"/>
              <w:spacing w:before="2"/>
              <w:rPr>
                <w:sz w:val="19"/>
              </w:rPr>
            </w:pPr>
          </w:p>
          <w:p>
            <w:pPr>
              <w:pStyle w:val="TableParagraph"/>
              <w:spacing w:before="1"/>
              <w:ind w:left="573" w:right="565"/>
              <w:jc w:val="center"/>
              <w:rPr>
                <w:sz w:val="20"/>
              </w:rPr>
            </w:pPr>
            <w:r>
              <w:rPr>
                <w:sz w:val="20"/>
              </w:rPr>
              <w:t>2 alleles</w:t>
            </w:r>
          </w:p>
        </w:tc>
        <w:tc>
          <w:tcPr>
            <w:tcW w:w="7421" w:type="dxa"/>
          </w:tcPr>
          <w:p>
            <w:pPr>
              <w:pStyle w:val="TableParagraph"/>
              <w:spacing w:before="2"/>
              <w:rPr>
                <w:sz w:val="29"/>
              </w:rPr>
            </w:pPr>
          </w:p>
          <w:p>
            <w:pPr>
              <w:pStyle w:val="TableParagraph"/>
              <w:ind w:left="107" w:right="318"/>
              <w:rPr>
                <w:sz w:val="20"/>
              </w:rPr>
            </w:pPr>
            <w:r>
              <w:rPr>
                <w:sz w:val="20"/>
              </w:rPr>
              <w:t>The locus is "INC" for statistical interpretation unless both alleles are ~2X ST. Consider allele sharing (stacking) when assessing an allele as a possible homozygote peak.</w:t>
            </w:r>
          </w:p>
        </w:tc>
      </w:tr>
      <w:tr>
        <w:trPr>
          <w:trHeight w:val="599" w:hRule="atLeast"/>
        </w:trPr>
        <w:tc>
          <w:tcPr>
            <w:tcW w:w="2179" w:type="dxa"/>
            <w:shd w:val="clear" w:color="auto" w:fill="D9D9D9"/>
          </w:tcPr>
          <w:p>
            <w:pPr>
              <w:pStyle w:val="TableParagraph"/>
              <w:spacing w:before="176"/>
              <w:ind w:left="571" w:right="566"/>
              <w:jc w:val="center"/>
              <w:rPr>
                <w:sz w:val="20"/>
              </w:rPr>
            </w:pPr>
            <w:r>
              <w:rPr>
                <w:sz w:val="20"/>
              </w:rPr>
              <w:t>1 allele</w:t>
            </w:r>
          </w:p>
        </w:tc>
        <w:tc>
          <w:tcPr>
            <w:tcW w:w="7421" w:type="dxa"/>
          </w:tcPr>
          <w:p>
            <w:pPr>
              <w:pStyle w:val="TableParagraph"/>
              <w:spacing w:before="54"/>
              <w:ind w:left="107"/>
              <w:rPr>
                <w:sz w:val="20"/>
              </w:rPr>
            </w:pPr>
            <w:r>
              <w:rPr>
                <w:sz w:val="20"/>
              </w:rPr>
              <w:t>If the allele is less than ~2X ST, possible drop out is present. The locus is "INC" for statistical interpretation.</w:t>
            </w:r>
          </w:p>
        </w:tc>
      </w:tr>
    </w:tbl>
    <w:sectPr>
      <w:pgSz w:w="12240" w:h="15840"/>
      <w:pgMar w:top="1440" w:bottom="280" w:left="13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2"/>
    </w:pPr>
    <w:rPr>
      <w:rFonts w:ascii="Calibri" w:hAnsi="Calibri" w:eastAsia="Calibri" w:cs="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lbrewer</dc:creator>
  <dc:title>Major Deviation Request_Interpretation Guidelines Attachment</dc:title>
  <dcterms:created xsi:type="dcterms:W3CDTF">2019-02-19T19:28:40Z</dcterms:created>
  <dcterms:modified xsi:type="dcterms:W3CDTF">2019-02-19T19:28:40Z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Creator">
    <vt:lpwstr>PDFCreator 2.2.1.0</vt:lpwstr>
  </property>
  <property fmtid="{D5CDD505-2E9C-101B-9397-08002B2CF9AE}" pid="4" name="LastSaved">
    <vt:filetime>2019-02-19T00:00:00Z</vt:filetime>
  </property>
</Properties>
</file>