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3791"/>
        <w:gridCol w:w="3214"/>
        <w:gridCol w:w="1480"/>
      </w:tblGrid>
      <w:tr>
        <w:trPr>
          <w:trHeight w:val="1017" w:hRule="atLeast"/>
        </w:trPr>
        <w:tc>
          <w:tcPr>
            <w:tcW w:w="6201" w:type="dxa"/>
            <w:gridSpan w:val="2"/>
          </w:tcPr>
          <w:p>
            <w:pPr>
              <w:pStyle w:val="TableParagraph"/>
              <w:spacing w:line="252" w:lineRule="auto"/>
              <w:ind w:left="110" w:right="1684"/>
              <w:rPr>
                <w:sz w:val="21"/>
              </w:rPr>
            </w:pPr>
            <w:r>
              <w:rPr>
                <w:w w:val="105"/>
                <w:sz w:val="21"/>
              </w:rPr>
              <w:t>DISTRICT COURT, ADAMS COUNTY, STATE OF COLORADO</w:t>
            </w:r>
          </w:p>
          <w:p>
            <w:pPr>
              <w:pStyle w:val="TableParagraph"/>
              <w:spacing w:before="2"/>
              <w:ind w:left="110"/>
              <w:rPr>
                <w:sz w:val="21"/>
              </w:rPr>
            </w:pPr>
            <w:r>
              <w:rPr>
                <w:w w:val="105"/>
                <w:sz w:val="21"/>
              </w:rPr>
              <w:t>1100 Judicial Center Drive</w:t>
            </w:r>
          </w:p>
          <w:p>
            <w:pPr>
              <w:pStyle w:val="TableParagraph"/>
              <w:spacing w:line="233" w:lineRule="exact" w:before="13"/>
              <w:ind w:left="110"/>
              <w:rPr>
                <w:sz w:val="21"/>
              </w:rPr>
            </w:pPr>
            <w:r>
              <w:rPr>
                <w:w w:val="105"/>
                <w:sz w:val="21"/>
              </w:rPr>
              <w:t>Brighton, CO 80601</w:t>
            </w:r>
          </w:p>
        </w:tc>
        <w:tc>
          <w:tcPr>
            <w:tcW w:w="3214" w:type="dxa"/>
            <w:vMerge w:val="restart"/>
            <w:tcBorders>
              <w:right w:val="nil"/>
            </w:tcBorders>
          </w:tcPr>
          <w:p>
            <w:pPr>
              <w:pStyle w:val="TableParagraph"/>
              <w:rPr>
                <w:sz w:val="22"/>
              </w:rPr>
            </w:pPr>
          </w:p>
          <w:p>
            <w:pPr>
              <w:pStyle w:val="TableParagraph"/>
              <w:spacing w:before="8"/>
              <w:rPr>
                <w:sz w:val="32"/>
              </w:rPr>
            </w:pPr>
          </w:p>
          <w:p>
            <w:pPr>
              <w:pStyle w:val="TableParagraph"/>
              <w:spacing w:line="225" w:lineRule="auto"/>
              <w:ind w:left="220"/>
              <w:rPr>
                <w:sz w:val="20"/>
              </w:rPr>
            </w:pPr>
            <w:r>
              <w:rPr>
                <w:color w:val="0000FF"/>
                <w:sz w:val="20"/>
              </w:rPr>
              <w:t>DATE FILED: June 27, 2017 2:12 FILING ID: 57C002DBCD0A2 CASE NUMBER: 2017CV30399</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7"/>
              </w:rPr>
            </w:pPr>
          </w:p>
          <w:p>
            <w:pPr>
              <w:pStyle w:val="TableParagraph"/>
              <w:ind w:left="158"/>
              <w:rPr>
                <w:sz w:val="24"/>
              </w:rPr>
            </w:pPr>
            <w:r>
              <w:rPr>
                <w:position w:val="-2"/>
              </w:rPr>
              <w:drawing>
                <wp:inline distT="0" distB="0" distL="0" distR="0">
                  <wp:extent cx="127515" cy="12144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7515" cy="121443"/>
                          </a:xfrm>
                          <a:prstGeom prst="rect">
                            <a:avLst/>
                          </a:prstGeom>
                        </pic:spPr>
                      </pic:pic>
                    </a:graphicData>
                  </a:graphic>
                </wp:inline>
              </w:drawing>
            </w:r>
            <w:r>
              <w:rPr>
                <w:position w:val="-2"/>
              </w:rPr>
            </w:r>
            <w:r>
              <w:rPr>
                <w:sz w:val="20"/>
              </w:rPr>
              <w:t>             </w:t>
            </w:r>
            <w:r>
              <w:rPr>
                <w:spacing w:val="12"/>
                <w:sz w:val="20"/>
              </w:rPr>
              <w:t> </w:t>
            </w:r>
            <w:r>
              <w:rPr>
                <w:sz w:val="24"/>
              </w:rPr>
              <w:t>COURT USE</w:t>
            </w:r>
            <w:r>
              <w:rPr>
                <w:spacing w:val="-1"/>
                <w:sz w:val="24"/>
              </w:rPr>
              <w:t> </w:t>
            </w:r>
            <w:r>
              <w:rPr>
                <w:sz w:val="24"/>
              </w:rPr>
              <w:t>ONLY</w:t>
            </w:r>
          </w:p>
        </w:tc>
        <w:tc>
          <w:tcPr>
            <w:tcW w:w="1480" w:type="dxa"/>
            <w:vMerge w:val="restart"/>
            <w:tcBorders>
              <w:left w:val="nil"/>
            </w:tcBorders>
          </w:tcPr>
          <w:p>
            <w:pPr>
              <w:pStyle w:val="TableParagraph"/>
              <w:rPr>
                <w:sz w:val="22"/>
              </w:rPr>
            </w:pPr>
          </w:p>
          <w:p>
            <w:pPr>
              <w:pStyle w:val="TableParagraph"/>
              <w:spacing w:before="8"/>
              <w:rPr>
                <w:sz w:val="31"/>
              </w:rPr>
            </w:pPr>
          </w:p>
          <w:p>
            <w:pPr>
              <w:pStyle w:val="TableParagraph"/>
              <w:ind w:left="44"/>
              <w:rPr>
                <w:sz w:val="20"/>
              </w:rPr>
            </w:pPr>
            <w:r>
              <w:rPr>
                <w:color w:val="0000FF"/>
                <w:sz w:val="20"/>
              </w:rPr>
              <w:t>PM</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 w:after="1"/>
              <w:rPr>
                <w:sz w:val="28"/>
              </w:rPr>
            </w:pPr>
          </w:p>
          <w:p>
            <w:pPr>
              <w:pStyle w:val="TableParagraph"/>
              <w:spacing w:line="191" w:lineRule="exact"/>
              <w:ind w:left="367"/>
              <w:rPr>
                <w:sz w:val="19"/>
              </w:rPr>
            </w:pPr>
            <w:r>
              <w:rPr>
                <w:position w:val="-3"/>
                <w:sz w:val="19"/>
              </w:rPr>
              <w:drawing>
                <wp:inline distT="0" distB="0" distL="0" distR="0">
                  <wp:extent cx="124479" cy="121443"/>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24479" cy="121443"/>
                          </a:xfrm>
                          <a:prstGeom prst="rect">
                            <a:avLst/>
                          </a:prstGeom>
                        </pic:spPr>
                      </pic:pic>
                    </a:graphicData>
                  </a:graphic>
                </wp:inline>
              </w:drawing>
            </w:r>
            <w:r>
              <w:rPr>
                <w:position w:val="-3"/>
                <w:sz w:val="19"/>
              </w:rPr>
            </w:r>
          </w:p>
        </w:tc>
      </w:tr>
      <w:tr>
        <w:trPr>
          <w:trHeight w:val="3201" w:hRule="atLeast"/>
        </w:trPr>
        <w:tc>
          <w:tcPr>
            <w:tcW w:w="6201" w:type="dxa"/>
            <w:gridSpan w:val="2"/>
          </w:tcPr>
          <w:p>
            <w:pPr>
              <w:pStyle w:val="TableParagraph"/>
              <w:ind w:left="110"/>
              <w:rPr>
                <w:b/>
                <w:sz w:val="21"/>
              </w:rPr>
            </w:pPr>
            <w:r>
              <w:rPr>
                <w:b/>
                <w:w w:val="105"/>
                <w:sz w:val="21"/>
              </w:rPr>
              <w:t>Plaintiff:</w:t>
            </w:r>
          </w:p>
          <w:p>
            <w:pPr>
              <w:pStyle w:val="TableParagraph"/>
              <w:spacing w:line="506" w:lineRule="auto" w:before="13"/>
              <w:ind w:left="110" w:right="3467"/>
              <w:rPr>
                <w:sz w:val="21"/>
              </w:rPr>
            </w:pPr>
            <w:r>
              <w:rPr>
                <w:w w:val="105"/>
                <w:sz w:val="21"/>
              </w:rPr>
              <w:t>Precision Investments, LLC v.</w:t>
            </w:r>
          </w:p>
          <w:p>
            <w:pPr>
              <w:pStyle w:val="TableParagraph"/>
              <w:spacing w:line="240" w:lineRule="exact"/>
              <w:ind w:left="110"/>
              <w:rPr>
                <w:b/>
                <w:sz w:val="21"/>
              </w:rPr>
            </w:pPr>
            <w:r>
              <w:rPr>
                <w:b/>
                <w:w w:val="105"/>
                <w:sz w:val="21"/>
              </w:rPr>
              <w:t>Defendant(s):</w:t>
            </w:r>
          </w:p>
          <w:p>
            <w:pPr>
              <w:pStyle w:val="TableParagraph"/>
              <w:spacing w:before="8"/>
              <w:ind w:left="275"/>
              <w:rPr>
                <w:sz w:val="21"/>
              </w:rPr>
            </w:pPr>
            <w:r>
              <w:rPr>
                <w:w w:val="105"/>
                <w:sz w:val="21"/>
              </w:rPr>
              <w:t>Matthew C. Bradley, a deceased individual;</w:t>
            </w:r>
          </w:p>
          <w:p>
            <w:pPr>
              <w:pStyle w:val="TableParagraph"/>
              <w:spacing w:line="252" w:lineRule="auto" w:before="13"/>
              <w:ind w:left="110" w:firstLine="165"/>
              <w:rPr>
                <w:sz w:val="21"/>
              </w:rPr>
            </w:pPr>
            <w:r>
              <w:rPr>
                <w:w w:val="105"/>
                <w:sz w:val="21"/>
              </w:rPr>
              <w:t>All unknown heirs and devisees of the aforesaid individual defendant;</w:t>
            </w:r>
          </w:p>
          <w:p>
            <w:pPr>
              <w:pStyle w:val="TableParagraph"/>
              <w:spacing w:before="2"/>
              <w:ind w:left="275"/>
              <w:rPr>
                <w:sz w:val="21"/>
              </w:rPr>
            </w:pPr>
            <w:r>
              <w:rPr>
                <w:w w:val="105"/>
                <w:sz w:val="21"/>
              </w:rPr>
              <w:t>Sharon L. Bradley, an individual;</w:t>
            </w:r>
          </w:p>
          <w:p>
            <w:pPr>
              <w:pStyle w:val="TableParagraph"/>
              <w:spacing w:line="252" w:lineRule="auto" w:before="13"/>
              <w:ind w:left="110" w:firstLine="165"/>
              <w:rPr>
                <w:sz w:val="21"/>
              </w:rPr>
            </w:pPr>
            <w:r>
              <w:rPr>
                <w:w w:val="105"/>
                <w:sz w:val="21"/>
              </w:rPr>
              <w:t>All unknown persons who claim any right, title, interest, estate or lien in the subject matter of this action.</w:t>
            </w:r>
          </w:p>
        </w:tc>
        <w:tc>
          <w:tcPr>
            <w:tcW w:w="3214" w:type="dxa"/>
            <w:vMerge/>
            <w:tcBorders>
              <w:top w:val="nil"/>
              <w:right w:val="nil"/>
            </w:tcBorders>
          </w:tcPr>
          <w:p>
            <w:pPr>
              <w:rPr>
                <w:sz w:val="2"/>
                <w:szCs w:val="2"/>
              </w:rPr>
            </w:pPr>
          </w:p>
        </w:tc>
        <w:tc>
          <w:tcPr>
            <w:tcW w:w="1480" w:type="dxa"/>
            <w:vMerge/>
            <w:tcBorders>
              <w:top w:val="nil"/>
              <w:left w:val="nil"/>
            </w:tcBorders>
          </w:tcPr>
          <w:p>
            <w:pPr>
              <w:rPr>
                <w:sz w:val="2"/>
                <w:szCs w:val="2"/>
              </w:rPr>
            </w:pPr>
          </w:p>
        </w:tc>
      </w:tr>
      <w:tr>
        <w:trPr>
          <w:trHeight w:val="279" w:hRule="atLeast"/>
        </w:trPr>
        <w:tc>
          <w:tcPr>
            <w:tcW w:w="2410" w:type="dxa"/>
            <w:tcBorders>
              <w:bottom w:val="nil"/>
              <w:right w:val="nil"/>
            </w:tcBorders>
          </w:tcPr>
          <w:p>
            <w:pPr>
              <w:pStyle w:val="TableParagraph"/>
              <w:ind w:left="110"/>
              <w:rPr>
                <w:b/>
                <w:sz w:val="21"/>
              </w:rPr>
            </w:pPr>
            <w:r>
              <w:rPr>
                <w:b/>
                <w:w w:val="105"/>
                <w:sz w:val="21"/>
              </w:rPr>
              <w:t>Attorney:</w:t>
            </w:r>
          </w:p>
        </w:tc>
        <w:tc>
          <w:tcPr>
            <w:tcW w:w="3791" w:type="dxa"/>
            <w:tcBorders>
              <w:left w:val="nil"/>
              <w:bottom w:val="nil"/>
            </w:tcBorders>
          </w:tcPr>
          <w:p>
            <w:pPr>
              <w:pStyle w:val="TableParagraph"/>
              <w:rPr>
                <w:sz w:val="20"/>
              </w:rPr>
            </w:pPr>
          </w:p>
        </w:tc>
        <w:tc>
          <w:tcPr>
            <w:tcW w:w="4694" w:type="dxa"/>
            <w:gridSpan w:val="2"/>
            <w:tcBorders>
              <w:bottom w:val="nil"/>
            </w:tcBorders>
          </w:tcPr>
          <w:p>
            <w:pPr>
              <w:pStyle w:val="TableParagraph"/>
              <w:spacing w:line="260" w:lineRule="exact"/>
              <w:ind w:left="110"/>
              <w:rPr>
                <w:sz w:val="24"/>
              </w:rPr>
            </w:pPr>
            <w:r>
              <w:rPr>
                <w:sz w:val="24"/>
              </w:rPr>
              <w:t>Case No.:</w:t>
            </w:r>
            <w:r>
              <w:rPr>
                <w:spacing w:val="58"/>
                <w:sz w:val="24"/>
              </w:rPr>
              <w:t> </w:t>
            </w:r>
            <w:r>
              <w:rPr>
                <w:sz w:val="24"/>
              </w:rPr>
              <w:t>2017CV030399</w:t>
            </w:r>
          </w:p>
        </w:tc>
      </w:tr>
      <w:tr>
        <w:trPr>
          <w:trHeight w:val="244" w:hRule="atLeast"/>
        </w:trPr>
        <w:tc>
          <w:tcPr>
            <w:tcW w:w="2410" w:type="dxa"/>
            <w:tcBorders>
              <w:top w:val="nil"/>
              <w:bottom w:val="nil"/>
              <w:right w:val="nil"/>
            </w:tcBorders>
          </w:tcPr>
          <w:p>
            <w:pPr>
              <w:pStyle w:val="TableParagraph"/>
              <w:spacing w:line="216" w:lineRule="exact"/>
              <w:ind w:left="110"/>
              <w:rPr>
                <w:sz w:val="21"/>
              </w:rPr>
            </w:pPr>
            <w:r>
              <w:rPr>
                <w:w w:val="105"/>
                <w:sz w:val="21"/>
              </w:rPr>
              <w:t>Heath A. Phillips</w:t>
            </w:r>
          </w:p>
        </w:tc>
        <w:tc>
          <w:tcPr>
            <w:tcW w:w="3791" w:type="dxa"/>
            <w:tcBorders>
              <w:top w:val="nil"/>
              <w:left w:val="nil"/>
              <w:bottom w:val="nil"/>
            </w:tcBorders>
          </w:tcPr>
          <w:p>
            <w:pPr>
              <w:pStyle w:val="TableParagraph"/>
              <w:rPr>
                <w:sz w:val="16"/>
              </w:rPr>
            </w:pPr>
          </w:p>
        </w:tc>
        <w:tc>
          <w:tcPr>
            <w:tcW w:w="4694" w:type="dxa"/>
            <w:gridSpan w:val="2"/>
            <w:tcBorders>
              <w:top w:val="nil"/>
              <w:bottom w:val="nil"/>
            </w:tcBorders>
          </w:tcPr>
          <w:p>
            <w:pPr>
              <w:pStyle w:val="TableParagraph"/>
              <w:rPr>
                <w:sz w:val="16"/>
              </w:rPr>
            </w:pPr>
          </w:p>
        </w:tc>
      </w:tr>
      <w:tr>
        <w:trPr>
          <w:trHeight w:val="508" w:hRule="atLeast"/>
        </w:trPr>
        <w:tc>
          <w:tcPr>
            <w:tcW w:w="2410" w:type="dxa"/>
            <w:tcBorders>
              <w:top w:val="nil"/>
              <w:bottom w:val="nil"/>
              <w:right w:val="nil"/>
            </w:tcBorders>
          </w:tcPr>
          <w:p>
            <w:pPr>
              <w:pStyle w:val="TableParagraph"/>
              <w:spacing w:line="227" w:lineRule="exact"/>
              <w:ind w:left="110"/>
              <w:rPr>
                <w:sz w:val="21"/>
              </w:rPr>
            </w:pPr>
            <w:r>
              <w:rPr>
                <w:w w:val="105"/>
                <w:sz w:val="21"/>
              </w:rPr>
              <w:t>H.A. Phillips Law, LLC</w:t>
            </w:r>
          </w:p>
          <w:p>
            <w:pPr>
              <w:pStyle w:val="TableParagraph"/>
              <w:spacing w:before="13"/>
              <w:ind w:left="110"/>
              <w:rPr>
                <w:sz w:val="21"/>
              </w:rPr>
            </w:pPr>
            <w:r>
              <w:rPr>
                <w:w w:val="105"/>
                <w:sz w:val="21"/>
              </w:rPr>
              <w:t>13092 W. 80</w:t>
            </w:r>
            <w:r>
              <w:rPr>
                <w:w w:val="105"/>
                <w:sz w:val="21"/>
                <w:vertAlign w:val="superscript"/>
              </w:rPr>
              <w:t>th</w:t>
            </w:r>
            <w:r>
              <w:rPr>
                <w:w w:val="105"/>
                <w:sz w:val="21"/>
                <w:vertAlign w:val="baseline"/>
              </w:rPr>
              <w:t> Place</w:t>
            </w:r>
          </w:p>
        </w:tc>
        <w:tc>
          <w:tcPr>
            <w:tcW w:w="3791" w:type="dxa"/>
            <w:tcBorders>
              <w:top w:val="nil"/>
              <w:left w:val="nil"/>
              <w:bottom w:val="nil"/>
            </w:tcBorders>
          </w:tcPr>
          <w:p>
            <w:pPr>
              <w:pStyle w:val="TableParagraph"/>
              <w:rPr>
                <w:sz w:val="20"/>
              </w:rPr>
            </w:pPr>
          </w:p>
        </w:tc>
        <w:tc>
          <w:tcPr>
            <w:tcW w:w="4694" w:type="dxa"/>
            <w:gridSpan w:val="2"/>
            <w:tcBorders>
              <w:top w:val="nil"/>
              <w:bottom w:val="nil"/>
            </w:tcBorders>
          </w:tcPr>
          <w:p>
            <w:pPr>
              <w:pStyle w:val="TableParagraph"/>
              <w:spacing w:before="19"/>
              <w:ind w:left="110"/>
              <w:rPr>
                <w:sz w:val="24"/>
              </w:rPr>
            </w:pPr>
            <w:r>
              <w:rPr>
                <w:sz w:val="24"/>
              </w:rPr>
              <w:t>Division:</w:t>
            </w:r>
          </w:p>
        </w:tc>
      </w:tr>
      <w:tr>
        <w:trPr>
          <w:trHeight w:val="508" w:hRule="atLeast"/>
        </w:trPr>
        <w:tc>
          <w:tcPr>
            <w:tcW w:w="2410" w:type="dxa"/>
            <w:tcBorders>
              <w:top w:val="nil"/>
              <w:bottom w:val="nil"/>
              <w:right w:val="nil"/>
            </w:tcBorders>
          </w:tcPr>
          <w:p>
            <w:pPr>
              <w:pStyle w:val="TableParagraph"/>
              <w:spacing w:line="227" w:lineRule="exact"/>
              <w:ind w:left="110"/>
              <w:rPr>
                <w:sz w:val="21"/>
              </w:rPr>
            </w:pPr>
            <w:r>
              <w:rPr>
                <w:w w:val="105"/>
                <w:sz w:val="21"/>
              </w:rPr>
              <w:t>Arvada, CO</w:t>
            </w:r>
            <w:r>
              <w:rPr>
                <w:spacing w:val="54"/>
                <w:w w:val="105"/>
                <w:sz w:val="21"/>
              </w:rPr>
              <w:t> </w:t>
            </w:r>
            <w:r>
              <w:rPr>
                <w:w w:val="105"/>
                <w:sz w:val="21"/>
              </w:rPr>
              <w:t>80005</w:t>
            </w:r>
          </w:p>
          <w:p>
            <w:pPr>
              <w:pStyle w:val="TableParagraph"/>
              <w:spacing w:before="13"/>
              <w:ind w:left="110"/>
              <w:rPr>
                <w:sz w:val="21"/>
              </w:rPr>
            </w:pPr>
            <w:r>
              <w:rPr>
                <w:w w:val="105"/>
                <w:sz w:val="21"/>
              </w:rPr>
              <w:t>Phone: (303) 378-3141</w:t>
            </w:r>
          </w:p>
        </w:tc>
        <w:tc>
          <w:tcPr>
            <w:tcW w:w="3791" w:type="dxa"/>
            <w:tcBorders>
              <w:top w:val="nil"/>
              <w:left w:val="nil"/>
              <w:bottom w:val="nil"/>
            </w:tcBorders>
          </w:tcPr>
          <w:p>
            <w:pPr>
              <w:pStyle w:val="TableParagraph"/>
              <w:spacing w:before="9"/>
              <w:rPr>
                <w:sz w:val="20"/>
              </w:rPr>
            </w:pPr>
          </w:p>
          <w:p>
            <w:pPr>
              <w:pStyle w:val="TableParagraph"/>
              <w:ind w:left="185"/>
              <w:rPr>
                <w:sz w:val="21"/>
              </w:rPr>
            </w:pPr>
            <w:r>
              <w:rPr>
                <w:w w:val="105"/>
                <w:sz w:val="21"/>
              </w:rPr>
              <w:t>Email: </w:t>
            </w:r>
            <w:hyperlink r:id="rId7">
              <w:r>
                <w:rPr>
                  <w:color w:val="0563C1"/>
                  <w:w w:val="105"/>
                  <w:sz w:val="21"/>
                  <w:u w:val="single" w:color="0563C1"/>
                </w:rPr>
                <w:t>heath@haphillipslaw.com</w:t>
              </w:r>
            </w:hyperlink>
          </w:p>
        </w:tc>
        <w:tc>
          <w:tcPr>
            <w:tcW w:w="4694" w:type="dxa"/>
            <w:gridSpan w:val="2"/>
            <w:tcBorders>
              <w:top w:val="nil"/>
              <w:bottom w:val="nil"/>
            </w:tcBorders>
          </w:tcPr>
          <w:p>
            <w:pPr>
              <w:pStyle w:val="TableParagraph"/>
              <w:spacing w:before="62"/>
              <w:ind w:left="110"/>
              <w:rPr>
                <w:sz w:val="24"/>
              </w:rPr>
            </w:pPr>
            <w:r>
              <w:rPr>
                <w:sz w:val="24"/>
              </w:rPr>
              <w:t>Courtroom:</w:t>
            </w:r>
          </w:p>
        </w:tc>
      </w:tr>
      <w:tr>
        <w:trPr>
          <w:trHeight w:val="238" w:hRule="atLeast"/>
        </w:trPr>
        <w:tc>
          <w:tcPr>
            <w:tcW w:w="2410" w:type="dxa"/>
            <w:tcBorders>
              <w:top w:val="nil"/>
              <w:right w:val="nil"/>
            </w:tcBorders>
          </w:tcPr>
          <w:p>
            <w:pPr>
              <w:pStyle w:val="TableParagraph"/>
              <w:rPr>
                <w:sz w:val="16"/>
              </w:rPr>
            </w:pPr>
          </w:p>
        </w:tc>
        <w:tc>
          <w:tcPr>
            <w:tcW w:w="3791" w:type="dxa"/>
            <w:tcBorders>
              <w:top w:val="nil"/>
              <w:left w:val="nil"/>
            </w:tcBorders>
          </w:tcPr>
          <w:p>
            <w:pPr>
              <w:pStyle w:val="TableParagraph"/>
              <w:spacing w:line="219" w:lineRule="exact"/>
              <w:ind w:left="180"/>
              <w:rPr>
                <w:sz w:val="21"/>
              </w:rPr>
            </w:pPr>
            <w:r>
              <w:rPr>
                <w:w w:val="105"/>
                <w:sz w:val="21"/>
              </w:rPr>
              <w:t>Attorney Registration #:</w:t>
            </w:r>
            <w:r>
              <w:rPr>
                <w:spacing w:val="54"/>
                <w:w w:val="105"/>
                <w:sz w:val="21"/>
              </w:rPr>
              <w:t> </w:t>
            </w:r>
            <w:r>
              <w:rPr>
                <w:w w:val="105"/>
                <w:sz w:val="21"/>
              </w:rPr>
              <w:t>40976</w:t>
            </w:r>
          </w:p>
        </w:tc>
        <w:tc>
          <w:tcPr>
            <w:tcW w:w="4694" w:type="dxa"/>
            <w:gridSpan w:val="2"/>
            <w:tcBorders>
              <w:top w:val="nil"/>
            </w:tcBorders>
          </w:tcPr>
          <w:p>
            <w:pPr>
              <w:pStyle w:val="TableParagraph"/>
              <w:rPr>
                <w:sz w:val="16"/>
              </w:rPr>
            </w:pPr>
          </w:p>
        </w:tc>
      </w:tr>
      <w:tr>
        <w:trPr>
          <w:trHeight w:val="498" w:hRule="atLeast"/>
        </w:trPr>
        <w:tc>
          <w:tcPr>
            <w:tcW w:w="10895" w:type="dxa"/>
            <w:gridSpan w:val="4"/>
          </w:tcPr>
          <w:p>
            <w:pPr>
              <w:pStyle w:val="TableParagraph"/>
              <w:spacing w:line="263" w:lineRule="exact"/>
              <w:ind w:left="1791"/>
              <w:rPr>
                <w:b/>
                <w:sz w:val="24"/>
              </w:rPr>
            </w:pPr>
            <w:r>
              <w:rPr>
                <w:b/>
                <w:sz w:val="24"/>
              </w:rPr>
              <w:t>MOTION FOR ENTRY OF DEFAULT AND DEFAULT JUDGMENT</w:t>
            </w:r>
          </w:p>
        </w:tc>
      </w:tr>
    </w:tbl>
    <w:p>
      <w:pPr>
        <w:pStyle w:val="BodyText"/>
        <w:spacing w:before="7"/>
        <w:rPr>
          <w:rFonts w:ascii="Times New Roman"/>
          <w:sz w:val="17"/>
        </w:rPr>
      </w:pPr>
    </w:p>
    <w:p>
      <w:pPr>
        <w:pStyle w:val="BodyText"/>
        <w:spacing w:before="106"/>
        <w:ind w:left="1369"/>
      </w:pPr>
      <w:r>
        <w:rPr>
          <w:w w:val="105"/>
        </w:rPr>
        <w:t>Plaintiff, Precision Investments, LLC (“Plaintiff”), through undersigned counsel and pursuant to</w:t>
      </w:r>
    </w:p>
    <w:p>
      <w:pPr>
        <w:pStyle w:val="BodyText"/>
        <w:spacing w:line="252" w:lineRule="auto" w:before="12"/>
        <w:ind w:left="649" w:right="1014"/>
      </w:pPr>
      <w:r>
        <w:rPr>
          <w:w w:val="105"/>
        </w:rPr>
        <w:t>C.R.C.P. 55, moves for entry of default and default judgment against defendants Matthew C. Bradley and all unknown heirs and devisees; Sharon L. Bradley; and all unknown persons who claim any right, title, interest, estate or lien in the subject matter of this action. In support of this Motion, Plaintiff states as follows:</w:t>
      </w:r>
    </w:p>
    <w:p>
      <w:pPr>
        <w:pStyle w:val="BodyText"/>
        <w:spacing w:before="11"/>
      </w:pPr>
    </w:p>
    <w:p>
      <w:pPr>
        <w:pStyle w:val="ListParagraph"/>
        <w:numPr>
          <w:ilvl w:val="3"/>
          <w:numId w:val="1"/>
        </w:numPr>
        <w:tabs>
          <w:tab w:pos="2089" w:val="left" w:leader="none"/>
          <w:tab w:pos="2090" w:val="left" w:leader="none"/>
        </w:tabs>
        <w:spacing w:line="252" w:lineRule="auto" w:before="0" w:after="0"/>
        <w:ind w:left="649" w:right="1187" w:firstLine="720"/>
        <w:jc w:val="left"/>
        <w:rPr>
          <w:sz w:val="21"/>
        </w:rPr>
      </w:pPr>
      <w:r>
        <w:rPr>
          <w:w w:val="105"/>
          <w:sz w:val="21"/>
        </w:rPr>
        <w:t>This lawsuit was brought by Plaintiff to quiet title to property to which Plaintiff has an interest based on a Quit Claim Deed, recorded in Adams County, Colorado, at the clerk and recorder’s office, on January 19, 2017 at Reception Number 2017000005525. A copy of Plaintiff’s quitclaim deed is attached as Exhibit</w:t>
      </w:r>
      <w:r>
        <w:rPr>
          <w:spacing w:val="2"/>
          <w:w w:val="105"/>
          <w:sz w:val="21"/>
        </w:rPr>
        <w:t> </w:t>
      </w:r>
      <w:r>
        <w:rPr>
          <w:w w:val="105"/>
          <w:sz w:val="21"/>
        </w:rPr>
        <w:t>A.</w:t>
      </w:r>
    </w:p>
    <w:p>
      <w:pPr>
        <w:pStyle w:val="BodyText"/>
        <w:spacing w:before="11"/>
      </w:pPr>
    </w:p>
    <w:p>
      <w:pPr>
        <w:pStyle w:val="ListParagraph"/>
        <w:numPr>
          <w:ilvl w:val="3"/>
          <w:numId w:val="1"/>
        </w:numPr>
        <w:tabs>
          <w:tab w:pos="2139" w:val="left" w:leader="none"/>
          <w:tab w:pos="2140" w:val="left" w:leader="none"/>
        </w:tabs>
        <w:spacing w:line="252" w:lineRule="auto" w:before="0" w:after="0"/>
        <w:ind w:left="649" w:right="1159" w:firstLine="720"/>
        <w:jc w:val="left"/>
        <w:rPr>
          <w:sz w:val="21"/>
        </w:rPr>
      </w:pPr>
      <w:r>
        <w:rPr>
          <w:w w:val="105"/>
          <w:sz w:val="21"/>
        </w:rPr>
        <w:t>Defendant Matthew C. Bradley was named as a defendant in this lawsuit because Matthew C. Bradley, and his unknown heirs and devisees may claim an interest in the subject matter of this action based on a warranty deed recorded on November 23, 1977 at Reception Number 1977020104292 in the real property records at the Adams County Clerk and Recorder’s office; and another quitclaim deed recorded on September 2, 1997 at Reception Number 1997030313176 in the real property records at the Adams County Clerk and Recorder’s office. Copies of defendant Matthew C. Bradley’s two quitclaim deeds are attached as Exhibit</w:t>
      </w:r>
      <w:r>
        <w:rPr>
          <w:spacing w:val="6"/>
          <w:w w:val="105"/>
          <w:sz w:val="21"/>
        </w:rPr>
        <w:t> </w:t>
      </w:r>
      <w:r>
        <w:rPr>
          <w:w w:val="105"/>
          <w:sz w:val="21"/>
        </w:rPr>
        <w:t>B.</w:t>
      </w:r>
    </w:p>
    <w:p>
      <w:pPr>
        <w:pStyle w:val="BodyText"/>
        <w:spacing w:before="5"/>
      </w:pPr>
    </w:p>
    <w:p>
      <w:pPr>
        <w:pStyle w:val="ListParagraph"/>
        <w:numPr>
          <w:ilvl w:val="3"/>
          <w:numId w:val="1"/>
        </w:numPr>
        <w:tabs>
          <w:tab w:pos="2089" w:val="left" w:leader="none"/>
          <w:tab w:pos="2090" w:val="left" w:leader="none"/>
        </w:tabs>
        <w:spacing w:line="240" w:lineRule="auto" w:before="0" w:after="0"/>
        <w:ind w:left="2089" w:right="0" w:hanging="720"/>
        <w:jc w:val="left"/>
        <w:rPr>
          <w:sz w:val="21"/>
        </w:rPr>
      </w:pPr>
      <w:r>
        <w:rPr>
          <w:w w:val="105"/>
          <w:sz w:val="21"/>
        </w:rPr>
        <w:t>Defendant Sharon L. Bradley was named as a defendant in this lawsuit because</w:t>
      </w:r>
      <w:r>
        <w:rPr>
          <w:spacing w:val="-14"/>
          <w:w w:val="105"/>
          <w:sz w:val="21"/>
        </w:rPr>
        <w:t> </w:t>
      </w:r>
      <w:r>
        <w:rPr>
          <w:w w:val="105"/>
          <w:sz w:val="21"/>
        </w:rPr>
        <w:t>Sharon</w:t>
      </w:r>
    </w:p>
    <w:p>
      <w:pPr>
        <w:pStyle w:val="BodyText"/>
        <w:spacing w:line="252" w:lineRule="auto" w:before="13"/>
        <w:ind w:left="649" w:right="1014"/>
      </w:pPr>
      <w:r>
        <w:rPr>
          <w:w w:val="105"/>
        </w:rPr>
        <w:t>L. Bradley may claim an interest in the subject matter of this action based on a quitclaim deed recorded on April 3, 2002 at Reception Number 2002030950445 in the real property records at the Adams County</w:t>
      </w:r>
    </w:p>
    <w:p>
      <w:pPr>
        <w:spacing w:after="0" w:line="252" w:lineRule="auto"/>
        <w:sectPr>
          <w:type w:val="continuous"/>
          <w:pgSz w:w="12240" w:h="15840"/>
          <w:pgMar w:top="1440" w:bottom="280" w:left="800" w:right="300"/>
        </w:sectPr>
      </w:pPr>
    </w:p>
    <w:p>
      <w:pPr>
        <w:pStyle w:val="BodyText"/>
        <w:spacing w:line="252" w:lineRule="auto" w:before="76"/>
        <w:ind w:left="649" w:right="1168"/>
        <w:jc w:val="both"/>
      </w:pPr>
      <w:r>
        <w:rPr>
          <w:w w:val="105"/>
        </w:rPr>
        <w:t>Clerk and Recorder’s office; and another quitclaim deed recorded on April 7, 2004 at Reception Number 2004000206000 in the real property records at the Adams County Clerk and Recorder’s office. Copies of defendant Sharon L. Bradley’s two quitclaim deeds are attached as Exhibit C.</w:t>
      </w:r>
    </w:p>
    <w:p>
      <w:pPr>
        <w:pStyle w:val="BodyText"/>
        <w:spacing w:before="11"/>
      </w:pPr>
    </w:p>
    <w:p>
      <w:pPr>
        <w:pStyle w:val="ListParagraph"/>
        <w:numPr>
          <w:ilvl w:val="3"/>
          <w:numId w:val="1"/>
        </w:numPr>
        <w:tabs>
          <w:tab w:pos="2089" w:val="left" w:leader="none"/>
          <w:tab w:pos="2090" w:val="left" w:leader="none"/>
        </w:tabs>
        <w:spacing w:line="252" w:lineRule="auto" w:before="0" w:after="0"/>
        <w:ind w:left="649" w:right="1333" w:firstLine="720"/>
        <w:jc w:val="both"/>
        <w:rPr>
          <w:sz w:val="21"/>
        </w:rPr>
      </w:pPr>
      <w:r>
        <w:rPr>
          <w:w w:val="105"/>
          <w:sz w:val="21"/>
        </w:rPr>
        <w:t>Plaintiff</w:t>
      </w:r>
      <w:r>
        <w:rPr>
          <w:spacing w:val="-4"/>
          <w:w w:val="105"/>
          <w:sz w:val="21"/>
        </w:rPr>
        <w:t> </w:t>
      </w:r>
      <w:r>
        <w:rPr>
          <w:w w:val="105"/>
          <w:sz w:val="21"/>
        </w:rPr>
        <w:t>filed</w:t>
      </w:r>
      <w:r>
        <w:rPr>
          <w:spacing w:val="-3"/>
          <w:w w:val="105"/>
          <w:sz w:val="21"/>
        </w:rPr>
        <w:t> </w:t>
      </w:r>
      <w:r>
        <w:rPr>
          <w:w w:val="105"/>
          <w:sz w:val="21"/>
        </w:rPr>
        <w:t>its</w:t>
      </w:r>
      <w:r>
        <w:rPr>
          <w:spacing w:val="-3"/>
          <w:w w:val="105"/>
          <w:sz w:val="21"/>
        </w:rPr>
        <w:t> </w:t>
      </w:r>
      <w:r>
        <w:rPr>
          <w:w w:val="105"/>
          <w:sz w:val="21"/>
        </w:rPr>
        <w:t>Complaint,</w:t>
      </w:r>
      <w:r>
        <w:rPr>
          <w:spacing w:val="-4"/>
          <w:w w:val="105"/>
          <w:sz w:val="21"/>
        </w:rPr>
        <w:t> </w:t>
      </w:r>
      <w:r>
        <w:rPr>
          <w:w w:val="105"/>
          <w:sz w:val="21"/>
        </w:rPr>
        <w:t>which</w:t>
      </w:r>
      <w:r>
        <w:rPr>
          <w:spacing w:val="-2"/>
          <w:w w:val="105"/>
          <w:sz w:val="21"/>
        </w:rPr>
        <w:t> </w:t>
      </w:r>
      <w:r>
        <w:rPr>
          <w:w w:val="105"/>
          <w:sz w:val="21"/>
        </w:rPr>
        <w:t>named</w:t>
      </w:r>
      <w:r>
        <w:rPr>
          <w:spacing w:val="-3"/>
          <w:w w:val="105"/>
          <w:sz w:val="21"/>
        </w:rPr>
        <w:t> </w:t>
      </w:r>
      <w:r>
        <w:rPr>
          <w:w w:val="105"/>
          <w:sz w:val="21"/>
        </w:rPr>
        <w:t>Matthew</w:t>
      </w:r>
      <w:r>
        <w:rPr>
          <w:spacing w:val="-2"/>
          <w:w w:val="105"/>
          <w:sz w:val="21"/>
        </w:rPr>
        <w:t> </w:t>
      </w:r>
      <w:r>
        <w:rPr>
          <w:w w:val="105"/>
          <w:sz w:val="21"/>
        </w:rPr>
        <w:t>C.</w:t>
      </w:r>
      <w:r>
        <w:rPr>
          <w:spacing w:val="-3"/>
          <w:w w:val="105"/>
          <w:sz w:val="21"/>
        </w:rPr>
        <w:t> </w:t>
      </w:r>
      <w:r>
        <w:rPr>
          <w:w w:val="105"/>
          <w:sz w:val="21"/>
        </w:rPr>
        <w:t>Bradley,</w:t>
      </w:r>
      <w:r>
        <w:rPr>
          <w:spacing w:val="-4"/>
          <w:w w:val="105"/>
          <w:sz w:val="21"/>
        </w:rPr>
        <w:t> </w:t>
      </w:r>
      <w:r>
        <w:rPr>
          <w:w w:val="105"/>
          <w:sz w:val="21"/>
        </w:rPr>
        <w:t>all</w:t>
      </w:r>
      <w:r>
        <w:rPr>
          <w:spacing w:val="-3"/>
          <w:w w:val="105"/>
          <w:sz w:val="21"/>
        </w:rPr>
        <w:t> </w:t>
      </w:r>
      <w:r>
        <w:rPr>
          <w:w w:val="105"/>
          <w:sz w:val="21"/>
        </w:rPr>
        <w:t>of</w:t>
      </w:r>
      <w:r>
        <w:rPr>
          <w:spacing w:val="-4"/>
          <w:w w:val="105"/>
          <w:sz w:val="21"/>
        </w:rPr>
        <w:t> </w:t>
      </w:r>
      <w:r>
        <w:rPr>
          <w:w w:val="105"/>
          <w:sz w:val="21"/>
        </w:rPr>
        <w:t>his</w:t>
      </w:r>
      <w:r>
        <w:rPr>
          <w:spacing w:val="-3"/>
          <w:w w:val="105"/>
          <w:sz w:val="21"/>
        </w:rPr>
        <w:t> </w:t>
      </w:r>
      <w:r>
        <w:rPr>
          <w:w w:val="105"/>
          <w:sz w:val="21"/>
        </w:rPr>
        <w:t>unknown</w:t>
      </w:r>
      <w:r>
        <w:rPr>
          <w:spacing w:val="-3"/>
          <w:w w:val="105"/>
          <w:sz w:val="21"/>
        </w:rPr>
        <w:t> </w:t>
      </w:r>
      <w:r>
        <w:rPr>
          <w:w w:val="105"/>
          <w:sz w:val="21"/>
        </w:rPr>
        <w:t>heirs and devisees, Sharon L. Bradley, and all unknown persons who claim any right, title, interest, estate or lien in the subject matter of this action as defendants, on March 13,</w:t>
      </w:r>
      <w:r>
        <w:rPr>
          <w:spacing w:val="1"/>
          <w:w w:val="105"/>
          <w:sz w:val="21"/>
        </w:rPr>
        <w:t> </w:t>
      </w:r>
      <w:r>
        <w:rPr>
          <w:w w:val="105"/>
          <w:sz w:val="21"/>
        </w:rPr>
        <w:t>2017.</w:t>
      </w:r>
    </w:p>
    <w:p>
      <w:pPr>
        <w:pStyle w:val="BodyText"/>
        <w:spacing w:before="11"/>
      </w:pPr>
    </w:p>
    <w:p>
      <w:pPr>
        <w:pStyle w:val="ListParagraph"/>
        <w:numPr>
          <w:ilvl w:val="3"/>
          <w:numId w:val="1"/>
        </w:numPr>
        <w:tabs>
          <w:tab w:pos="2089" w:val="left" w:leader="none"/>
          <w:tab w:pos="2090" w:val="left" w:leader="none"/>
        </w:tabs>
        <w:spacing w:line="249" w:lineRule="auto" w:before="0" w:after="0"/>
        <w:ind w:left="649" w:right="1308" w:firstLine="720"/>
        <w:jc w:val="both"/>
        <w:rPr>
          <w:sz w:val="21"/>
        </w:rPr>
      </w:pPr>
      <w:r>
        <w:rPr>
          <w:w w:val="105"/>
          <w:sz w:val="21"/>
        </w:rPr>
        <w:t>Plaintiff filed its Motion for Publication of Summons and Service by Certified Mail with this</w:t>
      </w:r>
      <w:r>
        <w:rPr>
          <w:spacing w:val="-4"/>
          <w:w w:val="105"/>
          <w:sz w:val="21"/>
        </w:rPr>
        <w:t> </w:t>
      </w:r>
      <w:r>
        <w:rPr>
          <w:w w:val="105"/>
          <w:sz w:val="21"/>
        </w:rPr>
        <w:t>Court</w:t>
      </w:r>
      <w:r>
        <w:rPr>
          <w:spacing w:val="-4"/>
          <w:w w:val="105"/>
          <w:sz w:val="21"/>
        </w:rPr>
        <w:t> </w:t>
      </w:r>
      <w:r>
        <w:rPr>
          <w:w w:val="105"/>
          <w:sz w:val="21"/>
        </w:rPr>
        <w:t>on</w:t>
      </w:r>
      <w:r>
        <w:rPr>
          <w:spacing w:val="-2"/>
          <w:w w:val="105"/>
          <w:sz w:val="21"/>
        </w:rPr>
        <w:t> </w:t>
      </w:r>
      <w:r>
        <w:rPr>
          <w:w w:val="105"/>
          <w:sz w:val="21"/>
        </w:rPr>
        <w:t>March</w:t>
      </w:r>
      <w:r>
        <w:rPr>
          <w:spacing w:val="-3"/>
          <w:w w:val="105"/>
          <w:sz w:val="21"/>
        </w:rPr>
        <w:t> </w:t>
      </w:r>
      <w:r>
        <w:rPr>
          <w:w w:val="105"/>
          <w:sz w:val="21"/>
        </w:rPr>
        <w:t>24,</w:t>
      </w:r>
      <w:r>
        <w:rPr>
          <w:spacing w:val="-3"/>
          <w:w w:val="105"/>
          <w:sz w:val="21"/>
        </w:rPr>
        <w:t> </w:t>
      </w:r>
      <w:r>
        <w:rPr>
          <w:w w:val="105"/>
          <w:sz w:val="21"/>
        </w:rPr>
        <w:t>2017,</w:t>
      </w:r>
      <w:r>
        <w:rPr>
          <w:spacing w:val="-4"/>
          <w:w w:val="105"/>
          <w:sz w:val="21"/>
        </w:rPr>
        <w:t> </w:t>
      </w:r>
      <w:r>
        <w:rPr>
          <w:w w:val="105"/>
          <w:sz w:val="21"/>
        </w:rPr>
        <w:t>and</w:t>
      </w:r>
      <w:r>
        <w:rPr>
          <w:spacing w:val="-3"/>
          <w:w w:val="105"/>
          <w:sz w:val="21"/>
        </w:rPr>
        <w:t> </w:t>
      </w:r>
      <w:r>
        <w:rPr>
          <w:w w:val="105"/>
          <w:sz w:val="21"/>
        </w:rPr>
        <w:t>the</w:t>
      </w:r>
      <w:r>
        <w:rPr>
          <w:spacing w:val="-2"/>
          <w:w w:val="105"/>
          <w:sz w:val="21"/>
        </w:rPr>
        <w:t> </w:t>
      </w:r>
      <w:r>
        <w:rPr>
          <w:w w:val="105"/>
          <w:sz w:val="21"/>
        </w:rPr>
        <w:t>corresponding</w:t>
      </w:r>
      <w:r>
        <w:rPr>
          <w:spacing w:val="-3"/>
          <w:w w:val="105"/>
          <w:sz w:val="21"/>
        </w:rPr>
        <w:t> </w:t>
      </w:r>
      <w:r>
        <w:rPr>
          <w:w w:val="105"/>
          <w:sz w:val="21"/>
        </w:rPr>
        <w:t>Order</w:t>
      </w:r>
      <w:r>
        <w:rPr>
          <w:spacing w:val="-3"/>
          <w:w w:val="105"/>
          <w:sz w:val="21"/>
        </w:rPr>
        <w:t> </w:t>
      </w:r>
      <w:r>
        <w:rPr>
          <w:w w:val="105"/>
          <w:sz w:val="21"/>
        </w:rPr>
        <w:t>for</w:t>
      </w:r>
      <w:r>
        <w:rPr>
          <w:spacing w:val="-4"/>
          <w:w w:val="105"/>
          <w:sz w:val="21"/>
        </w:rPr>
        <w:t> </w:t>
      </w:r>
      <w:r>
        <w:rPr>
          <w:w w:val="105"/>
          <w:sz w:val="21"/>
        </w:rPr>
        <w:t>Publication</w:t>
      </w:r>
      <w:r>
        <w:rPr>
          <w:spacing w:val="-3"/>
          <w:w w:val="105"/>
          <w:sz w:val="21"/>
        </w:rPr>
        <w:t> </w:t>
      </w:r>
      <w:r>
        <w:rPr>
          <w:w w:val="105"/>
          <w:sz w:val="21"/>
        </w:rPr>
        <w:t>of</w:t>
      </w:r>
      <w:r>
        <w:rPr>
          <w:spacing w:val="-3"/>
          <w:w w:val="105"/>
          <w:sz w:val="21"/>
        </w:rPr>
        <w:t> </w:t>
      </w:r>
      <w:r>
        <w:rPr>
          <w:w w:val="105"/>
          <w:sz w:val="21"/>
        </w:rPr>
        <w:t>Summons</w:t>
      </w:r>
      <w:r>
        <w:rPr>
          <w:spacing w:val="-4"/>
          <w:w w:val="105"/>
          <w:sz w:val="21"/>
        </w:rPr>
        <w:t> </w:t>
      </w:r>
      <w:r>
        <w:rPr>
          <w:w w:val="105"/>
          <w:sz w:val="21"/>
        </w:rPr>
        <w:t>and</w:t>
      </w:r>
      <w:r>
        <w:rPr>
          <w:spacing w:val="-2"/>
          <w:w w:val="105"/>
          <w:sz w:val="21"/>
        </w:rPr>
        <w:t> </w:t>
      </w:r>
      <w:r>
        <w:rPr>
          <w:w w:val="105"/>
          <w:sz w:val="21"/>
        </w:rPr>
        <w:t>Service</w:t>
      </w:r>
      <w:r>
        <w:rPr>
          <w:spacing w:val="-3"/>
          <w:w w:val="105"/>
          <w:sz w:val="21"/>
        </w:rPr>
        <w:t> </w:t>
      </w:r>
      <w:r>
        <w:rPr>
          <w:w w:val="105"/>
          <w:sz w:val="21"/>
        </w:rPr>
        <w:t>by Certified Mail was issued by this Court on April 3,</w:t>
      </w:r>
      <w:r>
        <w:rPr>
          <w:spacing w:val="5"/>
          <w:w w:val="105"/>
          <w:sz w:val="21"/>
        </w:rPr>
        <w:t> </w:t>
      </w:r>
      <w:r>
        <w:rPr>
          <w:w w:val="105"/>
          <w:sz w:val="21"/>
        </w:rPr>
        <w:t>2017.</w:t>
      </w:r>
    </w:p>
    <w:p>
      <w:pPr>
        <w:pStyle w:val="BodyText"/>
        <w:spacing w:before="2"/>
        <w:rPr>
          <w:sz w:val="22"/>
        </w:rPr>
      </w:pPr>
    </w:p>
    <w:p>
      <w:pPr>
        <w:pStyle w:val="ListParagraph"/>
        <w:numPr>
          <w:ilvl w:val="3"/>
          <w:numId w:val="1"/>
        </w:numPr>
        <w:tabs>
          <w:tab w:pos="2089" w:val="left" w:leader="none"/>
          <w:tab w:pos="2090" w:val="left" w:leader="none"/>
        </w:tabs>
        <w:spacing w:line="252" w:lineRule="auto" w:before="0" w:after="0"/>
        <w:ind w:left="649" w:right="1141" w:firstLine="720"/>
        <w:jc w:val="left"/>
        <w:rPr>
          <w:sz w:val="21"/>
        </w:rPr>
      </w:pPr>
      <w:r>
        <w:rPr>
          <w:w w:val="105"/>
          <w:sz w:val="21"/>
        </w:rPr>
        <w:t>The unknown heirs and devisees of Matthew C. Bradley, and all other unknown persons who claim any right, title, interest, estate or lien in the subject matter of this action were duly served with the Summons by Publication in the Adams County publication, </w:t>
      </w:r>
      <w:r>
        <w:rPr>
          <w:i/>
          <w:w w:val="105"/>
          <w:sz w:val="21"/>
        </w:rPr>
        <w:t>Brighton Standard Blade</w:t>
      </w:r>
      <w:r>
        <w:rPr>
          <w:w w:val="105"/>
          <w:sz w:val="21"/>
        </w:rPr>
        <w:t>, beginning on April 19, 2017 and running consecutively through May 17, 2017. The Proof of Publication was filed with this Court on May 23, 2017. The Summons by Publication commanded the unknown heirs and devisees of Matthew C. Bradley, and all other unknown persons who claim any right, title, interest, estate or lien in the subject matter of this action to answer the Complaint within thirty (30) days after the date of the last publication, which was May 17, 2017. The original Proof of Publication is attached as Exhibit D.</w:t>
      </w:r>
    </w:p>
    <w:p>
      <w:pPr>
        <w:pStyle w:val="BodyText"/>
        <w:spacing w:before="9"/>
      </w:pPr>
    </w:p>
    <w:p>
      <w:pPr>
        <w:pStyle w:val="ListParagraph"/>
        <w:numPr>
          <w:ilvl w:val="3"/>
          <w:numId w:val="1"/>
        </w:numPr>
        <w:tabs>
          <w:tab w:pos="2089" w:val="left" w:leader="none"/>
          <w:tab w:pos="2090" w:val="left" w:leader="none"/>
        </w:tabs>
        <w:spacing w:line="252" w:lineRule="auto" w:before="0" w:after="0"/>
        <w:ind w:left="649" w:right="1157" w:firstLine="720"/>
        <w:jc w:val="left"/>
        <w:rPr>
          <w:sz w:val="21"/>
        </w:rPr>
      </w:pPr>
      <w:r>
        <w:rPr>
          <w:w w:val="105"/>
          <w:sz w:val="21"/>
        </w:rPr>
        <w:t>Sharon</w:t>
      </w:r>
      <w:r>
        <w:rPr>
          <w:spacing w:val="-3"/>
          <w:w w:val="105"/>
          <w:sz w:val="21"/>
        </w:rPr>
        <w:t> </w:t>
      </w:r>
      <w:r>
        <w:rPr>
          <w:w w:val="105"/>
          <w:sz w:val="21"/>
        </w:rPr>
        <w:t>L.</w:t>
      </w:r>
      <w:r>
        <w:rPr>
          <w:spacing w:val="-3"/>
          <w:w w:val="105"/>
          <w:sz w:val="21"/>
        </w:rPr>
        <w:t> </w:t>
      </w:r>
      <w:r>
        <w:rPr>
          <w:w w:val="105"/>
          <w:sz w:val="21"/>
        </w:rPr>
        <w:t>Bradley</w:t>
      </w:r>
      <w:r>
        <w:rPr>
          <w:spacing w:val="-3"/>
          <w:w w:val="105"/>
          <w:sz w:val="21"/>
        </w:rPr>
        <w:t> </w:t>
      </w:r>
      <w:r>
        <w:rPr>
          <w:w w:val="105"/>
          <w:sz w:val="21"/>
        </w:rPr>
        <w:t>was</w:t>
      </w:r>
      <w:r>
        <w:rPr>
          <w:spacing w:val="-3"/>
          <w:w w:val="105"/>
          <w:sz w:val="21"/>
        </w:rPr>
        <w:t> </w:t>
      </w:r>
      <w:r>
        <w:rPr>
          <w:w w:val="105"/>
          <w:sz w:val="21"/>
        </w:rPr>
        <w:t>duly</w:t>
      </w:r>
      <w:r>
        <w:rPr>
          <w:spacing w:val="-3"/>
          <w:w w:val="105"/>
          <w:sz w:val="21"/>
        </w:rPr>
        <w:t> </w:t>
      </w:r>
      <w:r>
        <w:rPr>
          <w:w w:val="105"/>
          <w:sz w:val="21"/>
        </w:rPr>
        <w:t>served</w:t>
      </w:r>
      <w:r>
        <w:rPr>
          <w:spacing w:val="-2"/>
          <w:w w:val="105"/>
          <w:sz w:val="21"/>
        </w:rPr>
        <w:t> </w:t>
      </w:r>
      <w:r>
        <w:rPr>
          <w:w w:val="105"/>
          <w:sz w:val="21"/>
        </w:rPr>
        <w:t>with</w:t>
      </w:r>
      <w:r>
        <w:rPr>
          <w:spacing w:val="-3"/>
          <w:w w:val="105"/>
          <w:sz w:val="21"/>
        </w:rPr>
        <w:t> </w:t>
      </w:r>
      <w:r>
        <w:rPr>
          <w:w w:val="105"/>
          <w:sz w:val="21"/>
        </w:rPr>
        <w:t>the</w:t>
      </w:r>
      <w:r>
        <w:rPr>
          <w:spacing w:val="-2"/>
          <w:w w:val="105"/>
          <w:sz w:val="21"/>
        </w:rPr>
        <w:t> </w:t>
      </w:r>
      <w:r>
        <w:rPr>
          <w:w w:val="105"/>
          <w:sz w:val="21"/>
        </w:rPr>
        <w:t>Summons</w:t>
      </w:r>
      <w:r>
        <w:rPr>
          <w:spacing w:val="-4"/>
          <w:w w:val="105"/>
          <w:sz w:val="21"/>
        </w:rPr>
        <w:t> </w:t>
      </w:r>
      <w:r>
        <w:rPr>
          <w:w w:val="105"/>
          <w:sz w:val="21"/>
        </w:rPr>
        <w:t>and</w:t>
      </w:r>
      <w:r>
        <w:rPr>
          <w:spacing w:val="-2"/>
          <w:w w:val="105"/>
          <w:sz w:val="21"/>
        </w:rPr>
        <w:t> </w:t>
      </w:r>
      <w:r>
        <w:rPr>
          <w:w w:val="105"/>
          <w:sz w:val="21"/>
        </w:rPr>
        <w:t>Complaint</w:t>
      </w:r>
      <w:r>
        <w:rPr>
          <w:spacing w:val="-3"/>
          <w:w w:val="105"/>
          <w:sz w:val="21"/>
        </w:rPr>
        <w:t> </w:t>
      </w:r>
      <w:r>
        <w:rPr>
          <w:w w:val="105"/>
          <w:sz w:val="21"/>
        </w:rPr>
        <w:t>by</w:t>
      </w:r>
      <w:r>
        <w:rPr>
          <w:spacing w:val="-4"/>
          <w:w w:val="105"/>
          <w:sz w:val="21"/>
        </w:rPr>
        <w:t> </w:t>
      </w:r>
      <w:r>
        <w:rPr>
          <w:w w:val="105"/>
          <w:sz w:val="21"/>
        </w:rPr>
        <w:t>certified</w:t>
      </w:r>
      <w:r>
        <w:rPr>
          <w:spacing w:val="-2"/>
          <w:w w:val="105"/>
          <w:sz w:val="21"/>
        </w:rPr>
        <w:t> </w:t>
      </w:r>
      <w:r>
        <w:rPr>
          <w:w w:val="105"/>
          <w:sz w:val="21"/>
        </w:rPr>
        <w:t>mail</w:t>
      </w:r>
      <w:r>
        <w:rPr>
          <w:spacing w:val="-5"/>
          <w:w w:val="105"/>
          <w:sz w:val="21"/>
        </w:rPr>
        <w:t> </w:t>
      </w:r>
      <w:r>
        <w:rPr>
          <w:w w:val="105"/>
          <w:sz w:val="21"/>
        </w:rPr>
        <w:t>on March 20, 2017 at 3:57 p.m. The Summons commanded Sharon L. Bradley to answer the Complaint within thirty five (35) days after the Summons was served upon her. The original Summons is attached as Exhibit E. The Affidavit of Service is attached as Exhibit</w:t>
      </w:r>
      <w:r>
        <w:rPr>
          <w:spacing w:val="2"/>
          <w:w w:val="105"/>
          <w:sz w:val="21"/>
        </w:rPr>
        <w:t> </w:t>
      </w:r>
      <w:r>
        <w:rPr>
          <w:w w:val="105"/>
          <w:sz w:val="21"/>
        </w:rPr>
        <w:t>F.</w:t>
      </w:r>
    </w:p>
    <w:p>
      <w:pPr>
        <w:pStyle w:val="BodyText"/>
        <w:spacing w:before="11"/>
      </w:pPr>
    </w:p>
    <w:p>
      <w:pPr>
        <w:pStyle w:val="ListParagraph"/>
        <w:numPr>
          <w:ilvl w:val="3"/>
          <w:numId w:val="1"/>
        </w:numPr>
        <w:tabs>
          <w:tab w:pos="2089" w:val="left" w:leader="none"/>
          <w:tab w:pos="2090" w:val="left" w:leader="none"/>
        </w:tabs>
        <w:spacing w:line="249" w:lineRule="auto" w:before="0" w:after="0"/>
        <w:ind w:left="649" w:right="1198" w:firstLine="720"/>
        <w:jc w:val="left"/>
        <w:rPr>
          <w:sz w:val="21"/>
        </w:rPr>
      </w:pPr>
      <w:r>
        <w:rPr>
          <w:w w:val="105"/>
          <w:sz w:val="21"/>
        </w:rPr>
        <w:t>Pursuant to C.R.C.P. 12(a), Matthew C. Bradley and all of his unknown heirs and devisees, and all other unknown persons who claim any right, title, interest, estate or lien in the subject matter of this action were required to answer or otherwise respond to the Complaint on or before June 17, 2017. As of this date, no answer or other response has been filed. Matthew C. Bradley and all of his unknown heirs and devisees, and all other unknown persons who claim any right, title, interest, estate or lien in the subject matter of this action have not entered an appearance in this</w:t>
      </w:r>
      <w:r>
        <w:rPr>
          <w:spacing w:val="-3"/>
          <w:w w:val="105"/>
          <w:sz w:val="21"/>
        </w:rPr>
        <w:t> </w:t>
      </w:r>
      <w:r>
        <w:rPr>
          <w:w w:val="105"/>
          <w:sz w:val="21"/>
        </w:rPr>
        <w:t>case.</w:t>
      </w:r>
    </w:p>
    <w:p>
      <w:pPr>
        <w:pStyle w:val="BodyText"/>
        <w:spacing w:before="9"/>
        <w:rPr>
          <w:sz w:val="22"/>
        </w:rPr>
      </w:pPr>
    </w:p>
    <w:p>
      <w:pPr>
        <w:pStyle w:val="ListParagraph"/>
        <w:numPr>
          <w:ilvl w:val="3"/>
          <w:numId w:val="1"/>
        </w:numPr>
        <w:tabs>
          <w:tab w:pos="2089" w:val="left" w:leader="none"/>
          <w:tab w:pos="2090" w:val="left" w:leader="none"/>
        </w:tabs>
        <w:spacing w:line="252" w:lineRule="auto" w:before="0" w:after="0"/>
        <w:ind w:left="649" w:right="1400" w:firstLine="720"/>
        <w:jc w:val="left"/>
        <w:rPr>
          <w:sz w:val="21"/>
        </w:rPr>
      </w:pPr>
      <w:r>
        <w:rPr>
          <w:w w:val="105"/>
          <w:sz w:val="21"/>
        </w:rPr>
        <w:t>Pursuant to C.R.C.P. 12(a), Sharon L. Bradley was required to answer or otherwise respond to the Complaint on or before May 8, 2017. As of this date, no answer or other response has been filed. Sharon L. Bradley has not entered an appearance in this</w:t>
      </w:r>
      <w:r>
        <w:rPr>
          <w:spacing w:val="3"/>
          <w:w w:val="105"/>
          <w:sz w:val="21"/>
        </w:rPr>
        <w:t> </w:t>
      </w:r>
      <w:r>
        <w:rPr>
          <w:w w:val="105"/>
          <w:sz w:val="21"/>
        </w:rPr>
        <w:t>case.</w:t>
      </w:r>
    </w:p>
    <w:p>
      <w:pPr>
        <w:pStyle w:val="BodyText"/>
        <w:spacing w:before="11"/>
      </w:pPr>
    </w:p>
    <w:p>
      <w:pPr>
        <w:pStyle w:val="ListParagraph"/>
        <w:numPr>
          <w:ilvl w:val="3"/>
          <w:numId w:val="1"/>
        </w:numPr>
        <w:tabs>
          <w:tab w:pos="2089" w:val="left" w:leader="none"/>
          <w:tab w:pos="2090" w:val="left" w:leader="none"/>
        </w:tabs>
        <w:spacing w:line="252" w:lineRule="auto" w:before="0" w:after="0"/>
        <w:ind w:left="649" w:right="1173" w:firstLine="720"/>
        <w:jc w:val="left"/>
        <w:rPr>
          <w:sz w:val="21"/>
        </w:rPr>
      </w:pPr>
      <w:r>
        <w:rPr>
          <w:w w:val="105"/>
          <w:sz w:val="21"/>
        </w:rPr>
        <w:t>More than thirty (30) days have lapsed since the date on which Matthew C. Bradley and all</w:t>
      </w:r>
      <w:r>
        <w:rPr>
          <w:spacing w:val="-4"/>
          <w:w w:val="105"/>
          <w:sz w:val="21"/>
        </w:rPr>
        <w:t> </w:t>
      </w:r>
      <w:r>
        <w:rPr>
          <w:w w:val="105"/>
          <w:sz w:val="21"/>
        </w:rPr>
        <w:t>of</w:t>
      </w:r>
      <w:r>
        <w:rPr>
          <w:spacing w:val="-3"/>
          <w:w w:val="105"/>
          <w:sz w:val="21"/>
        </w:rPr>
        <w:t> </w:t>
      </w:r>
      <w:r>
        <w:rPr>
          <w:w w:val="105"/>
          <w:sz w:val="21"/>
        </w:rPr>
        <w:t>his</w:t>
      </w:r>
      <w:r>
        <w:rPr>
          <w:spacing w:val="-3"/>
          <w:w w:val="105"/>
          <w:sz w:val="21"/>
        </w:rPr>
        <w:t> </w:t>
      </w:r>
      <w:r>
        <w:rPr>
          <w:w w:val="105"/>
          <w:sz w:val="21"/>
        </w:rPr>
        <w:t>unknown</w:t>
      </w:r>
      <w:r>
        <w:rPr>
          <w:spacing w:val="-3"/>
          <w:w w:val="105"/>
          <w:sz w:val="21"/>
        </w:rPr>
        <w:t> </w:t>
      </w:r>
      <w:r>
        <w:rPr>
          <w:w w:val="105"/>
          <w:sz w:val="21"/>
        </w:rPr>
        <w:t>heirs</w:t>
      </w:r>
      <w:r>
        <w:rPr>
          <w:spacing w:val="-3"/>
          <w:w w:val="105"/>
          <w:sz w:val="21"/>
        </w:rPr>
        <w:t> </w:t>
      </w:r>
      <w:r>
        <w:rPr>
          <w:w w:val="105"/>
          <w:sz w:val="21"/>
        </w:rPr>
        <w:t>and</w:t>
      </w:r>
      <w:r>
        <w:rPr>
          <w:spacing w:val="-2"/>
          <w:w w:val="105"/>
          <w:sz w:val="21"/>
        </w:rPr>
        <w:t> </w:t>
      </w:r>
      <w:r>
        <w:rPr>
          <w:w w:val="105"/>
          <w:sz w:val="21"/>
        </w:rPr>
        <w:t>devisees,</w:t>
      </w:r>
      <w:r>
        <w:rPr>
          <w:spacing w:val="-4"/>
          <w:w w:val="105"/>
          <w:sz w:val="21"/>
        </w:rPr>
        <w:t> </w:t>
      </w:r>
      <w:r>
        <w:rPr>
          <w:w w:val="105"/>
          <w:sz w:val="21"/>
        </w:rPr>
        <w:t>and</w:t>
      </w:r>
      <w:r>
        <w:rPr>
          <w:spacing w:val="-2"/>
          <w:w w:val="105"/>
          <w:sz w:val="21"/>
        </w:rPr>
        <w:t> </w:t>
      </w:r>
      <w:r>
        <w:rPr>
          <w:w w:val="105"/>
          <w:sz w:val="21"/>
        </w:rPr>
        <w:t>all</w:t>
      </w:r>
      <w:r>
        <w:rPr>
          <w:spacing w:val="-3"/>
          <w:w w:val="105"/>
          <w:sz w:val="21"/>
        </w:rPr>
        <w:t> </w:t>
      </w:r>
      <w:r>
        <w:rPr>
          <w:w w:val="105"/>
          <w:sz w:val="21"/>
        </w:rPr>
        <w:t>other</w:t>
      </w:r>
      <w:r>
        <w:rPr>
          <w:spacing w:val="-3"/>
          <w:w w:val="105"/>
          <w:sz w:val="21"/>
        </w:rPr>
        <w:t> </w:t>
      </w:r>
      <w:r>
        <w:rPr>
          <w:w w:val="105"/>
          <w:sz w:val="21"/>
        </w:rPr>
        <w:t>unknown</w:t>
      </w:r>
      <w:r>
        <w:rPr>
          <w:spacing w:val="-3"/>
          <w:w w:val="105"/>
          <w:sz w:val="21"/>
        </w:rPr>
        <w:t> </w:t>
      </w:r>
      <w:r>
        <w:rPr>
          <w:w w:val="105"/>
          <w:sz w:val="21"/>
        </w:rPr>
        <w:t>persons</w:t>
      </w:r>
      <w:r>
        <w:rPr>
          <w:spacing w:val="-3"/>
          <w:w w:val="105"/>
          <w:sz w:val="21"/>
        </w:rPr>
        <w:t> </w:t>
      </w:r>
      <w:r>
        <w:rPr>
          <w:w w:val="105"/>
          <w:sz w:val="21"/>
        </w:rPr>
        <w:t>who</w:t>
      </w:r>
      <w:r>
        <w:rPr>
          <w:spacing w:val="-2"/>
          <w:w w:val="105"/>
          <w:sz w:val="21"/>
        </w:rPr>
        <w:t> </w:t>
      </w:r>
      <w:r>
        <w:rPr>
          <w:w w:val="105"/>
          <w:sz w:val="21"/>
        </w:rPr>
        <w:t>claim</w:t>
      </w:r>
      <w:r>
        <w:rPr>
          <w:spacing w:val="-2"/>
          <w:w w:val="105"/>
          <w:sz w:val="21"/>
        </w:rPr>
        <w:t> </w:t>
      </w:r>
      <w:r>
        <w:rPr>
          <w:w w:val="105"/>
          <w:sz w:val="21"/>
        </w:rPr>
        <w:t>any</w:t>
      </w:r>
      <w:r>
        <w:rPr>
          <w:spacing w:val="-3"/>
          <w:w w:val="105"/>
          <w:sz w:val="21"/>
        </w:rPr>
        <w:t> </w:t>
      </w:r>
      <w:r>
        <w:rPr>
          <w:w w:val="105"/>
          <w:sz w:val="21"/>
        </w:rPr>
        <w:t>right,</w:t>
      </w:r>
      <w:r>
        <w:rPr>
          <w:spacing w:val="-3"/>
          <w:w w:val="105"/>
          <w:sz w:val="21"/>
        </w:rPr>
        <w:t> </w:t>
      </w:r>
      <w:r>
        <w:rPr>
          <w:w w:val="105"/>
          <w:sz w:val="21"/>
        </w:rPr>
        <w:t>title,</w:t>
      </w:r>
      <w:r>
        <w:rPr>
          <w:spacing w:val="-4"/>
          <w:w w:val="105"/>
          <w:sz w:val="21"/>
        </w:rPr>
        <w:t> </w:t>
      </w:r>
      <w:r>
        <w:rPr>
          <w:w w:val="105"/>
          <w:sz w:val="21"/>
        </w:rPr>
        <w:t>interest, estate or lien in the subject matter of this action was served with the Summons by Publication. Plaintiff is</w:t>
      </w:r>
      <w:r>
        <w:rPr>
          <w:spacing w:val="-4"/>
          <w:w w:val="105"/>
          <w:sz w:val="21"/>
        </w:rPr>
        <w:t> </w:t>
      </w:r>
      <w:r>
        <w:rPr>
          <w:w w:val="105"/>
          <w:sz w:val="21"/>
        </w:rPr>
        <w:t>therefore</w:t>
      </w:r>
      <w:r>
        <w:rPr>
          <w:spacing w:val="-3"/>
          <w:w w:val="105"/>
          <w:sz w:val="21"/>
        </w:rPr>
        <w:t> </w:t>
      </w:r>
      <w:r>
        <w:rPr>
          <w:w w:val="105"/>
          <w:sz w:val="21"/>
        </w:rPr>
        <w:t>entitled</w:t>
      </w:r>
      <w:r>
        <w:rPr>
          <w:spacing w:val="-4"/>
          <w:w w:val="105"/>
          <w:sz w:val="21"/>
        </w:rPr>
        <w:t> </w:t>
      </w:r>
      <w:r>
        <w:rPr>
          <w:w w:val="105"/>
          <w:sz w:val="21"/>
        </w:rPr>
        <w:t>to</w:t>
      </w:r>
      <w:r>
        <w:rPr>
          <w:spacing w:val="-3"/>
          <w:w w:val="105"/>
          <w:sz w:val="21"/>
        </w:rPr>
        <w:t> </w:t>
      </w:r>
      <w:r>
        <w:rPr>
          <w:w w:val="105"/>
          <w:sz w:val="21"/>
        </w:rPr>
        <w:t>entry</w:t>
      </w:r>
      <w:r>
        <w:rPr>
          <w:spacing w:val="-3"/>
          <w:w w:val="105"/>
          <w:sz w:val="21"/>
        </w:rPr>
        <w:t> </w:t>
      </w:r>
      <w:r>
        <w:rPr>
          <w:w w:val="105"/>
          <w:sz w:val="21"/>
        </w:rPr>
        <w:t>of</w:t>
      </w:r>
      <w:r>
        <w:rPr>
          <w:spacing w:val="-4"/>
          <w:w w:val="105"/>
          <w:sz w:val="21"/>
        </w:rPr>
        <w:t> </w:t>
      </w:r>
      <w:r>
        <w:rPr>
          <w:w w:val="105"/>
          <w:sz w:val="21"/>
        </w:rPr>
        <w:t>default</w:t>
      </w:r>
      <w:r>
        <w:rPr>
          <w:spacing w:val="-4"/>
          <w:w w:val="105"/>
          <w:sz w:val="21"/>
        </w:rPr>
        <w:t> </w:t>
      </w:r>
      <w:r>
        <w:rPr>
          <w:w w:val="105"/>
          <w:sz w:val="21"/>
        </w:rPr>
        <w:t>and</w:t>
      </w:r>
      <w:r>
        <w:rPr>
          <w:spacing w:val="-3"/>
          <w:w w:val="105"/>
          <w:sz w:val="21"/>
        </w:rPr>
        <w:t> </w:t>
      </w:r>
      <w:r>
        <w:rPr>
          <w:w w:val="105"/>
          <w:sz w:val="21"/>
        </w:rPr>
        <w:t>a</w:t>
      </w:r>
      <w:r>
        <w:rPr>
          <w:spacing w:val="-3"/>
          <w:w w:val="105"/>
          <w:sz w:val="21"/>
        </w:rPr>
        <w:t> </w:t>
      </w:r>
      <w:r>
        <w:rPr>
          <w:w w:val="105"/>
          <w:sz w:val="21"/>
        </w:rPr>
        <w:t>default</w:t>
      </w:r>
      <w:r>
        <w:rPr>
          <w:spacing w:val="-4"/>
          <w:w w:val="105"/>
          <w:sz w:val="21"/>
        </w:rPr>
        <w:t> </w:t>
      </w:r>
      <w:r>
        <w:rPr>
          <w:w w:val="105"/>
          <w:sz w:val="21"/>
        </w:rPr>
        <w:t>judgment</w:t>
      </w:r>
      <w:r>
        <w:rPr>
          <w:spacing w:val="-3"/>
          <w:w w:val="105"/>
          <w:sz w:val="21"/>
        </w:rPr>
        <w:t> </w:t>
      </w:r>
      <w:r>
        <w:rPr>
          <w:w w:val="105"/>
          <w:sz w:val="21"/>
        </w:rPr>
        <w:t>against</w:t>
      </w:r>
      <w:r>
        <w:rPr>
          <w:spacing w:val="-4"/>
          <w:w w:val="105"/>
          <w:sz w:val="21"/>
        </w:rPr>
        <w:t> </w:t>
      </w:r>
      <w:r>
        <w:rPr>
          <w:w w:val="105"/>
          <w:sz w:val="21"/>
        </w:rPr>
        <w:t>Matthew</w:t>
      </w:r>
      <w:r>
        <w:rPr>
          <w:spacing w:val="-3"/>
          <w:w w:val="105"/>
          <w:sz w:val="21"/>
        </w:rPr>
        <w:t> </w:t>
      </w:r>
      <w:r>
        <w:rPr>
          <w:w w:val="105"/>
          <w:sz w:val="21"/>
        </w:rPr>
        <w:t>C.</w:t>
      </w:r>
      <w:r>
        <w:rPr>
          <w:spacing w:val="-4"/>
          <w:w w:val="105"/>
          <w:sz w:val="21"/>
        </w:rPr>
        <w:t> </w:t>
      </w:r>
      <w:r>
        <w:rPr>
          <w:w w:val="105"/>
          <w:sz w:val="21"/>
        </w:rPr>
        <w:t>Bradley</w:t>
      </w:r>
      <w:r>
        <w:rPr>
          <w:spacing w:val="-3"/>
          <w:w w:val="105"/>
          <w:sz w:val="21"/>
        </w:rPr>
        <w:t> </w:t>
      </w:r>
      <w:r>
        <w:rPr>
          <w:w w:val="105"/>
          <w:sz w:val="21"/>
        </w:rPr>
        <w:t>and</w:t>
      </w:r>
      <w:r>
        <w:rPr>
          <w:spacing w:val="-3"/>
          <w:w w:val="105"/>
          <w:sz w:val="21"/>
        </w:rPr>
        <w:t> </w:t>
      </w:r>
      <w:r>
        <w:rPr>
          <w:w w:val="105"/>
          <w:sz w:val="21"/>
        </w:rPr>
        <w:t>all</w:t>
      </w:r>
      <w:r>
        <w:rPr>
          <w:spacing w:val="-4"/>
          <w:w w:val="105"/>
          <w:sz w:val="21"/>
        </w:rPr>
        <w:t> </w:t>
      </w:r>
      <w:r>
        <w:rPr>
          <w:w w:val="105"/>
          <w:sz w:val="21"/>
        </w:rPr>
        <w:t>of</w:t>
      </w:r>
      <w:r>
        <w:rPr>
          <w:spacing w:val="-4"/>
          <w:w w:val="105"/>
          <w:sz w:val="21"/>
        </w:rPr>
        <w:t> </w:t>
      </w:r>
      <w:r>
        <w:rPr>
          <w:w w:val="105"/>
          <w:sz w:val="21"/>
        </w:rPr>
        <w:t>his unknown heirs and devisees, and all other unknown persons who claim any right, title, interest, estate or lien in the subject matter of this</w:t>
      </w:r>
      <w:r>
        <w:rPr>
          <w:spacing w:val="6"/>
          <w:w w:val="105"/>
          <w:sz w:val="21"/>
        </w:rPr>
        <w:t> </w:t>
      </w:r>
      <w:r>
        <w:rPr>
          <w:w w:val="105"/>
          <w:sz w:val="21"/>
        </w:rPr>
        <w:t>action.</w:t>
      </w:r>
    </w:p>
    <w:p>
      <w:pPr>
        <w:pStyle w:val="BodyText"/>
        <w:spacing w:before="11"/>
      </w:pPr>
    </w:p>
    <w:p>
      <w:pPr>
        <w:pStyle w:val="ListParagraph"/>
        <w:numPr>
          <w:ilvl w:val="3"/>
          <w:numId w:val="1"/>
        </w:numPr>
        <w:tabs>
          <w:tab w:pos="2090" w:val="left" w:leader="none"/>
        </w:tabs>
        <w:spacing w:line="252" w:lineRule="auto" w:before="0" w:after="0"/>
        <w:ind w:left="649" w:right="1439" w:firstLine="720"/>
        <w:jc w:val="both"/>
        <w:rPr>
          <w:sz w:val="21"/>
        </w:rPr>
      </w:pPr>
      <w:r>
        <w:rPr>
          <w:w w:val="105"/>
          <w:sz w:val="21"/>
        </w:rPr>
        <w:t>More</w:t>
      </w:r>
      <w:r>
        <w:rPr>
          <w:spacing w:val="-4"/>
          <w:w w:val="105"/>
          <w:sz w:val="21"/>
        </w:rPr>
        <w:t> </w:t>
      </w:r>
      <w:r>
        <w:rPr>
          <w:w w:val="105"/>
          <w:sz w:val="21"/>
        </w:rPr>
        <w:t>than</w:t>
      </w:r>
      <w:r>
        <w:rPr>
          <w:spacing w:val="-3"/>
          <w:w w:val="105"/>
          <w:sz w:val="21"/>
        </w:rPr>
        <w:t> </w:t>
      </w:r>
      <w:r>
        <w:rPr>
          <w:w w:val="105"/>
          <w:sz w:val="21"/>
        </w:rPr>
        <w:t>thirty</w:t>
      </w:r>
      <w:r>
        <w:rPr>
          <w:spacing w:val="-4"/>
          <w:w w:val="105"/>
          <w:sz w:val="21"/>
        </w:rPr>
        <w:t> </w:t>
      </w:r>
      <w:r>
        <w:rPr>
          <w:w w:val="105"/>
          <w:sz w:val="21"/>
        </w:rPr>
        <w:t>five</w:t>
      </w:r>
      <w:r>
        <w:rPr>
          <w:spacing w:val="-3"/>
          <w:w w:val="105"/>
          <w:sz w:val="21"/>
        </w:rPr>
        <w:t> </w:t>
      </w:r>
      <w:r>
        <w:rPr>
          <w:w w:val="105"/>
          <w:sz w:val="21"/>
        </w:rPr>
        <w:t>(35)</w:t>
      </w:r>
      <w:r>
        <w:rPr>
          <w:spacing w:val="-3"/>
          <w:w w:val="105"/>
          <w:sz w:val="21"/>
        </w:rPr>
        <w:t> </w:t>
      </w:r>
      <w:r>
        <w:rPr>
          <w:w w:val="105"/>
          <w:sz w:val="21"/>
        </w:rPr>
        <w:t>days</w:t>
      </w:r>
      <w:r>
        <w:rPr>
          <w:spacing w:val="-4"/>
          <w:w w:val="105"/>
          <w:sz w:val="21"/>
        </w:rPr>
        <w:t> </w:t>
      </w:r>
      <w:r>
        <w:rPr>
          <w:w w:val="105"/>
          <w:sz w:val="21"/>
        </w:rPr>
        <w:t>have</w:t>
      </w:r>
      <w:r>
        <w:rPr>
          <w:spacing w:val="-3"/>
          <w:w w:val="105"/>
          <w:sz w:val="21"/>
        </w:rPr>
        <w:t> </w:t>
      </w:r>
      <w:r>
        <w:rPr>
          <w:w w:val="105"/>
          <w:sz w:val="21"/>
        </w:rPr>
        <w:t>lapsed</w:t>
      </w:r>
      <w:r>
        <w:rPr>
          <w:spacing w:val="-4"/>
          <w:w w:val="105"/>
          <w:sz w:val="21"/>
        </w:rPr>
        <w:t> </w:t>
      </w:r>
      <w:r>
        <w:rPr>
          <w:w w:val="105"/>
          <w:sz w:val="21"/>
        </w:rPr>
        <w:t>since</w:t>
      </w:r>
      <w:r>
        <w:rPr>
          <w:spacing w:val="-3"/>
          <w:w w:val="105"/>
          <w:sz w:val="21"/>
        </w:rPr>
        <w:t> </w:t>
      </w:r>
      <w:r>
        <w:rPr>
          <w:w w:val="105"/>
          <w:sz w:val="21"/>
        </w:rPr>
        <w:t>the</w:t>
      </w:r>
      <w:r>
        <w:rPr>
          <w:spacing w:val="-3"/>
          <w:w w:val="105"/>
          <w:sz w:val="21"/>
        </w:rPr>
        <w:t> </w:t>
      </w:r>
      <w:r>
        <w:rPr>
          <w:w w:val="105"/>
          <w:sz w:val="21"/>
        </w:rPr>
        <w:t>date</w:t>
      </w:r>
      <w:r>
        <w:rPr>
          <w:spacing w:val="-3"/>
          <w:w w:val="105"/>
          <w:sz w:val="21"/>
        </w:rPr>
        <w:t> </w:t>
      </w:r>
      <w:r>
        <w:rPr>
          <w:w w:val="105"/>
          <w:sz w:val="21"/>
        </w:rPr>
        <w:t>on</w:t>
      </w:r>
      <w:r>
        <w:rPr>
          <w:spacing w:val="-3"/>
          <w:w w:val="105"/>
          <w:sz w:val="21"/>
        </w:rPr>
        <w:t> </w:t>
      </w:r>
      <w:r>
        <w:rPr>
          <w:w w:val="105"/>
          <w:sz w:val="21"/>
        </w:rPr>
        <w:t>which</w:t>
      </w:r>
      <w:r>
        <w:rPr>
          <w:spacing w:val="-3"/>
          <w:w w:val="105"/>
          <w:sz w:val="21"/>
        </w:rPr>
        <w:t> </w:t>
      </w:r>
      <w:r>
        <w:rPr>
          <w:w w:val="105"/>
          <w:sz w:val="21"/>
        </w:rPr>
        <w:t>Sharon</w:t>
      </w:r>
      <w:r>
        <w:rPr>
          <w:spacing w:val="-3"/>
          <w:w w:val="105"/>
          <w:sz w:val="21"/>
        </w:rPr>
        <w:t> </w:t>
      </w:r>
      <w:r>
        <w:rPr>
          <w:w w:val="105"/>
          <w:sz w:val="21"/>
        </w:rPr>
        <w:t>L.</w:t>
      </w:r>
      <w:r>
        <w:rPr>
          <w:spacing w:val="-4"/>
          <w:w w:val="105"/>
          <w:sz w:val="21"/>
        </w:rPr>
        <w:t> </w:t>
      </w:r>
      <w:r>
        <w:rPr>
          <w:w w:val="105"/>
          <w:sz w:val="21"/>
        </w:rPr>
        <w:t>Bradley was served with the Summons and Complaint. Plaintiff is therefore entitled to entry of default and a default judgment against Sharon L.</w:t>
      </w:r>
      <w:r>
        <w:rPr>
          <w:spacing w:val="2"/>
          <w:w w:val="105"/>
          <w:sz w:val="21"/>
        </w:rPr>
        <w:t> </w:t>
      </w:r>
      <w:r>
        <w:rPr>
          <w:w w:val="105"/>
          <w:sz w:val="21"/>
        </w:rPr>
        <w:t>Bradley.</w:t>
      </w:r>
    </w:p>
    <w:p>
      <w:pPr>
        <w:spacing w:after="0" w:line="252" w:lineRule="auto"/>
        <w:jc w:val="both"/>
        <w:rPr>
          <w:sz w:val="21"/>
        </w:rPr>
        <w:sectPr>
          <w:pgSz w:w="12240" w:h="15840"/>
          <w:pgMar w:top="1380" w:bottom="280" w:left="800" w:right="300"/>
        </w:sectPr>
      </w:pPr>
    </w:p>
    <w:p>
      <w:pPr>
        <w:pStyle w:val="BodyText"/>
        <w:spacing w:before="9"/>
        <w:rPr>
          <w:sz w:val="9"/>
        </w:rPr>
      </w:pPr>
    </w:p>
    <w:p>
      <w:pPr>
        <w:pStyle w:val="ListParagraph"/>
        <w:numPr>
          <w:ilvl w:val="3"/>
          <w:numId w:val="1"/>
        </w:numPr>
        <w:tabs>
          <w:tab w:pos="2089" w:val="left" w:leader="none"/>
          <w:tab w:pos="2090" w:val="left" w:leader="none"/>
        </w:tabs>
        <w:spacing w:line="252" w:lineRule="auto" w:before="105" w:after="0"/>
        <w:ind w:left="649" w:right="1184" w:firstLine="720"/>
        <w:jc w:val="left"/>
        <w:rPr>
          <w:sz w:val="21"/>
        </w:rPr>
      </w:pPr>
      <w:r>
        <w:rPr>
          <w:w w:val="105"/>
          <w:sz w:val="21"/>
        </w:rPr>
        <w:t>Pursuant to C.R.C.P. 55(b) and C.R.C.P. 121(c) § 1-14, Plaintiff is entitled to a final judgment against Matthew C. Bradley and all of his unknown heirs and devisees, and all other unknown persons who claim any right, title, interest, estate or lien in the subject matter of this action, based on their respective defaults. Pursuant to C.R.C.P. 121(c) § 1-14, the Affidavit of Heath A. Phillips is attached to this Motion as Exhibit G, establishing the</w:t>
      </w:r>
      <w:r>
        <w:rPr>
          <w:spacing w:val="5"/>
          <w:w w:val="105"/>
          <w:sz w:val="21"/>
        </w:rPr>
        <w:t> </w:t>
      </w:r>
      <w:r>
        <w:rPr>
          <w:w w:val="105"/>
          <w:sz w:val="21"/>
        </w:rPr>
        <w:t>following:</w:t>
      </w:r>
    </w:p>
    <w:p>
      <w:pPr>
        <w:pStyle w:val="BodyText"/>
        <w:spacing w:before="11"/>
      </w:pPr>
    </w:p>
    <w:p>
      <w:pPr>
        <w:pStyle w:val="ListParagraph"/>
        <w:numPr>
          <w:ilvl w:val="4"/>
          <w:numId w:val="1"/>
        </w:numPr>
        <w:tabs>
          <w:tab w:pos="2810" w:val="left" w:leader="none"/>
        </w:tabs>
        <w:spacing w:line="252" w:lineRule="auto" w:before="0" w:after="0"/>
        <w:ind w:left="2809" w:right="1179" w:hanging="360"/>
        <w:jc w:val="left"/>
        <w:rPr>
          <w:sz w:val="21"/>
        </w:rPr>
      </w:pPr>
      <w:r>
        <w:rPr>
          <w:w w:val="105"/>
          <w:sz w:val="21"/>
        </w:rPr>
        <w:t>Valid service was obtained on Matthew C. Bradley and all of his unknown heirs and</w:t>
      </w:r>
      <w:r>
        <w:rPr>
          <w:spacing w:val="-4"/>
          <w:w w:val="105"/>
          <w:sz w:val="21"/>
        </w:rPr>
        <w:t> </w:t>
      </w:r>
      <w:r>
        <w:rPr>
          <w:w w:val="105"/>
          <w:sz w:val="21"/>
        </w:rPr>
        <w:t>devisees,</w:t>
      </w:r>
      <w:r>
        <w:rPr>
          <w:spacing w:val="-3"/>
          <w:w w:val="105"/>
          <w:sz w:val="21"/>
        </w:rPr>
        <w:t> </w:t>
      </w:r>
      <w:r>
        <w:rPr>
          <w:w w:val="105"/>
          <w:sz w:val="21"/>
        </w:rPr>
        <w:t>and</w:t>
      </w:r>
      <w:r>
        <w:rPr>
          <w:spacing w:val="-4"/>
          <w:w w:val="105"/>
          <w:sz w:val="21"/>
        </w:rPr>
        <w:t> </w:t>
      </w:r>
      <w:r>
        <w:rPr>
          <w:w w:val="105"/>
          <w:sz w:val="21"/>
        </w:rPr>
        <w:t>all</w:t>
      </w:r>
      <w:r>
        <w:rPr>
          <w:spacing w:val="-3"/>
          <w:w w:val="105"/>
          <w:sz w:val="21"/>
        </w:rPr>
        <w:t> </w:t>
      </w:r>
      <w:r>
        <w:rPr>
          <w:w w:val="105"/>
          <w:sz w:val="21"/>
        </w:rPr>
        <w:t>other</w:t>
      </w:r>
      <w:r>
        <w:rPr>
          <w:spacing w:val="-4"/>
          <w:w w:val="105"/>
          <w:sz w:val="21"/>
        </w:rPr>
        <w:t> </w:t>
      </w:r>
      <w:r>
        <w:rPr>
          <w:w w:val="105"/>
          <w:sz w:val="21"/>
        </w:rPr>
        <w:t>unknown</w:t>
      </w:r>
      <w:r>
        <w:rPr>
          <w:spacing w:val="-3"/>
          <w:w w:val="105"/>
          <w:sz w:val="21"/>
        </w:rPr>
        <w:t> </w:t>
      </w:r>
      <w:r>
        <w:rPr>
          <w:w w:val="105"/>
          <w:sz w:val="21"/>
        </w:rPr>
        <w:t>persons</w:t>
      </w:r>
      <w:r>
        <w:rPr>
          <w:spacing w:val="-4"/>
          <w:w w:val="105"/>
          <w:sz w:val="21"/>
        </w:rPr>
        <w:t> </w:t>
      </w:r>
      <w:r>
        <w:rPr>
          <w:w w:val="105"/>
          <w:sz w:val="21"/>
        </w:rPr>
        <w:t>who</w:t>
      </w:r>
      <w:r>
        <w:rPr>
          <w:spacing w:val="-3"/>
          <w:w w:val="105"/>
          <w:sz w:val="21"/>
        </w:rPr>
        <w:t> </w:t>
      </w:r>
      <w:r>
        <w:rPr>
          <w:w w:val="105"/>
          <w:sz w:val="21"/>
        </w:rPr>
        <w:t>claim</w:t>
      </w:r>
      <w:r>
        <w:rPr>
          <w:spacing w:val="-3"/>
          <w:w w:val="105"/>
          <w:sz w:val="21"/>
        </w:rPr>
        <w:t> </w:t>
      </w:r>
      <w:r>
        <w:rPr>
          <w:w w:val="105"/>
          <w:sz w:val="21"/>
        </w:rPr>
        <w:t>any</w:t>
      </w:r>
      <w:r>
        <w:rPr>
          <w:spacing w:val="-4"/>
          <w:w w:val="105"/>
          <w:sz w:val="21"/>
        </w:rPr>
        <w:t> </w:t>
      </w:r>
      <w:r>
        <w:rPr>
          <w:w w:val="105"/>
          <w:sz w:val="21"/>
        </w:rPr>
        <w:t>right,</w:t>
      </w:r>
      <w:r>
        <w:rPr>
          <w:spacing w:val="-4"/>
          <w:w w:val="105"/>
          <w:sz w:val="21"/>
        </w:rPr>
        <w:t> </w:t>
      </w:r>
      <w:r>
        <w:rPr>
          <w:w w:val="105"/>
          <w:sz w:val="21"/>
        </w:rPr>
        <w:t>title,</w:t>
      </w:r>
      <w:r>
        <w:rPr>
          <w:spacing w:val="-3"/>
          <w:w w:val="105"/>
          <w:sz w:val="21"/>
        </w:rPr>
        <w:t> </w:t>
      </w:r>
      <w:r>
        <w:rPr>
          <w:w w:val="105"/>
          <w:sz w:val="21"/>
        </w:rPr>
        <w:t>interest, estate</w:t>
      </w:r>
      <w:r>
        <w:rPr>
          <w:spacing w:val="-3"/>
          <w:w w:val="105"/>
          <w:sz w:val="21"/>
        </w:rPr>
        <w:t> </w:t>
      </w:r>
      <w:r>
        <w:rPr>
          <w:w w:val="105"/>
          <w:sz w:val="21"/>
        </w:rPr>
        <w:t>or</w:t>
      </w:r>
      <w:r>
        <w:rPr>
          <w:spacing w:val="-3"/>
          <w:w w:val="105"/>
          <w:sz w:val="21"/>
        </w:rPr>
        <w:t> </w:t>
      </w:r>
      <w:r>
        <w:rPr>
          <w:w w:val="105"/>
          <w:sz w:val="21"/>
        </w:rPr>
        <w:t>lien</w:t>
      </w:r>
      <w:r>
        <w:rPr>
          <w:spacing w:val="-2"/>
          <w:w w:val="105"/>
          <w:sz w:val="21"/>
        </w:rPr>
        <w:t> </w:t>
      </w:r>
      <w:r>
        <w:rPr>
          <w:w w:val="105"/>
          <w:sz w:val="21"/>
        </w:rPr>
        <w:t>in</w:t>
      </w:r>
      <w:r>
        <w:rPr>
          <w:spacing w:val="-2"/>
          <w:w w:val="105"/>
          <w:sz w:val="21"/>
        </w:rPr>
        <w:t> </w:t>
      </w:r>
      <w:r>
        <w:rPr>
          <w:w w:val="105"/>
          <w:sz w:val="21"/>
        </w:rPr>
        <w:t>the</w:t>
      </w:r>
      <w:r>
        <w:rPr>
          <w:spacing w:val="-2"/>
          <w:w w:val="105"/>
          <w:sz w:val="21"/>
        </w:rPr>
        <w:t> </w:t>
      </w:r>
      <w:r>
        <w:rPr>
          <w:w w:val="105"/>
          <w:sz w:val="21"/>
        </w:rPr>
        <w:t>subject</w:t>
      </w:r>
      <w:r>
        <w:rPr>
          <w:spacing w:val="-3"/>
          <w:w w:val="105"/>
          <w:sz w:val="21"/>
        </w:rPr>
        <w:t> </w:t>
      </w:r>
      <w:r>
        <w:rPr>
          <w:w w:val="105"/>
          <w:sz w:val="21"/>
        </w:rPr>
        <w:t>matter</w:t>
      </w:r>
      <w:r>
        <w:rPr>
          <w:spacing w:val="-3"/>
          <w:w w:val="105"/>
          <w:sz w:val="21"/>
        </w:rPr>
        <w:t> </w:t>
      </w:r>
      <w:r>
        <w:rPr>
          <w:w w:val="105"/>
          <w:sz w:val="21"/>
        </w:rPr>
        <w:t>of</w:t>
      </w:r>
      <w:r>
        <w:rPr>
          <w:spacing w:val="-4"/>
          <w:w w:val="105"/>
          <w:sz w:val="21"/>
        </w:rPr>
        <w:t> </w:t>
      </w:r>
      <w:r>
        <w:rPr>
          <w:w w:val="105"/>
          <w:sz w:val="21"/>
        </w:rPr>
        <w:t>this</w:t>
      </w:r>
      <w:r>
        <w:rPr>
          <w:spacing w:val="-3"/>
          <w:w w:val="105"/>
          <w:sz w:val="21"/>
        </w:rPr>
        <w:t> </w:t>
      </w:r>
      <w:r>
        <w:rPr>
          <w:w w:val="105"/>
          <w:sz w:val="21"/>
        </w:rPr>
        <w:t>action</w:t>
      </w:r>
      <w:r>
        <w:rPr>
          <w:spacing w:val="-2"/>
          <w:w w:val="105"/>
          <w:sz w:val="21"/>
        </w:rPr>
        <w:t> </w:t>
      </w:r>
      <w:r>
        <w:rPr>
          <w:w w:val="105"/>
          <w:sz w:val="21"/>
        </w:rPr>
        <w:t>in</w:t>
      </w:r>
      <w:r>
        <w:rPr>
          <w:spacing w:val="-2"/>
          <w:w w:val="105"/>
          <w:sz w:val="21"/>
        </w:rPr>
        <w:t> </w:t>
      </w:r>
      <w:r>
        <w:rPr>
          <w:w w:val="105"/>
          <w:sz w:val="21"/>
        </w:rPr>
        <w:t>accordance</w:t>
      </w:r>
      <w:r>
        <w:rPr>
          <w:spacing w:val="-2"/>
          <w:w w:val="105"/>
          <w:sz w:val="21"/>
        </w:rPr>
        <w:t> </w:t>
      </w:r>
      <w:r>
        <w:rPr>
          <w:w w:val="105"/>
          <w:sz w:val="21"/>
        </w:rPr>
        <w:t>with</w:t>
      </w:r>
      <w:r>
        <w:rPr>
          <w:spacing w:val="-2"/>
          <w:w w:val="105"/>
          <w:sz w:val="21"/>
        </w:rPr>
        <w:t> </w:t>
      </w:r>
      <w:r>
        <w:rPr>
          <w:w w:val="105"/>
          <w:sz w:val="21"/>
        </w:rPr>
        <w:t>C.R.C.P.</w:t>
      </w:r>
      <w:r>
        <w:rPr>
          <w:spacing w:val="-3"/>
          <w:w w:val="105"/>
          <w:sz w:val="21"/>
        </w:rPr>
        <w:t> </w:t>
      </w:r>
      <w:r>
        <w:rPr>
          <w:w w:val="105"/>
          <w:sz w:val="21"/>
        </w:rPr>
        <w:t>4.</w:t>
      </w:r>
    </w:p>
    <w:p>
      <w:pPr>
        <w:pStyle w:val="BodyText"/>
        <w:spacing w:before="6"/>
      </w:pPr>
    </w:p>
    <w:p>
      <w:pPr>
        <w:pStyle w:val="ListParagraph"/>
        <w:numPr>
          <w:ilvl w:val="4"/>
          <w:numId w:val="1"/>
        </w:numPr>
        <w:tabs>
          <w:tab w:pos="2810" w:val="left" w:leader="none"/>
        </w:tabs>
        <w:spacing w:line="240" w:lineRule="auto" w:before="1" w:after="0"/>
        <w:ind w:left="2809" w:right="0" w:hanging="360"/>
        <w:jc w:val="left"/>
        <w:rPr>
          <w:sz w:val="21"/>
        </w:rPr>
      </w:pPr>
      <w:r>
        <w:rPr>
          <w:w w:val="105"/>
          <w:sz w:val="21"/>
        </w:rPr>
        <w:t>Valid service was obtained on Sharon L. Bradley in accordance with C.R.C.P.</w:t>
      </w:r>
      <w:r>
        <w:rPr>
          <w:spacing w:val="-5"/>
          <w:w w:val="105"/>
          <w:sz w:val="21"/>
        </w:rPr>
        <w:t> </w:t>
      </w:r>
      <w:r>
        <w:rPr>
          <w:w w:val="105"/>
          <w:sz w:val="21"/>
        </w:rPr>
        <w:t>4.</w:t>
      </w:r>
    </w:p>
    <w:p>
      <w:pPr>
        <w:pStyle w:val="BodyText"/>
        <w:rPr>
          <w:sz w:val="23"/>
        </w:rPr>
      </w:pPr>
    </w:p>
    <w:p>
      <w:pPr>
        <w:pStyle w:val="ListParagraph"/>
        <w:numPr>
          <w:ilvl w:val="4"/>
          <w:numId w:val="1"/>
        </w:numPr>
        <w:tabs>
          <w:tab w:pos="2809" w:val="left" w:leader="none"/>
          <w:tab w:pos="2810" w:val="left" w:leader="none"/>
        </w:tabs>
        <w:spacing w:line="240" w:lineRule="auto" w:before="0" w:after="0"/>
        <w:ind w:left="2809" w:right="0" w:hanging="360"/>
        <w:jc w:val="left"/>
        <w:rPr>
          <w:sz w:val="21"/>
        </w:rPr>
      </w:pPr>
      <w:r>
        <w:rPr>
          <w:w w:val="105"/>
          <w:sz w:val="21"/>
        </w:rPr>
        <w:t>Venue is proper in this Court pursuant to C.R.C.P.</w:t>
      </w:r>
      <w:r>
        <w:rPr>
          <w:spacing w:val="3"/>
          <w:w w:val="105"/>
          <w:sz w:val="21"/>
        </w:rPr>
        <w:t> </w:t>
      </w:r>
      <w:r>
        <w:rPr>
          <w:w w:val="105"/>
          <w:sz w:val="21"/>
        </w:rPr>
        <w:t>98(a).</w:t>
      </w:r>
    </w:p>
    <w:p>
      <w:pPr>
        <w:pStyle w:val="BodyText"/>
        <w:rPr>
          <w:sz w:val="23"/>
        </w:rPr>
      </w:pPr>
    </w:p>
    <w:p>
      <w:pPr>
        <w:pStyle w:val="ListParagraph"/>
        <w:numPr>
          <w:ilvl w:val="4"/>
          <w:numId w:val="1"/>
        </w:numPr>
        <w:tabs>
          <w:tab w:pos="2810" w:val="left" w:leader="none"/>
        </w:tabs>
        <w:spacing w:line="252" w:lineRule="auto" w:before="1" w:after="0"/>
        <w:ind w:left="2809" w:right="1245" w:hanging="360"/>
        <w:jc w:val="left"/>
        <w:rPr>
          <w:sz w:val="21"/>
        </w:rPr>
      </w:pPr>
      <w:r>
        <w:rPr>
          <w:w w:val="105"/>
          <w:sz w:val="21"/>
        </w:rPr>
        <w:t>Matthew C. Bradley is deceased, and therefore as an entity, is not an infant, incompetent</w:t>
      </w:r>
      <w:r>
        <w:rPr>
          <w:spacing w:val="-4"/>
          <w:w w:val="105"/>
          <w:sz w:val="21"/>
        </w:rPr>
        <w:t> </w:t>
      </w:r>
      <w:r>
        <w:rPr>
          <w:w w:val="105"/>
          <w:sz w:val="21"/>
        </w:rPr>
        <w:t>person,</w:t>
      </w:r>
      <w:r>
        <w:rPr>
          <w:spacing w:val="-4"/>
          <w:w w:val="105"/>
          <w:sz w:val="21"/>
        </w:rPr>
        <w:t> </w:t>
      </w:r>
      <w:r>
        <w:rPr>
          <w:w w:val="105"/>
          <w:sz w:val="21"/>
        </w:rPr>
        <w:t>officer</w:t>
      </w:r>
      <w:r>
        <w:rPr>
          <w:spacing w:val="-4"/>
          <w:w w:val="105"/>
          <w:sz w:val="21"/>
        </w:rPr>
        <w:t> </w:t>
      </w:r>
      <w:r>
        <w:rPr>
          <w:w w:val="105"/>
          <w:sz w:val="21"/>
        </w:rPr>
        <w:t>or</w:t>
      </w:r>
      <w:r>
        <w:rPr>
          <w:spacing w:val="-4"/>
          <w:w w:val="105"/>
          <w:sz w:val="21"/>
        </w:rPr>
        <w:t> </w:t>
      </w:r>
      <w:r>
        <w:rPr>
          <w:w w:val="105"/>
          <w:sz w:val="21"/>
        </w:rPr>
        <w:t>agent</w:t>
      </w:r>
      <w:r>
        <w:rPr>
          <w:spacing w:val="-4"/>
          <w:w w:val="105"/>
          <w:sz w:val="21"/>
        </w:rPr>
        <w:t> </w:t>
      </w:r>
      <w:r>
        <w:rPr>
          <w:w w:val="105"/>
          <w:sz w:val="21"/>
        </w:rPr>
        <w:t>of</w:t>
      </w:r>
      <w:r>
        <w:rPr>
          <w:spacing w:val="-4"/>
          <w:w w:val="105"/>
          <w:sz w:val="21"/>
        </w:rPr>
        <w:t> </w:t>
      </w:r>
      <w:r>
        <w:rPr>
          <w:w w:val="105"/>
          <w:sz w:val="21"/>
        </w:rPr>
        <w:t>the</w:t>
      </w:r>
      <w:r>
        <w:rPr>
          <w:spacing w:val="-3"/>
          <w:w w:val="105"/>
          <w:sz w:val="21"/>
        </w:rPr>
        <w:t> </w:t>
      </w:r>
      <w:r>
        <w:rPr>
          <w:w w:val="105"/>
          <w:sz w:val="21"/>
        </w:rPr>
        <w:t>State</w:t>
      </w:r>
      <w:r>
        <w:rPr>
          <w:spacing w:val="-3"/>
          <w:w w:val="105"/>
          <w:sz w:val="21"/>
        </w:rPr>
        <w:t> </w:t>
      </w:r>
      <w:r>
        <w:rPr>
          <w:w w:val="105"/>
          <w:sz w:val="21"/>
        </w:rPr>
        <w:t>of</w:t>
      </w:r>
      <w:r>
        <w:rPr>
          <w:spacing w:val="-4"/>
          <w:w w:val="105"/>
          <w:sz w:val="21"/>
        </w:rPr>
        <w:t> </w:t>
      </w:r>
      <w:r>
        <w:rPr>
          <w:w w:val="105"/>
          <w:sz w:val="21"/>
        </w:rPr>
        <w:t>Colorado,</w:t>
      </w:r>
      <w:r>
        <w:rPr>
          <w:spacing w:val="-4"/>
          <w:w w:val="105"/>
          <w:sz w:val="21"/>
        </w:rPr>
        <w:t> </w:t>
      </w:r>
      <w:r>
        <w:rPr>
          <w:w w:val="105"/>
          <w:sz w:val="21"/>
        </w:rPr>
        <w:t>or</w:t>
      </w:r>
      <w:r>
        <w:rPr>
          <w:spacing w:val="-4"/>
          <w:w w:val="105"/>
          <w:sz w:val="21"/>
        </w:rPr>
        <w:t> </w:t>
      </w:r>
      <w:r>
        <w:rPr>
          <w:w w:val="105"/>
          <w:sz w:val="21"/>
        </w:rPr>
        <w:t>in</w:t>
      </w:r>
      <w:r>
        <w:rPr>
          <w:spacing w:val="-3"/>
          <w:w w:val="105"/>
          <w:sz w:val="21"/>
        </w:rPr>
        <w:t> </w:t>
      </w:r>
      <w:r>
        <w:rPr>
          <w:w w:val="105"/>
          <w:sz w:val="21"/>
        </w:rPr>
        <w:t>the</w:t>
      </w:r>
      <w:r>
        <w:rPr>
          <w:spacing w:val="-3"/>
          <w:w w:val="105"/>
          <w:sz w:val="21"/>
        </w:rPr>
        <w:t> </w:t>
      </w:r>
      <w:r>
        <w:rPr>
          <w:w w:val="105"/>
          <w:sz w:val="21"/>
        </w:rPr>
        <w:t>military service.</w:t>
      </w:r>
    </w:p>
    <w:p>
      <w:pPr>
        <w:pStyle w:val="BodyText"/>
        <w:spacing w:before="11"/>
      </w:pPr>
    </w:p>
    <w:p>
      <w:pPr>
        <w:pStyle w:val="ListParagraph"/>
        <w:numPr>
          <w:ilvl w:val="4"/>
          <w:numId w:val="1"/>
        </w:numPr>
        <w:tabs>
          <w:tab w:pos="2810" w:val="left" w:leader="none"/>
        </w:tabs>
        <w:spacing w:line="252" w:lineRule="auto" w:before="0" w:after="0"/>
        <w:ind w:left="2809" w:right="1342" w:hanging="360"/>
        <w:jc w:val="left"/>
        <w:rPr>
          <w:sz w:val="21"/>
        </w:rPr>
      </w:pPr>
      <w:r>
        <w:rPr>
          <w:w w:val="105"/>
          <w:sz w:val="21"/>
        </w:rPr>
        <w:t>Sharon</w:t>
      </w:r>
      <w:r>
        <w:rPr>
          <w:spacing w:val="-3"/>
          <w:w w:val="105"/>
          <w:sz w:val="21"/>
        </w:rPr>
        <w:t> </w:t>
      </w:r>
      <w:r>
        <w:rPr>
          <w:w w:val="105"/>
          <w:sz w:val="21"/>
        </w:rPr>
        <w:t>L.</w:t>
      </w:r>
      <w:r>
        <w:rPr>
          <w:spacing w:val="-3"/>
          <w:w w:val="105"/>
          <w:sz w:val="21"/>
        </w:rPr>
        <w:t> </w:t>
      </w:r>
      <w:r>
        <w:rPr>
          <w:w w:val="105"/>
          <w:sz w:val="21"/>
        </w:rPr>
        <w:t>Bradley,</w:t>
      </w:r>
      <w:r>
        <w:rPr>
          <w:spacing w:val="-4"/>
          <w:w w:val="105"/>
          <w:sz w:val="21"/>
        </w:rPr>
        <w:t> </w:t>
      </w:r>
      <w:r>
        <w:rPr>
          <w:w w:val="105"/>
          <w:sz w:val="21"/>
        </w:rPr>
        <w:t>as</w:t>
      </w:r>
      <w:r>
        <w:rPr>
          <w:spacing w:val="-3"/>
          <w:w w:val="105"/>
          <w:sz w:val="21"/>
        </w:rPr>
        <w:t> </w:t>
      </w:r>
      <w:r>
        <w:rPr>
          <w:w w:val="105"/>
          <w:sz w:val="21"/>
        </w:rPr>
        <w:t>an</w:t>
      </w:r>
      <w:r>
        <w:rPr>
          <w:spacing w:val="-3"/>
          <w:w w:val="105"/>
          <w:sz w:val="21"/>
        </w:rPr>
        <w:t> </w:t>
      </w:r>
      <w:r>
        <w:rPr>
          <w:w w:val="105"/>
          <w:sz w:val="21"/>
        </w:rPr>
        <w:t>entity,</w:t>
      </w:r>
      <w:r>
        <w:rPr>
          <w:spacing w:val="-3"/>
          <w:w w:val="105"/>
          <w:sz w:val="21"/>
        </w:rPr>
        <w:t> </w:t>
      </w:r>
      <w:r>
        <w:rPr>
          <w:w w:val="105"/>
          <w:sz w:val="21"/>
        </w:rPr>
        <w:t>is</w:t>
      </w:r>
      <w:r>
        <w:rPr>
          <w:spacing w:val="-4"/>
          <w:w w:val="105"/>
          <w:sz w:val="21"/>
        </w:rPr>
        <w:t> </w:t>
      </w:r>
      <w:r>
        <w:rPr>
          <w:w w:val="105"/>
          <w:sz w:val="21"/>
        </w:rPr>
        <w:t>not</w:t>
      </w:r>
      <w:r>
        <w:rPr>
          <w:spacing w:val="-3"/>
          <w:w w:val="105"/>
          <w:sz w:val="21"/>
        </w:rPr>
        <w:t> </w:t>
      </w:r>
      <w:r>
        <w:rPr>
          <w:w w:val="105"/>
          <w:sz w:val="21"/>
        </w:rPr>
        <w:t>an</w:t>
      </w:r>
      <w:r>
        <w:rPr>
          <w:spacing w:val="-3"/>
          <w:w w:val="105"/>
          <w:sz w:val="21"/>
        </w:rPr>
        <w:t> </w:t>
      </w:r>
      <w:r>
        <w:rPr>
          <w:w w:val="105"/>
          <w:sz w:val="21"/>
        </w:rPr>
        <w:t>infant,</w:t>
      </w:r>
      <w:r>
        <w:rPr>
          <w:spacing w:val="-3"/>
          <w:w w:val="105"/>
          <w:sz w:val="21"/>
        </w:rPr>
        <w:t> </w:t>
      </w:r>
      <w:r>
        <w:rPr>
          <w:w w:val="105"/>
          <w:sz w:val="21"/>
        </w:rPr>
        <w:t>incompetent</w:t>
      </w:r>
      <w:r>
        <w:rPr>
          <w:spacing w:val="-4"/>
          <w:w w:val="105"/>
          <w:sz w:val="21"/>
        </w:rPr>
        <w:t> </w:t>
      </w:r>
      <w:r>
        <w:rPr>
          <w:w w:val="105"/>
          <w:sz w:val="21"/>
        </w:rPr>
        <w:t>person,</w:t>
      </w:r>
      <w:r>
        <w:rPr>
          <w:spacing w:val="-3"/>
          <w:w w:val="105"/>
          <w:sz w:val="21"/>
        </w:rPr>
        <w:t> </w:t>
      </w:r>
      <w:r>
        <w:rPr>
          <w:w w:val="105"/>
          <w:sz w:val="21"/>
        </w:rPr>
        <w:t>officer</w:t>
      </w:r>
      <w:r>
        <w:rPr>
          <w:spacing w:val="-4"/>
          <w:w w:val="105"/>
          <w:sz w:val="21"/>
        </w:rPr>
        <w:t> </w:t>
      </w:r>
      <w:r>
        <w:rPr>
          <w:w w:val="105"/>
          <w:sz w:val="21"/>
        </w:rPr>
        <w:t>or agent of the State of Colorado, or in the military</w:t>
      </w:r>
      <w:r>
        <w:rPr>
          <w:spacing w:val="1"/>
          <w:w w:val="105"/>
          <w:sz w:val="21"/>
        </w:rPr>
        <w:t> </w:t>
      </w:r>
      <w:r>
        <w:rPr>
          <w:w w:val="105"/>
          <w:sz w:val="21"/>
        </w:rPr>
        <w:t>service.</w:t>
      </w:r>
    </w:p>
    <w:p>
      <w:pPr>
        <w:pStyle w:val="BodyText"/>
        <w:spacing w:before="12"/>
      </w:pPr>
    </w:p>
    <w:p>
      <w:pPr>
        <w:pStyle w:val="ListParagraph"/>
        <w:numPr>
          <w:ilvl w:val="3"/>
          <w:numId w:val="1"/>
        </w:numPr>
        <w:tabs>
          <w:tab w:pos="2089" w:val="left" w:leader="none"/>
          <w:tab w:pos="2090" w:val="left" w:leader="none"/>
        </w:tabs>
        <w:spacing w:line="252" w:lineRule="auto" w:before="0" w:after="0"/>
        <w:ind w:left="649" w:right="1136" w:firstLine="720"/>
        <w:jc w:val="left"/>
        <w:rPr>
          <w:sz w:val="21"/>
        </w:rPr>
      </w:pPr>
      <w:r>
        <w:rPr>
          <w:w w:val="105"/>
          <w:sz w:val="21"/>
        </w:rPr>
        <w:t>Plaintiff does not seek monetary damages from Matthew C. Bradley, all of his unknown heirs and devisees, Sharon L. Bradley, and all unknown persons who claim any right, title, interest, estate or lien in the subject matter of this action, but does seek entry of default and of an Order and Final</w:t>
      </w:r>
      <w:r>
        <w:rPr>
          <w:spacing w:val="-4"/>
          <w:w w:val="105"/>
          <w:sz w:val="21"/>
        </w:rPr>
        <w:t> </w:t>
      </w:r>
      <w:r>
        <w:rPr>
          <w:w w:val="105"/>
          <w:sz w:val="21"/>
        </w:rPr>
        <w:t>judgment</w:t>
      </w:r>
      <w:r>
        <w:rPr>
          <w:spacing w:val="-3"/>
          <w:w w:val="105"/>
          <w:sz w:val="21"/>
        </w:rPr>
        <w:t> </w:t>
      </w:r>
      <w:r>
        <w:rPr>
          <w:w w:val="105"/>
          <w:sz w:val="21"/>
        </w:rPr>
        <w:t>that</w:t>
      </w:r>
      <w:r>
        <w:rPr>
          <w:spacing w:val="-4"/>
          <w:w w:val="105"/>
          <w:sz w:val="21"/>
        </w:rPr>
        <w:t> </w:t>
      </w:r>
      <w:r>
        <w:rPr>
          <w:w w:val="105"/>
          <w:sz w:val="21"/>
        </w:rPr>
        <w:t>Matthew</w:t>
      </w:r>
      <w:r>
        <w:rPr>
          <w:spacing w:val="-1"/>
          <w:w w:val="105"/>
          <w:sz w:val="21"/>
        </w:rPr>
        <w:t> </w:t>
      </w:r>
      <w:r>
        <w:rPr>
          <w:w w:val="105"/>
          <w:sz w:val="21"/>
        </w:rPr>
        <w:t>C.</w:t>
      </w:r>
      <w:r>
        <w:rPr>
          <w:spacing w:val="-4"/>
          <w:w w:val="105"/>
          <w:sz w:val="21"/>
        </w:rPr>
        <w:t> </w:t>
      </w:r>
      <w:r>
        <w:rPr>
          <w:w w:val="105"/>
          <w:sz w:val="21"/>
        </w:rPr>
        <w:t>Bradley,</w:t>
      </w:r>
      <w:r>
        <w:rPr>
          <w:spacing w:val="-3"/>
          <w:w w:val="105"/>
          <w:sz w:val="21"/>
        </w:rPr>
        <w:t> </w:t>
      </w:r>
      <w:r>
        <w:rPr>
          <w:w w:val="105"/>
          <w:sz w:val="21"/>
        </w:rPr>
        <w:t>all</w:t>
      </w:r>
      <w:r>
        <w:rPr>
          <w:spacing w:val="-4"/>
          <w:w w:val="105"/>
          <w:sz w:val="21"/>
        </w:rPr>
        <w:t> </w:t>
      </w:r>
      <w:r>
        <w:rPr>
          <w:w w:val="105"/>
          <w:sz w:val="21"/>
        </w:rPr>
        <w:t>of</w:t>
      </w:r>
      <w:r>
        <w:rPr>
          <w:spacing w:val="-3"/>
          <w:w w:val="105"/>
          <w:sz w:val="21"/>
        </w:rPr>
        <w:t> </w:t>
      </w:r>
      <w:r>
        <w:rPr>
          <w:w w:val="105"/>
          <w:sz w:val="21"/>
        </w:rPr>
        <w:t>his</w:t>
      </w:r>
      <w:r>
        <w:rPr>
          <w:spacing w:val="-4"/>
          <w:w w:val="105"/>
          <w:sz w:val="21"/>
        </w:rPr>
        <w:t> </w:t>
      </w:r>
      <w:r>
        <w:rPr>
          <w:w w:val="105"/>
          <w:sz w:val="21"/>
        </w:rPr>
        <w:t>unknown</w:t>
      </w:r>
      <w:r>
        <w:rPr>
          <w:spacing w:val="-2"/>
          <w:w w:val="105"/>
          <w:sz w:val="21"/>
        </w:rPr>
        <w:t> </w:t>
      </w:r>
      <w:r>
        <w:rPr>
          <w:w w:val="105"/>
          <w:sz w:val="21"/>
        </w:rPr>
        <w:t>heirs</w:t>
      </w:r>
      <w:r>
        <w:rPr>
          <w:spacing w:val="-4"/>
          <w:w w:val="105"/>
          <w:sz w:val="21"/>
        </w:rPr>
        <w:t> </w:t>
      </w:r>
      <w:r>
        <w:rPr>
          <w:w w:val="105"/>
          <w:sz w:val="21"/>
        </w:rPr>
        <w:t>and</w:t>
      </w:r>
      <w:r>
        <w:rPr>
          <w:spacing w:val="-2"/>
          <w:w w:val="105"/>
          <w:sz w:val="21"/>
        </w:rPr>
        <w:t> </w:t>
      </w:r>
      <w:r>
        <w:rPr>
          <w:w w:val="105"/>
          <w:sz w:val="21"/>
        </w:rPr>
        <w:t>devisees,</w:t>
      </w:r>
      <w:r>
        <w:rPr>
          <w:spacing w:val="-4"/>
          <w:w w:val="105"/>
          <w:sz w:val="21"/>
        </w:rPr>
        <w:t> </w:t>
      </w:r>
      <w:r>
        <w:rPr>
          <w:w w:val="105"/>
          <w:sz w:val="21"/>
        </w:rPr>
        <w:t>Sharon</w:t>
      </w:r>
      <w:r>
        <w:rPr>
          <w:spacing w:val="-2"/>
          <w:w w:val="105"/>
          <w:sz w:val="21"/>
        </w:rPr>
        <w:t> </w:t>
      </w:r>
      <w:r>
        <w:rPr>
          <w:w w:val="105"/>
          <w:sz w:val="21"/>
        </w:rPr>
        <w:t>L.</w:t>
      </w:r>
      <w:r>
        <w:rPr>
          <w:spacing w:val="-4"/>
          <w:w w:val="105"/>
          <w:sz w:val="21"/>
        </w:rPr>
        <w:t> </w:t>
      </w:r>
      <w:r>
        <w:rPr>
          <w:w w:val="105"/>
          <w:sz w:val="21"/>
        </w:rPr>
        <w:t>Bradley,</w:t>
      </w:r>
      <w:r>
        <w:rPr>
          <w:spacing w:val="-3"/>
          <w:w w:val="105"/>
          <w:sz w:val="21"/>
        </w:rPr>
        <w:t> </w:t>
      </w:r>
      <w:r>
        <w:rPr>
          <w:w w:val="105"/>
          <w:sz w:val="21"/>
        </w:rPr>
        <w:t>and</w:t>
      </w:r>
      <w:r>
        <w:rPr>
          <w:spacing w:val="-3"/>
          <w:w w:val="105"/>
          <w:sz w:val="21"/>
        </w:rPr>
        <w:t> </w:t>
      </w:r>
      <w:r>
        <w:rPr>
          <w:w w:val="105"/>
          <w:sz w:val="21"/>
        </w:rPr>
        <w:t>all unknown persons who claim any right, title, interest, estate or lien in the subject matter of this action have no right, title, or interest in or to the property that is the subject of Plaintiff’s</w:t>
      </w:r>
      <w:r>
        <w:rPr>
          <w:spacing w:val="-15"/>
          <w:w w:val="105"/>
          <w:sz w:val="21"/>
        </w:rPr>
        <w:t> </w:t>
      </w:r>
      <w:r>
        <w:rPr>
          <w:w w:val="105"/>
          <w:sz w:val="21"/>
        </w:rPr>
        <w:t>Complaint.</w:t>
      </w:r>
    </w:p>
    <w:p>
      <w:pPr>
        <w:pStyle w:val="BodyText"/>
        <w:spacing w:before="2"/>
        <w:rPr>
          <w:sz w:val="13"/>
        </w:rPr>
      </w:pPr>
    </w:p>
    <w:p>
      <w:pPr>
        <w:pStyle w:val="ListParagraph"/>
        <w:numPr>
          <w:ilvl w:val="3"/>
          <w:numId w:val="1"/>
        </w:numPr>
        <w:tabs>
          <w:tab w:pos="2089" w:val="left" w:leader="none"/>
          <w:tab w:pos="2090" w:val="left" w:leader="none"/>
        </w:tabs>
        <w:spacing w:line="240" w:lineRule="auto" w:before="106" w:after="0"/>
        <w:ind w:left="2089" w:right="0" w:hanging="720"/>
        <w:jc w:val="left"/>
        <w:rPr>
          <w:sz w:val="21"/>
        </w:rPr>
      </w:pPr>
      <w:r>
        <w:rPr>
          <w:w w:val="105"/>
          <w:sz w:val="21"/>
        </w:rPr>
        <w:t>A proposed form of judgment is submitted concurrently pursuant to C.R.C.P. 121(c) §</w:t>
      </w:r>
      <w:r>
        <w:rPr>
          <w:spacing w:val="-5"/>
          <w:w w:val="105"/>
          <w:sz w:val="21"/>
        </w:rPr>
        <w:t> </w:t>
      </w:r>
      <w:r>
        <w:rPr>
          <w:w w:val="105"/>
          <w:sz w:val="21"/>
        </w:rPr>
        <w:t>1-</w:t>
      </w:r>
    </w:p>
    <w:p>
      <w:pPr>
        <w:pStyle w:val="BodyText"/>
        <w:spacing w:before="7"/>
        <w:ind w:left="649"/>
      </w:pPr>
      <w:r>
        <w:rPr>
          <w:w w:val="105"/>
        </w:rPr>
        <w:t>14.</w:t>
      </w:r>
    </w:p>
    <w:p>
      <w:pPr>
        <w:pStyle w:val="BodyText"/>
        <w:spacing w:before="5"/>
        <w:rPr>
          <w:sz w:val="14"/>
        </w:rPr>
      </w:pPr>
    </w:p>
    <w:p>
      <w:pPr>
        <w:pStyle w:val="BodyText"/>
        <w:spacing w:line="252" w:lineRule="auto" w:before="106"/>
        <w:ind w:left="649" w:right="1014" w:firstLine="720"/>
      </w:pPr>
      <w:r>
        <w:rPr>
          <w:w w:val="105"/>
        </w:rPr>
        <w:t>WHEREFORE, Plaintiff Precision Investments, LLC respectfully requests that this Court grant Plaintiff’s Motion for Entry of Default and for Default Judgment, establishing that Defendants Matthew</w:t>
      </w:r>
    </w:p>
    <w:p>
      <w:pPr>
        <w:pStyle w:val="BodyText"/>
        <w:spacing w:line="252" w:lineRule="auto"/>
        <w:ind w:left="649" w:right="1118"/>
      </w:pPr>
      <w:r>
        <w:rPr>
          <w:w w:val="105"/>
        </w:rPr>
        <w:t>C. Bradley, all of his unknown heirs and devisees, Sharon L. Bradley, and all unknown persons who claim any right, title, interest, estate or lien in the subject matter of this action have no right, title, or interest in or to the property that is the subject of Plaintiff’s Complaint.</w:t>
      </w:r>
    </w:p>
    <w:p>
      <w:pPr>
        <w:pStyle w:val="BodyText"/>
        <w:spacing w:before="10"/>
      </w:pPr>
    </w:p>
    <w:p>
      <w:pPr>
        <w:pStyle w:val="BodyText"/>
        <w:ind w:left="1369"/>
      </w:pPr>
      <w:r>
        <w:rPr>
          <w:w w:val="105"/>
        </w:rPr>
        <w:t>Respectfully submitted this 27</w:t>
      </w:r>
      <w:r>
        <w:rPr>
          <w:w w:val="105"/>
          <w:vertAlign w:val="superscript"/>
        </w:rPr>
        <w:t>th</w:t>
      </w:r>
      <w:r>
        <w:rPr>
          <w:w w:val="105"/>
          <w:vertAlign w:val="baseline"/>
        </w:rPr>
        <w:t> day of June, 2017.</w:t>
      </w:r>
    </w:p>
    <w:p>
      <w:pPr>
        <w:pStyle w:val="BodyText"/>
        <w:spacing w:line="530" w:lineRule="atLeast" w:before="8"/>
        <w:ind w:left="4969" w:right="4038"/>
      </w:pPr>
      <w:r>
        <w:rPr>
          <w:w w:val="105"/>
        </w:rPr>
        <w:t>H.A. Phillips Law, LLC By: </w:t>
      </w:r>
      <w:r>
        <w:rPr>
          <w:w w:val="105"/>
          <w:u w:val="single"/>
        </w:rPr>
        <w:t>s/ Heath A. Phillips</w:t>
      </w:r>
    </w:p>
    <w:p>
      <w:pPr>
        <w:pStyle w:val="BodyText"/>
        <w:spacing w:before="20"/>
        <w:ind w:left="5367"/>
      </w:pPr>
      <w:r>
        <w:rPr>
          <w:w w:val="105"/>
        </w:rPr>
        <w:t>Heath A. Phillips, #40976</w:t>
      </w:r>
    </w:p>
    <w:sectPr>
      <w:pgSz w:w="12240" w:h="15840"/>
      <w:pgMar w:top="1500" w:bottom="280" w:left="80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
      <w:numFmt w:val="upperLetter"/>
      <w:lvlText w:val="%1"/>
      <w:lvlJc w:val="left"/>
      <w:pPr>
        <w:ind w:left="649" w:hanging="740"/>
        <w:jc w:val="left"/>
      </w:pPr>
      <w:rPr>
        <w:rFonts w:hint="default"/>
      </w:rPr>
    </w:lvl>
    <w:lvl w:ilvl="1">
      <w:start w:val="18"/>
      <w:numFmt w:val="upperLetter"/>
      <w:lvlText w:val="%1.%2"/>
      <w:lvlJc w:val="left"/>
      <w:pPr>
        <w:ind w:left="649" w:hanging="740"/>
        <w:jc w:val="left"/>
      </w:pPr>
      <w:rPr>
        <w:rFonts w:hint="default"/>
      </w:rPr>
    </w:lvl>
    <w:lvl w:ilvl="2">
      <w:start w:val="3"/>
      <w:numFmt w:val="upperLetter"/>
      <w:lvlText w:val="%1.%2.%3"/>
      <w:lvlJc w:val="left"/>
      <w:pPr>
        <w:ind w:left="649" w:hanging="740"/>
        <w:jc w:val="left"/>
      </w:pPr>
      <w:rPr>
        <w:rFonts w:hint="default"/>
      </w:rPr>
    </w:lvl>
    <w:lvl w:ilvl="3">
      <w:start w:val="1"/>
      <w:numFmt w:val="decimal"/>
      <w:lvlText w:val="%4."/>
      <w:lvlJc w:val="left"/>
      <w:pPr>
        <w:ind w:left="649" w:hanging="720"/>
        <w:jc w:val="left"/>
      </w:pPr>
      <w:rPr>
        <w:rFonts w:hint="default" w:ascii="Calibri" w:hAnsi="Calibri" w:eastAsia="Calibri" w:cs="Calibri"/>
        <w:spacing w:val="0"/>
        <w:w w:val="102"/>
        <w:sz w:val="21"/>
        <w:szCs w:val="21"/>
      </w:rPr>
    </w:lvl>
    <w:lvl w:ilvl="4">
      <w:start w:val="1"/>
      <w:numFmt w:val="lowerLetter"/>
      <w:lvlText w:val="%5."/>
      <w:lvlJc w:val="left"/>
      <w:pPr>
        <w:ind w:left="2809" w:hanging="360"/>
        <w:jc w:val="left"/>
      </w:pPr>
      <w:rPr>
        <w:rFonts w:hint="default" w:ascii="Calibri" w:hAnsi="Calibri" w:eastAsia="Calibri" w:cs="Calibri"/>
        <w:spacing w:val="0"/>
        <w:w w:val="102"/>
        <w:sz w:val="21"/>
        <w:szCs w:val="21"/>
      </w:rPr>
    </w:lvl>
    <w:lvl w:ilvl="5">
      <w:start w:val="0"/>
      <w:numFmt w:val="bullet"/>
      <w:lvlText w:val="•"/>
      <w:lvlJc w:val="left"/>
      <w:pPr>
        <w:ind w:left="6506" w:hanging="360"/>
      </w:pPr>
      <w:rPr>
        <w:rFonts w:hint="default"/>
      </w:rPr>
    </w:lvl>
    <w:lvl w:ilvl="6">
      <w:start w:val="0"/>
      <w:numFmt w:val="bullet"/>
      <w:lvlText w:val="•"/>
      <w:lvlJc w:val="left"/>
      <w:pPr>
        <w:ind w:left="7433" w:hanging="360"/>
      </w:pPr>
      <w:rPr>
        <w:rFonts w:hint="default"/>
      </w:rPr>
    </w:lvl>
    <w:lvl w:ilvl="7">
      <w:start w:val="0"/>
      <w:numFmt w:val="bullet"/>
      <w:lvlText w:val="•"/>
      <w:lvlJc w:val="left"/>
      <w:pPr>
        <w:ind w:left="8360" w:hanging="360"/>
      </w:pPr>
      <w:rPr>
        <w:rFonts w:hint="default"/>
      </w:rPr>
    </w:lvl>
    <w:lvl w:ilvl="8">
      <w:start w:val="0"/>
      <w:numFmt w:val="bullet"/>
      <w:lvlText w:val="•"/>
      <w:lvlJc w:val="left"/>
      <w:pPr>
        <w:ind w:left="928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1"/>
      <w:szCs w:val="21"/>
    </w:rPr>
  </w:style>
  <w:style w:styleId="ListParagraph" w:type="paragraph">
    <w:name w:val="List Paragraph"/>
    <w:basedOn w:val="Normal"/>
    <w:uiPriority w:val="1"/>
    <w:qFormat/>
    <w:pPr>
      <w:ind w:left="649" w:firstLine="720"/>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heath@haphillipslaw.com"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2019-03-20T18:23:18Z</dcterms:created>
  <dcterms:modified xsi:type="dcterms:W3CDTF">2019-03-20T18:23:18Z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2019-03-20T00:00:00Z</vt:filetime>
  </property>
</Properties>
</file>