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22"/>
        </w:rPr>
      </w:pPr>
    </w:p>
    <w:p>
      <w:pPr>
        <w:spacing w:line="451" w:lineRule="auto" w:before="92"/>
        <w:ind w:left="6319" w:right="3121" w:firstLine="57"/>
        <w:jc w:val="left"/>
        <w:rPr>
          <w:sz w:val="20"/>
        </w:rPr>
      </w:pPr>
      <w:r>
        <w:rPr/>
        <w:pict>
          <v:shapetype id="_x0000_t202" o:spt="202" coordsize="21600,21600" path="m,l,21600r21600,l21600,xe">
            <v:stroke joinstyle="miter"/>
            <v:path gradientshapeok="t" o:connecttype="rect"/>
          </v:shapetype>
          <v:shape style="position:absolute;margin-left:71.760002pt;margin-top:8.735926pt;width:464.25pt;height:365.3pt;mso-position-horizontal-relative:page;mso-position-vertical-relative:paragraph;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7"/>
                    <w:gridCol w:w="1054"/>
                    <w:gridCol w:w="2971"/>
                  </w:tblGrid>
                  <w:tr>
                    <w:trPr>
                      <w:trHeight w:val="129" w:hRule="atLeast"/>
                    </w:trPr>
                    <w:tc>
                      <w:tcPr>
                        <w:tcW w:w="5247" w:type="dxa"/>
                        <w:vMerge w:val="restart"/>
                        <w:tcBorders>
                          <w:right w:val="nil"/>
                        </w:tcBorders>
                      </w:tcPr>
                      <w:p>
                        <w:pPr>
                          <w:pStyle w:val="TableParagraph"/>
                          <w:ind w:right="1855"/>
                          <w:rPr>
                            <w:sz w:val="24"/>
                          </w:rPr>
                        </w:pPr>
                        <w:r>
                          <w:rPr>
                            <w:sz w:val="24"/>
                          </w:rPr>
                          <w:t>District Court, Criminal Matters Adams County, State of Colorado </w:t>
                        </w:r>
                        <w:r>
                          <w:rPr>
                            <w:b/>
                            <w:sz w:val="24"/>
                          </w:rPr>
                          <w:t>Court Address</w:t>
                        </w:r>
                        <w:r>
                          <w:rPr>
                            <w:sz w:val="24"/>
                          </w:rPr>
                          <w:t>:</w:t>
                        </w:r>
                      </w:p>
                      <w:p>
                        <w:pPr>
                          <w:pStyle w:val="TableParagraph"/>
                          <w:ind w:right="2533"/>
                          <w:rPr>
                            <w:sz w:val="24"/>
                          </w:rPr>
                        </w:pPr>
                        <w:r>
                          <w:rPr>
                            <w:sz w:val="24"/>
                          </w:rPr>
                          <w:t>1100 Judicial Center </w:t>
                        </w:r>
                        <w:r>
                          <w:rPr>
                            <w:spacing w:val="-4"/>
                            <w:sz w:val="24"/>
                          </w:rPr>
                          <w:t>Drive </w:t>
                        </w:r>
                        <w:r>
                          <w:rPr>
                            <w:sz w:val="24"/>
                          </w:rPr>
                          <w:t>Brighton, Colorado</w:t>
                        </w:r>
                        <w:r>
                          <w:rPr>
                            <w:spacing w:val="55"/>
                            <w:sz w:val="24"/>
                          </w:rPr>
                          <w:t> </w:t>
                        </w:r>
                        <w:r>
                          <w:rPr>
                            <w:sz w:val="24"/>
                          </w:rPr>
                          <w:t>80601</w:t>
                        </w:r>
                      </w:p>
                      <w:p>
                        <w:pPr>
                          <w:pStyle w:val="TableParagraph"/>
                          <w:ind w:left="0"/>
                          <w:rPr>
                            <w:sz w:val="26"/>
                          </w:rPr>
                        </w:pPr>
                      </w:p>
                      <w:p>
                        <w:pPr>
                          <w:pStyle w:val="TableParagraph"/>
                          <w:spacing w:before="1"/>
                          <w:ind w:left="0"/>
                          <w:rPr>
                            <w:sz w:val="26"/>
                          </w:rPr>
                        </w:pPr>
                      </w:p>
                      <w:p>
                        <w:pPr>
                          <w:pStyle w:val="TableParagraph"/>
                          <w:rPr>
                            <w:sz w:val="24"/>
                          </w:rPr>
                        </w:pPr>
                        <w:r>
                          <w:rPr>
                            <w:sz w:val="24"/>
                          </w:rPr>
                          <w:t>THE PEOPLE OF THE STATE OF COLORADO,</w:t>
                        </w:r>
                      </w:p>
                      <w:p>
                        <w:pPr>
                          <w:pStyle w:val="TableParagraph"/>
                          <w:spacing w:line="480" w:lineRule="auto"/>
                          <w:ind w:right="4268"/>
                          <w:rPr>
                            <w:sz w:val="24"/>
                          </w:rPr>
                        </w:pPr>
                        <w:r>
                          <w:rPr>
                            <w:sz w:val="24"/>
                          </w:rPr>
                          <w:t>Plaintiff, v.</w:t>
                        </w:r>
                      </w:p>
                      <w:p>
                        <w:pPr>
                          <w:pStyle w:val="TableParagraph"/>
                          <w:rPr>
                            <w:sz w:val="24"/>
                          </w:rPr>
                        </w:pPr>
                        <w:r>
                          <w:rPr>
                            <w:sz w:val="24"/>
                          </w:rPr>
                          <w:t>JAMES WALKER,</w:t>
                        </w:r>
                      </w:p>
                      <w:p>
                        <w:pPr>
                          <w:pStyle w:val="TableParagraph"/>
                          <w:rPr>
                            <w:sz w:val="24"/>
                          </w:rPr>
                        </w:pPr>
                        <w:r>
                          <w:rPr>
                            <w:sz w:val="24"/>
                          </w:rPr>
                          <w:t>Defendant</w:t>
                        </w:r>
                      </w:p>
                      <w:p>
                        <w:pPr>
                          <w:pStyle w:val="TableParagraph"/>
                          <w:spacing w:before="3"/>
                          <w:ind w:left="0"/>
                          <w:rPr>
                            <w:sz w:val="28"/>
                          </w:rPr>
                        </w:pPr>
                      </w:p>
                      <w:p>
                        <w:pPr>
                          <w:pStyle w:val="TableParagraph"/>
                          <w:rPr>
                            <w:sz w:val="24"/>
                          </w:rPr>
                        </w:pPr>
                        <w:r>
                          <w:rPr>
                            <w:b/>
                            <w:sz w:val="24"/>
                          </w:rPr>
                          <w:t>Attorney</w:t>
                        </w:r>
                        <w:r>
                          <w:rPr>
                            <w:sz w:val="24"/>
                          </w:rPr>
                          <w:t>:</w:t>
                        </w:r>
                      </w:p>
                      <w:p>
                        <w:pPr>
                          <w:pStyle w:val="TableParagraph"/>
                          <w:rPr>
                            <w:sz w:val="24"/>
                          </w:rPr>
                        </w:pPr>
                        <w:r>
                          <w:rPr>
                            <w:sz w:val="24"/>
                          </w:rPr>
                          <w:t>Danielle M. McCarthy, #34573</w:t>
                        </w:r>
                      </w:p>
                      <w:p>
                        <w:pPr>
                          <w:pStyle w:val="TableParagraph"/>
                          <w:spacing w:line="275" w:lineRule="exact" w:before="3"/>
                          <w:rPr>
                            <w:b/>
                            <w:sz w:val="24"/>
                          </w:rPr>
                        </w:pPr>
                        <w:r>
                          <w:rPr>
                            <w:b/>
                            <w:sz w:val="24"/>
                          </w:rPr>
                          <w:t>DANIELLE M. MCCARTHY P.C.</w:t>
                        </w:r>
                      </w:p>
                      <w:p>
                        <w:pPr>
                          <w:pStyle w:val="TableParagraph"/>
                          <w:spacing w:line="275" w:lineRule="exact"/>
                          <w:rPr>
                            <w:sz w:val="24"/>
                          </w:rPr>
                        </w:pPr>
                        <w:r>
                          <w:rPr>
                            <w:sz w:val="24"/>
                          </w:rPr>
                          <w:t>1175 Osage Street, Suite 200</w:t>
                        </w:r>
                      </w:p>
                      <w:p>
                        <w:pPr>
                          <w:pStyle w:val="TableParagraph"/>
                          <w:rPr>
                            <w:sz w:val="24"/>
                          </w:rPr>
                        </w:pPr>
                        <w:r>
                          <w:rPr>
                            <w:sz w:val="24"/>
                          </w:rPr>
                          <w:t>Denver, Colorado 80204</w:t>
                        </w:r>
                      </w:p>
                      <w:p>
                        <w:pPr>
                          <w:pStyle w:val="TableParagraph"/>
                          <w:rPr>
                            <w:sz w:val="24"/>
                          </w:rPr>
                        </w:pPr>
                        <w:r>
                          <w:rPr>
                            <w:sz w:val="24"/>
                          </w:rPr>
                          <w:t>Telephone, 303-350-1550</w:t>
                        </w:r>
                      </w:p>
                      <w:p>
                        <w:pPr>
                          <w:pStyle w:val="TableParagraph"/>
                          <w:rPr>
                            <w:sz w:val="24"/>
                          </w:rPr>
                        </w:pPr>
                        <w:r>
                          <w:rPr>
                            <w:sz w:val="24"/>
                          </w:rPr>
                          <w:t>Facsimile, 303-350-1555</w:t>
                        </w:r>
                      </w:p>
                      <w:p>
                        <w:pPr>
                          <w:pStyle w:val="TableParagraph"/>
                          <w:spacing w:line="259" w:lineRule="exact"/>
                          <w:rPr>
                            <w:sz w:val="24"/>
                          </w:rPr>
                        </w:pPr>
                        <w:r>
                          <w:rPr>
                            <w:sz w:val="24"/>
                          </w:rPr>
                          <w:t>E-m</w:t>
                        </w:r>
                        <w:hyperlink r:id="rId5">
                          <w:r>
                            <w:rPr>
                              <w:sz w:val="24"/>
                            </w:rPr>
                            <w:t>ail:</w:t>
                          </w:r>
                          <w:r>
                            <w:rPr>
                              <w:spacing w:val="59"/>
                              <w:sz w:val="24"/>
                            </w:rPr>
                            <w:t> </w:t>
                          </w:r>
                          <w:r>
                            <w:rPr>
                              <w:sz w:val="24"/>
                            </w:rPr>
                            <w:t>daniellemccarthy11@gmail.com</w:t>
                          </w:r>
                        </w:hyperlink>
                      </w:p>
                    </w:tc>
                    <w:tc>
                      <w:tcPr>
                        <w:tcW w:w="1054" w:type="dxa"/>
                        <w:vMerge w:val="restart"/>
                        <w:tcBorders>
                          <w:left w:val="nil"/>
                        </w:tcBorders>
                      </w:tcPr>
                      <w:p>
                        <w:pPr>
                          <w:pStyle w:val="TableParagraph"/>
                          <w:spacing w:line="130" w:lineRule="exact"/>
                          <w:ind w:left="215"/>
                          <w:rPr>
                            <w:sz w:val="20"/>
                          </w:rPr>
                        </w:pPr>
                        <w:r>
                          <w:rPr>
                            <w:color w:val="0000FF"/>
                            <w:sz w:val="20"/>
                          </w:rPr>
                          <w:t>DATE FI</w:t>
                        </w:r>
                      </w:p>
                      <w:p>
                        <w:pPr>
                          <w:pStyle w:val="TableParagraph"/>
                          <w:spacing w:line="225" w:lineRule="auto" w:before="4"/>
                          <w:ind w:left="215"/>
                          <w:rPr>
                            <w:sz w:val="20"/>
                          </w:rPr>
                        </w:pPr>
                        <w:r>
                          <w:rPr>
                            <w:color w:val="0000FF"/>
                            <w:sz w:val="20"/>
                          </w:rPr>
                          <w:t>FILING I CASE N</w:t>
                        </w:r>
                      </w:p>
                    </w:tc>
                    <w:tc>
                      <w:tcPr>
                        <w:tcW w:w="2971" w:type="dxa"/>
                        <w:tcBorders>
                          <w:bottom w:val="nil"/>
                        </w:tcBorders>
                      </w:tcPr>
                      <w:p>
                        <w:pPr>
                          <w:pStyle w:val="TableParagraph"/>
                          <w:spacing w:line="110" w:lineRule="exact"/>
                          <w:ind w:left="80"/>
                          <w:rPr>
                            <w:sz w:val="20"/>
                          </w:rPr>
                        </w:pPr>
                        <w:r>
                          <w:rPr>
                            <w:color w:val="0000FF"/>
                            <w:sz w:val="20"/>
                          </w:rPr>
                          <w:t>ED: February 23, 2017 4:13 PM</w:t>
                        </w:r>
                      </w:p>
                    </w:tc>
                  </w:tr>
                  <w:tr>
                    <w:trPr>
                      <w:trHeight w:val="205" w:hRule="atLeast"/>
                    </w:trPr>
                    <w:tc>
                      <w:tcPr>
                        <w:tcW w:w="5247" w:type="dxa"/>
                        <w:vMerge/>
                        <w:tcBorders>
                          <w:top w:val="nil"/>
                          <w:right w:val="nil"/>
                        </w:tcBorders>
                      </w:tcPr>
                      <w:p>
                        <w:pPr>
                          <w:rPr>
                            <w:sz w:val="2"/>
                            <w:szCs w:val="2"/>
                          </w:rPr>
                        </w:pPr>
                      </w:p>
                    </w:tc>
                    <w:tc>
                      <w:tcPr>
                        <w:tcW w:w="1054" w:type="dxa"/>
                        <w:vMerge/>
                        <w:tcBorders>
                          <w:top w:val="nil"/>
                          <w:left w:val="nil"/>
                        </w:tcBorders>
                      </w:tcPr>
                      <w:p>
                        <w:pPr>
                          <w:rPr>
                            <w:sz w:val="2"/>
                            <w:szCs w:val="2"/>
                          </w:rPr>
                        </w:pPr>
                      </w:p>
                    </w:tc>
                    <w:tc>
                      <w:tcPr>
                        <w:tcW w:w="2971" w:type="dxa"/>
                        <w:tcBorders>
                          <w:top w:val="nil"/>
                          <w:bottom w:val="nil"/>
                        </w:tcBorders>
                      </w:tcPr>
                      <w:p>
                        <w:pPr>
                          <w:pStyle w:val="TableParagraph"/>
                          <w:spacing w:line="186" w:lineRule="exact"/>
                          <w:ind w:left="-32"/>
                          <w:rPr>
                            <w:sz w:val="20"/>
                          </w:rPr>
                        </w:pPr>
                        <w:r>
                          <w:rPr>
                            <w:color w:val="0000FF"/>
                            <w:sz w:val="20"/>
                          </w:rPr>
                          <w:t>D: E1F3CE56D9F23</w:t>
                        </w:r>
                      </w:p>
                    </w:tc>
                  </w:tr>
                  <w:tr>
                    <w:trPr>
                      <w:trHeight w:val="2091" w:hRule="atLeast"/>
                    </w:trPr>
                    <w:tc>
                      <w:tcPr>
                        <w:tcW w:w="5247" w:type="dxa"/>
                        <w:vMerge/>
                        <w:tcBorders>
                          <w:top w:val="nil"/>
                          <w:right w:val="nil"/>
                        </w:tcBorders>
                      </w:tcPr>
                      <w:p>
                        <w:pPr>
                          <w:rPr>
                            <w:sz w:val="2"/>
                            <w:szCs w:val="2"/>
                          </w:rPr>
                        </w:pPr>
                      </w:p>
                    </w:tc>
                    <w:tc>
                      <w:tcPr>
                        <w:tcW w:w="1054" w:type="dxa"/>
                        <w:vMerge/>
                        <w:tcBorders>
                          <w:top w:val="nil"/>
                          <w:left w:val="nil"/>
                        </w:tcBorders>
                      </w:tcPr>
                      <w:p>
                        <w:pPr>
                          <w:rPr>
                            <w:sz w:val="2"/>
                            <w:szCs w:val="2"/>
                          </w:rPr>
                        </w:pPr>
                      </w:p>
                    </w:tc>
                    <w:tc>
                      <w:tcPr>
                        <w:tcW w:w="2971" w:type="dxa"/>
                        <w:tcBorders>
                          <w:top w:val="nil"/>
                          <w:bottom w:val="nil"/>
                        </w:tcBorders>
                      </w:tcPr>
                      <w:p>
                        <w:pPr>
                          <w:pStyle w:val="TableParagraph"/>
                          <w:spacing w:line="214" w:lineRule="exact"/>
                          <w:ind w:left="44"/>
                          <w:rPr>
                            <w:sz w:val="20"/>
                          </w:rPr>
                        </w:pPr>
                        <w:r>
                          <w:rPr>
                            <w:color w:val="0000FF"/>
                            <w:sz w:val="20"/>
                          </w:rPr>
                          <w:t>MBER: 2016CR2658</w:t>
                        </w:r>
                      </w:p>
                    </w:tc>
                  </w:tr>
                  <w:tr>
                    <w:trPr>
                      <w:trHeight w:val="2281" w:hRule="atLeast"/>
                    </w:trPr>
                    <w:tc>
                      <w:tcPr>
                        <w:tcW w:w="5247" w:type="dxa"/>
                        <w:vMerge/>
                        <w:tcBorders>
                          <w:top w:val="nil"/>
                          <w:right w:val="nil"/>
                        </w:tcBorders>
                      </w:tcPr>
                      <w:p>
                        <w:pPr>
                          <w:rPr>
                            <w:sz w:val="2"/>
                            <w:szCs w:val="2"/>
                          </w:rPr>
                        </w:pPr>
                      </w:p>
                    </w:tc>
                    <w:tc>
                      <w:tcPr>
                        <w:tcW w:w="1054" w:type="dxa"/>
                        <w:vMerge/>
                        <w:tcBorders>
                          <w:top w:val="nil"/>
                          <w:left w:val="nil"/>
                        </w:tcBorders>
                      </w:tcPr>
                      <w:p>
                        <w:pPr>
                          <w:rPr>
                            <w:sz w:val="2"/>
                            <w:szCs w:val="2"/>
                          </w:rPr>
                        </w:pPr>
                      </w:p>
                    </w:tc>
                    <w:tc>
                      <w:tcPr>
                        <w:tcW w:w="2971" w:type="dxa"/>
                        <w:tcBorders>
                          <w:top w:val="nil"/>
                          <w:bottom w:val="nil"/>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32"/>
                          </w:rPr>
                        </w:pPr>
                      </w:p>
                      <w:p>
                        <w:pPr>
                          <w:pStyle w:val="TableParagraph"/>
                          <w:ind w:left="106"/>
                          <w:rPr>
                            <w:sz w:val="24"/>
                          </w:rPr>
                        </w:pPr>
                        <w:r>
                          <w:rPr>
                            <w:sz w:val="24"/>
                          </w:rPr>
                          <w:t>Case Number:</w:t>
                        </w:r>
                        <w:r>
                          <w:rPr>
                            <w:spacing w:val="58"/>
                            <w:sz w:val="24"/>
                          </w:rPr>
                          <w:t> </w:t>
                        </w:r>
                        <w:r>
                          <w:rPr>
                            <w:sz w:val="24"/>
                          </w:rPr>
                          <w:t>16CR2658</w:t>
                        </w:r>
                      </w:p>
                    </w:tc>
                  </w:tr>
                  <w:tr>
                    <w:trPr>
                      <w:trHeight w:val="542" w:hRule="atLeast"/>
                    </w:trPr>
                    <w:tc>
                      <w:tcPr>
                        <w:tcW w:w="5247" w:type="dxa"/>
                        <w:vMerge/>
                        <w:tcBorders>
                          <w:top w:val="nil"/>
                          <w:right w:val="nil"/>
                        </w:tcBorders>
                      </w:tcPr>
                      <w:p>
                        <w:pPr>
                          <w:rPr>
                            <w:sz w:val="2"/>
                            <w:szCs w:val="2"/>
                          </w:rPr>
                        </w:pPr>
                      </w:p>
                    </w:tc>
                    <w:tc>
                      <w:tcPr>
                        <w:tcW w:w="1054" w:type="dxa"/>
                        <w:vMerge/>
                        <w:tcBorders>
                          <w:top w:val="nil"/>
                          <w:left w:val="nil"/>
                        </w:tcBorders>
                      </w:tcPr>
                      <w:p>
                        <w:pPr>
                          <w:rPr>
                            <w:sz w:val="2"/>
                            <w:szCs w:val="2"/>
                          </w:rPr>
                        </w:pPr>
                      </w:p>
                    </w:tc>
                    <w:tc>
                      <w:tcPr>
                        <w:tcW w:w="2971" w:type="dxa"/>
                        <w:tcBorders>
                          <w:top w:val="nil"/>
                          <w:bottom w:val="nil"/>
                        </w:tcBorders>
                      </w:tcPr>
                      <w:p>
                        <w:pPr>
                          <w:pStyle w:val="TableParagraph"/>
                          <w:tabs>
                            <w:tab w:pos="1719" w:val="left" w:leader="none"/>
                          </w:tabs>
                          <w:spacing w:before="128"/>
                          <w:ind w:left="106"/>
                          <w:rPr>
                            <w:sz w:val="24"/>
                          </w:rPr>
                        </w:pPr>
                        <w:r>
                          <w:rPr>
                            <w:sz w:val="24"/>
                          </w:rPr>
                          <w:t>Division:</w:t>
                          <w:tab/>
                          <w:t>G</w:t>
                        </w:r>
                      </w:p>
                    </w:tc>
                  </w:tr>
                  <w:tr>
                    <w:trPr>
                      <w:trHeight w:val="1146" w:hRule="atLeast"/>
                    </w:trPr>
                    <w:tc>
                      <w:tcPr>
                        <w:tcW w:w="5247" w:type="dxa"/>
                        <w:vMerge/>
                        <w:tcBorders>
                          <w:top w:val="nil"/>
                          <w:right w:val="nil"/>
                        </w:tcBorders>
                      </w:tcPr>
                      <w:p>
                        <w:pPr>
                          <w:rPr>
                            <w:sz w:val="2"/>
                            <w:szCs w:val="2"/>
                          </w:rPr>
                        </w:pPr>
                      </w:p>
                    </w:tc>
                    <w:tc>
                      <w:tcPr>
                        <w:tcW w:w="1054" w:type="dxa"/>
                        <w:vMerge/>
                        <w:tcBorders>
                          <w:top w:val="nil"/>
                          <w:left w:val="nil"/>
                        </w:tcBorders>
                      </w:tcPr>
                      <w:p>
                        <w:pPr>
                          <w:rPr>
                            <w:sz w:val="2"/>
                            <w:szCs w:val="2"/>
                          </w:rPr>
                        </w:pPr>
                      </w:p>
                    </w:tc>
                    <w:tc>
                      <w:tcPr>
                        <w:tcW w:w="2971" w:type="dxa"/>
                        <w:tcBorders>
                          <w:top w:val="nil"/>
                        </w:tcBorders>
                      </w:tcPr>
                      <w:p>
                        <w:pPr>
                          <w:pStyle w:val="TableParagraph"/>
                          <w:tabs>
                            <w:tab w:pos="1646" w:val="left" w:leader="none"/>
                          </w:tabs>
                          <w:spacing w:before="128"/>
                          <w:ind w:left="106"/>
                          <w:rPr>
                            <w:sz w:val="24"/>
                          </w:rPr>
                        </w:pPr>
                        <w:r>
                          <w:rPr>
                            <w:sz w:val="24"/>
                          </w:rPr>
                          <w:t>Courtroom:</w:t>
                          <w:tab/>
                          <w:t>406</w:t>
                        </w:r>
                      </w:p>
                    </w:tc>
                  </w:tr>
                  <w:tr>
                    <w:trPr>
                      <w:trHeight w:val="828" w:hRule="atLeast"/>
                    </w:trPr>
                    <w:tc>
                      <w:tcPr>
                        <w:tcW w:w="9272" w:type="dxa"/>
                        <w:gridSpan w:val="3"/>
                      </w:tcPr>
                      <w:p>
                        <w:pPr>
                          <w:pStyle w:val="TableParagraph"/>
                          <w:ind w:left="0"/>
                          <w:rPr>
                            <w:sz w:val="24"/>
                          </w:rPr>
                        </w:pPr>
                      </w:p>
                      <w:p>
                        <w:pPr>
                          <w:pStyle w:val="TableParagraph"/>
                          <w:ind w:left="1589"/>
                          <w:rPr>
                            <w:b/>
                            <w:sz w:val="24"/>
                          </w:rPr>
                        </w:pPr>
                        <w:r>
                          <w:rPr>
                            <w:b/>
                            <w:sz w:val="24"/>
                          </w:rPr>
                          <w:t>MOTION FOR DISCLOSURE OF EXPERT WITNESSES</w:t>
                        </w:r>
                      </w:p>
                    </w:tc>
                  </w:tr>
                </w:tbl>
                <w:p>
                  <w:pPr>
                    <w:pStyle w:val="BodyText"/>
                  </w:pPr>
                </w:p>
              </w:txbxContent>
            </v:textbox>
            <w10:wrap type="none"/>
          </v:shape>
        </w:pict>
      </w:r>
      <w:r>
        <w:rPr>
          <w:color w:val="0000FF"/>
          <w:sz w:val="20"/>
        </w:rPr>
        <w:t>L U</w:t>
      </w:r>
    </w:p>
    <w:p>
      <w:pPr>
        <w:pStyle w:val="BodyText"/>
        <w:rPr>
          <w:sz w:val="20"/>
        </w:rPr>
      </w:pPr>
    </w:p>
    <w:p>
      <w:pPr>
        <w:pStyle w:val="BodyText"/>
        <w:rPr>
          <w:sz w:val="20"/>
        </w:rPr>
      </w:pPr>
    </w:p>
    <w:p>
      <w:pPr>
        <w:pStyle w:val="BodyText"/>
        <w:rPr>
          <w:sz w:val="20"/>
        </w:rPr>
      </w:pPr>
    </w:p>
    <w:p>
      <w:pPr>
        <w:pStyle w:val="BodyText"/>
        <w:spacing w:before="2"/>
        <w:rPr>
          <w:sz w:val="15"/>
        </w:rPr>
      </w:pPr>
      <w:r>
        <w:rPr/>
        <w:pict>
          <v:line style="position:absolute;mso-position-horizontal-relative:page;mso-position-vertical-relative:paragraph;z-index:-1024;mso-wrap-distance-left:0;mso-wrap-distance-right:0" from="75.900002pt,11.468653pt" to="383.100002pt,11.468653pt" stroked="true" strokeweight="1.5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line style="position:absolute;mso-position-horizontal-relative:page;mso-position-vertical-relative:paragraph;z-index:-1000;mso-wrap-distance-left:0;mso-wrap-distance-right:0" from="390.899994pt,11.608789pt" to="531.599994pt,11.608789pt" stroked="true" strokeweight="1.5pt" strokecolor="#000000">
            <v:stroke dashstyle="solid"/>
            <w10:wrap type="topAndBottom"/>
          </v:line>
        </w:pict>
      </w:r>
      <w:r>
        <w:rPr/>
        <w:pict>
          <v:line style="position:absolute;mso-position-horizontal-relative:page;mso-position-vertical-relative:paragraph;z-index:-976;mso-wrap-distance-left:0;mso-wrap-distance-right:0" from="75.900002pt,20.968788pt" to="383.100002pt,20.968788pt" stroked="true" strokeweight="1.5pt" strokecolor="#000000">
            <v:stroke dashstyle="solid"/>
            <w10:wrap type="topAndBottom"/>
          </v:line>
        </w:pict>
      </w:r>
    </w:p>
    <w:p>
      <w:pPr>
        <w:pStyle w:val="BodyText"/>
        <w:spacing w:before="8"/>
        <w:rPr>
          <w:sz w:val="7"/>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2"/>
        </w:rPr>
      </w:pPr>
    </w:p>
    <w:p>
      <w:pPr>
        <w:pStyle w:val="BodyText"/>
        <w:ind w:left="120" w:right="188" w:firstLine="720"/>
      </w:pPr>
      <w:r>
        <w:rPr/>
        <w:t>Defendant, by and through counsel, moves this Court to direct the prosecution to disclose to the Defendant, in writing not less than thirty-five days before trial, the following information relating to the presentation of expert witness evidence:</w:t>
      </w:r>
    </w:p>
    <w:p>
      <w:pPr>
        <w:pStyle w:val="BodyText"/>
      </w:pPr>
    </w:p>
    <w:p>
      <w:pPr>
        <w:pStyle w:val="ListParagraph"/>
        <w:numPr>
          <w:ilvl w:val="0"/>
          <w:numId w:val="1"/>
        </w:numPr>
        <w:tabs>
          <w:tab w:pos="1559" w:val="left" w:leader="none"/>
          <w:tab w:pos="1560" w:val="left" w:leader="none"/>
        </w:tabs>
        <w:spacing w:line="240" w:lineRule="auto" w:before="0" w:after="0"/>
        <w:ind w:left="120" w:right="685" w:firstLine="720"/>
        <w:jc w:val="left"/>
        <w:rPr>
          <w:sz w:val="24"/>
        </w:rPr>
      </w:pPr>
      <w:r>
        <w:rPr>
          <w:sz w:val="24"/>
        </w:rPr>
        <w:t>The names and address of all witnesses that the prosecution intends to call as expert</w:t>
      </w:r>
      <w:r>
        <w:rPr>
          <w:spacing w:val="-1"/>
          <w:sz w:val="24"/>
        </w:rPr>
        <w:t> </w:t>
      </w:r>
      <w:r>
        <w:rPr>
          <w:sz w:val="24"/>
        </w:rPr>
        <w:t>witnesses;</w:t>
      </w:r>
    </w:p>
    <w:p>
      <w:pPr>
        <w:pStyle w:val="ListParagraph"/>
        <w:numPr>
          <w:ilvl w:val="0"/>
          <w:numId w:val="1"/>
        </w:numPr>
        <w:tabs>
          <w:tab w:pos="1559" w:val="left" w:leader="none"/>
          <w:tab w:pos="1560" w:val="left" w:leader="none"/>
        </w:tabs>
        <w:spacing w:line="240" w:lineRule="auto" w:before="0" w:after="0"/>
        <w:ind w:left="1560" w:right="0" w:hanging="720"/>
        <w:jc w:val="left"/>
        <w:rPr>
          <w:sz w:val="24"/>
        </w:rPr>
      </w:pPr>
      <w:r>
        <w:rPr>
          <w:sz w:val="24"/>
        </w:rPr>
        <w:t>The specific field of expertise the expert will testify</w:t>
      </w:r>
      <w:r>
        <w:rPr>
          <w:spacing w:val="-5"/>
          <w:sz w:val="24"/>
        </w:rPr>
        <w:t> </w:t>
      </w:r>
      <w:r>
        <w:rPr>
          <w:sz w:val="24"/>
        </w:rPr>
        <w:t>about;</w:t>
      </w:r>
    </w:p>
    <w:p>
      <w:pPr>
        <w:pStyle w:val="ListParagraph"/>
        <w:numPr>
          <w:ilvl w:val="0"/>
          <w:numId w:val="1"/>
        </w:numPr>
        <w:tabs>
          <w:tab w:pos="1559" w:val="left" w:leader="none"/>
          <w:tab w:pos="1560" w:val="left" w:leader="none"/>
        </w:tabs>
        <w:spacing w:line="240" w:lineRule="auto" w:before="0" w:after="0"/>
        <w:ind w:left="120" w:right="360" w:firstLine="720"/>
        <w:jc w:val="left"/>
        <w:rPr>
          <w:sz w:val="24"/>
        </w:rPr>
      </w:pPr>
      <w:r>
        <w:rPr>
          <w:sz w:val="24"/>
        </w:rPr>
        <w:t>All reports and written or oral statements of witnesses that the prosecution</w:t>
      </w:r>
      <w:r>
        <w:rPr>
          <w:spacing w:val="-23"/>
          <w:sz w:val="24"/>
        </w:rPr>
        <w:t> </w:t>
      </w:r>
      <w:r>
        <w:rPr>
          <w:sz w:val="24"/>
        </w:rPr>
        <w:t>seeks to introduce as expert</w:t>
      </w:r>
      <w:r>
        <w:rPr>
          <w:spacing w:val="-2"/>
          <w:sz w:val="24"/>
        </w:rPr>
        <w:t> </w:t>
      </w:r>
      <w:r>
        <w:rPr>
          <w:sz w:val="24"/>
        </w:rPr>
        <w:t>witnesses;</w:t>
      </w:r>
    </w:p>
    <w:p>
      <w:pPr>
        <w:pStyle w:val="ListParagraph"/>
        <w:numPr>
          <w:ilvl w:val="0"/>
          <w:numId w:val="1"/>
        </w:numPr>
        <w:tabs>
          <w:tab w:pos="1559" w:val="left" w:leader="none"/>
          <w:tab w:pos="1560" w:val="left" w:leader="none"/>
        </w:tabs>
        <w:spacing w:line="240" w:lineRule="auto" w:before="0" w:after="0"/>
        <w:ind w:left="120" w:right="707" w:firstLine="720"/>
        <w:jc w:val="left"/>
        <w:rPr>
          <w:sz w:val="24"/>
        </w:rPr>
      </w:pPr>
      <w:r>
        <w:rPr>
          <w:sz w:val="24"/>
        </w:rPr>
        <w:t>All documents, reports, or oral statements relating to physical or mental examinations, scientific tests, experiments, comparisons, or other procedures that the expert considered or conducted in formulating his opinion in this</w:t>
      </w:r>
      <w:r>
        <w:rPr>
          <w:spacing w:val="-5"/>
          <w:sz w:val="24"/>
        </w:rPr>
        <w:t> </w:t>
      </w:r>
      <w:r>
        <w:rPr>
          <w:sz w:val="24"/>
        </w:rPr>
        <w:t>case;</w:t>
      </w:r>
    </w:p>
    <w:p>
      <w:pPr>
        <w:pStyle w:val="ListParagraph"/>
        <w:numPr>
          <w:ilvl w:val="0"/>
          <w:numId w:val="1"/>
        </w:numPr>
        <w:tabs>
          <w:tab w:pos="1559" w:val="left" w:leader="none"/>
          <w:tab w:pos="1560" w:val="left" w:leader="none"/>
        </w:tabs>
        <w:spacing w:line="240" w:lineRule="auto" w:before="0" w:after="0"/>
        <w:ind w:left="120" w:right="847" w:firstLine="720"/>
        <w:jc w:val="left"/>
        <w:rPr>
          <w:sz w:val="24"/>
        </w:rPr>
      </w:pPr>
      <w:r>
        <w:rPr>
          <w:sz w:val="24"/>
        </w:rPr>
        <w:t>The formal education, training, experience, or other factors that support the qualification of a witness as an expert;</w:t>
      </w:r>
      <w:r>
        <w:rPr>
          <w:spacing w:val="-5"/>
          <w:sz w:val="24"/>
        </w:rPr>
        <w:t> </w:t>
      </w:r>
      <w:r>
        <w:rPr>
          <w:sz w:val="24"/>
        </w:rPr>
        <w:t>and</w:t>
      </w:r>
    </w:p>
    <w:p>
      <w:pPr>
        <w:spacing w:after="0" w:line="240" w:lineRule="auto"/>
        <w:jc w:val="left"/>
        <w:rPr>
          <w:sz w:val="24"/>
        </w:rPr>
        <w:sectPr>
          <w:type w:val="continuous"/>
          <w:pgSz w:w="12240" w:h="15840"/>
          <w:pgMar w:top="1500" w:bottom="280" w:left="1320" w:right="1280"/>
        </w:sectPr>
      </w:pPr>
    </w:p>
    <w:p>
      <w:pPr>
        <w:pStyle w:val="BodyText"/>
        <w:rPr>
          <w:sz w:val="20"/>
        </w:rPr>
      </w:pPr>
    </w:p>
    <w:p>
      <w:pPr>
        <w:pStyle w:val="BodyText"/>
        <w:spacing w:before="3"/>
        <w:rPr>
          <w:sz w:val="29"/>
        </w:rPr>
      </w:pPr>
    </w:p>
    <w:p>
      <w:pPr>
        <w:pStyle w:val="ListParagraph"/>
        <w:numPr>
          <w:ilvl w:val="0"/>
          <w:numId w:val="1"/>
        </w:numPr>
        <w:tabs>
          <w:tab w:pos="1559" w:val="left" w:leader="none"/>
          <w:tab w:pos="1560" w:val="left" w:leader="none"/>
        </w:tabs>
        <w:spacing w:line="240" w:lineRule="auto" w:before="90" w:after="0"/>
        <w:ind w:left="120" w:right="193" w:firstLine="720"/>
        <w:jc w:val="left"/>
        <w:rPr>
          <w:sz w:val="24"/>
        </w:rPr>
      </w:pPr>
      <w:r>
        <w:rPr>
          <w:sz w:val="24"/>
        </w:rPr>
        <w:t>All books, manuals, articles, journal, reports, studies, or other literature used or relied upon in formulating an opinion by any expert witness the prosecution seeks to introduce in this case</w:t>
      </w:r>
    </w:p>
    <w:p>
      <w:pPr>
        <w:pStyle w:val="BodyText"/>
      </w:pPr>
    </w:p>
    <w:p>
      <w:pPr>
        <w:pStyle w:val="BodyText"/>
        <w:ind w:left="840"/>
      </w:pPr>
      <w:r>
        <w:rPr/>
        <w:t>AS GROUNDS for this request, Defendant states as follows:</w:t>
      </w:r>
    </w:p>
    <w:p>
      <w:pPr>
        <w:pStyle w:val="BodyText"/>
      </w:pPr>
    </w:p>
    <w:p>
      <w:pPr>
        <w:pStyle w:val="ListParagraph"/>
        <w:numPr>
          <w:ilvl w:val="1"/>
          <w:numId w:val="1"/>
        </w:numPr>
        <w:tabs>
          <w:tab w:pos="1559" w:val="left" w:leader="none"/>
          <w:tab w:pos="1560" w:val="left" w:leader="none"/>
        </w:tabs>
        <w:spacing w:line="240" w:lineRule="auto" w:before="0" w:after="0"/>
        <w:ind w:left="120" w:right="309" w:firstLine="720"/>
        <w:jc w:val="left"/>
        <w:rPr>
          <w:sz w:val="24"/>
        </w:rPr>
      </w:pPr>
      <w:r>
        <w:rPr>
          <w:sz w:val="24"/>
        </w:rPr>
        <w:t>The requested discovery is authorized under Crim. P. 16(I), (a)(1)(IV), (a)(2), (d)(1). </w:t>
      </w:r>
      <w:r>
        <w:rPr>
          <w:sz w:val="24"/>
          <w:u w:val="single"/>
        </w:rPr>
        <w:t>People v. District Court</w:t>
      </w:r>
      <w:r>
        <w:rPr>
          <w:sz w:val="24"/>
        </w:rPr>
        <w:t>, 790 P.2d 332, 338 (Colo. 1990); </w:t>
      </w:r>
      <w:r>
        <w:rPr>
          <w:sz w:val="24"/>
          <w:u w:val="single"/>
        </w:rPr>
        <w:t>cf</w:t>
      </w:r>
      <w:r>
        <w:rPr>
          <w:sz w:val="24"/>
        </w:rPr>
        <w:t>. </w:t>
      </w:r>
      <w:r>
        <w:rPr>
          <w:sz w:val="24"/>
          <w:u w:val="single"/>
        </w:rPr>
        <w:t>Gray v. District Court</w:t>
      </w:r>
      <w:r>
        <w:rPr>
          <w:sz w:val="24"/>
        </w:rPr>
        <w:t>, 884 P.2d 286 (Colo. 1994) (prosecution has the right to discovery of the defendant’s psychiatric treatment that occurred before the defendant’s crime where the defense of insanity was raised</w:t>
      </w:r>
      <w:r>
        <w:rPr>
          <w:spacing w:val="-23"/>
          <w:sz w:val="24"/>
        </w:rPr>
        <w:t> </w:t>
      </w:r>
      <w:r>
        <w:rPr>
          <w:sz w:val="24"/>
        </w:rPr>
        <w:t>at trial).</w:t>
      </w:r>
    </w:p>
    <w:p>
      <w:pPr>
        <w:pStyle w:val="BodyText"/>
      </w:pPr>
    </w:p>
    <w:p>
      <w:pPr>
        <w:pStyle w:val="ListParagraph"/>
        <w:numPr>
          <w:ilvl w:val="1"/>
          <w:numId w:val="1"/>
        </w:numPr>
        <w:tabs>
          <w:tab w:pos="1559" w:val="left" w:leader="none"/>
          <w:tab w:pos="1560" w:val="left" w:leader="none"/>
        </w:tabs>
        <w:spacing w:line="240" w:lineRule="auto" w:before="0" w:after="0"/>
        <w:ind w:left="120" w:right="479" w:firstLine="720"/>
        <w:jc w:val="left"/>
        <w:rPr>
          <w:sz w:val="24"/>
        </w:rPr>
      </w:pPr>
      <w:r>
        <w:rPr>
          <w:sz w:val="24"/>
        </w:rPr>
        <w:t>The discovery rules are intended to further the truth-seeking process. </w:t>
      </w:r>
      <w:r>
        <w:rPr>
          <w:sz w:val="24"/>
          <w:u w:val="single"/>
        </w:rPr>
        <w:t>Lanari v. People</w:t>
      </w:r>
      <w:r>
        <w:rPr>
          <w:sz w:val="24"/>
        </w:rPr>
        <w:t>, 827 P.2d 495 (Colo. 1992). “By permitting the prosecution and defense to obtain relevant information prior to trial, the rules also promote fairness in the criminal process by reducing the risk of trial by ambush.” </w:t>
      </w:r>
      <w:r>
        <w:rPr>
          <w:sz w:val="24"/>
          <w:u w:val="single"/>
        </w:rPr>
        <w:t>Lanari</w:t>
      </w:r>
      <w:r>
        <w:rPr>
          <w:sz w:val="24"/>
        </w:rPr>
        <w:t>, 827 P.2d</w:t>
      </w:r>
      <w:r>
        <w:rPr>
          <w:spacing w:val="-6"/>
          <w:sz w:val="24"/>
        </w:rPr>
        <w:t> </w:t>
      </w:r>
      <w:r>
        <w:rPr>
          <w:sz w:val="24"/>
        </w:rPr>
        <w:t>495.</w:t>
      </w:r>
    </w:p>
    <w:p>
      <w:pPr>
        <w:pStyle w:val="BodyText"/>
        <w:spacing w:before="2"/>
        <w:rPr>
          <w:sz w:val="16"/>
        </w:rPr>
      </w:pPr>
    </w:p>
    <w:p>
      <w:pPr>
        <w:pStyle w:val="ListParagraph"/>
        <w:numPr>
          <w:ilvl w:val="1"/>
          <w:numId w:val="1"/>
        </w:numPr>
        <w:tabs>
          <w:tab w:pos="1559" w:val="left" w:leader="none"/>
          <w:tab w:pos="1560" w:val="left" w:leader="none"/>
        </w:tabs>
        <w:spacing w:line="240" w:lineRule="auto" w:before="90" w:after="0"/>
        <w:ind w:left="120" w:right="233" w:firstLine="720"/>
        <w:jc w:val="left"/>
        <w:rPr>
          <w:sz w:val="24"/>
        </w:rPr>
      </w:pPr>
      <w:r>
        <w:rPr>
          <w:sz w:val="24"/>
        </w:rPr>
        <w:t>The use of discovery material for a defendant's impeachment purposes at trial implicates the due process and confrontation rights of the accused. </w:t>
      </w:r>
      <w:r>
        <w:rPr>
          <w:sz w:val="24"/>
          <w:u w:val="single"/>
        </w:rPr>
        <w:t>People v. Thatcher</w:t>
      </w:r>
      <w:r>
        <w:rPr>
          <w:sz w:val="24"/>
        </w:rPr>
        <w:t>, 638 P.2d 760, 768 (Colo. 1981); </w:t>
      </w:r>
      <w:r>
        <w:rPr>
          <w:sz w:val="24"/>
          <w:u w:val="single"/>
        </w:rPr>
        <w:t>Goodwin v. District Court</w:t>
      </w:r>
      <w:r>
        <w:rPr>
          <w:sz w:val="24"/>
        </w:rPr>
        <w:t>, 197 Colo. 6, 588 P.2d 874 (1979); </w:t>
      </w:r>
      <w:r>
        <w:rPr>
          <w:sz w:val="24"/>
          <w:u w:val="single"/>
        </w:rPr>
        <w:t>U.S. Const.</w:t>
      </w:r>
      <w:r>
        <w:rPr>
          <w:sz w:val="24"/>
        </w:rPr>
        <w:t>, amends. V, VI, XIV; </w:t>
      </w:r>
      <w:r>
        <w:rPr>
          <w:sz w:val="24"/>
          <w:u w:val="single"/>
        </w:rPr>
        <w:t>Colo. Const.</w:t>
      </w:r>
      <w:r>
        <w:rPr>
          <w:sz w:val="24"/>
        </w:rPr>
        <w:t>, art II, §§ 16,</w:t>
      </w:r>
      <w:r>
        <w:rPr>
          <w:spacing w:val="-3"/>
          <w:sz w:val="24"/>
        </w:rPr>
        <w:t> </w:t>
      </w:r>
      <w:r>
        <w:rPr>
          <w:sz w:val="24"/>
        </w:rPr>
        <w:t>25.</w:t>
      </w:r>
    </w:p>
    <w:p>
      <w:pPr>
        <w:pStyle w:val="BodyText"/>
        <w:spacing w:before="2"/>
        <w:rPr>
          <w:sz w:val="16"/>
        </w:rPr>
      </w:pPr>
    </w:p>
    <w:p>
      <w:pPr>
        <w:pStyle w:val="ListParagraph"/>
        <w:numPr>
          <w:ilvl w:val="1"/>
          <w:numId w:val="1"/>
        </w:numPr>
        <w:tabs>
          <w:tab w:pos="1559" w:val="left" w:leader="none"/>
          <w:tab w:pos="1560" w:val="left" w:leader="none"/>
        </w:tabs>
        <w:spacing w:line="240" w:lineRule="auto" w:before="90" w:after="0"/>
        <w:ind w:left="120" w:right="324" w:firstLine="720"/>
        <w:jc w:val="left"/>
        <w:rPr>
          <w:sz w:val="24"/>
        </w:rPr>
      </w:pPr>
      <w:r>
        <w:rPr>
          <w:sz w:val="24"/>
        </w:rPr>
        <w:t>The prosecution also has a duty to provide discovery of any material that may</w:t>
      </w:r>
      <w:r>
        <w:rPr>
          <w:spacing w:val="-19"/>
          <w:sz w:val="24"/>
        </w:rPr>
        <w:t> </w:t>
      </w:r>
      <w:r>
        <w:rPr>
          <w:sz w:val="24"/>
        </w:rPr>
        <w:t>be meaningful to the defense, regardless of whether it is exculpatory or will relate to testimony the prosecution intends to present at trial. </w:t>
      </w:r>
      <w:r>
        <w:rPr>
          <w:sz w:val="24"/>
          <w:u w:val="single"/>
        </w:rPr>
        <w:t>People v. Thatcher</w:t>
      </w:r>
      <w:r>
        <w:rPr>
          <w:sz w:val="24"/>
        </w:rPr>
        <w:t>, 638 P.2d 760, 768 (Colo. 1981);</w:t>
      </w:r>
      <w:r>
        <w:rPr>
          <w:sz w:val="24"/>
          <w:u w:val="single"/>
        </w:rPr>
        <w:t> People v. Smith</w:t>
      </w:r>
      <w:r>
        <w:rPr>
          <w:sz w:val="24"/>
        </w:rPr>
        <w:t>, 185 Colo. 369, 524 P.2d 607</w:t>
      </w:r>
      <w:r>
        <w:rPr>
          <w:spacing w:val="-1"/>
          <w:sz w:val="24"/>
        </w:rPr>
        <w:t> </w:t>
      </w:r>
      <w:r>
        <w:rPr>
          <w:sz w:val="24"/>
        </w:rPr>
        <w:t>(1974).</w:t>
      </w:r>
    </w:p>
    <w:p>
      <w:pPr>
        <w:pStyle w:val="BodyText"/>
        <w:spacing w:before="1"/>
        <w:rPr>
          <w:sz w:val="16"/>
        </w:rPr>
      </w:pPr>
    </w:p>
    <w:p>
      <w:pPr>
        <w:pStyle w:val="ListParagraph"/>
        <w:numPr>
          <w:ilvl w:val="1"/>
          <w:numId w:val="1"/>
        </w:numPr>
        <w:tabs>
          <w:tab w:pos="1559" w:val="left" w:leader="none"/>
          <w:tab w:pos="1560" w:val="left" w:leader="none"/>
        </w:tabs>
        <w:spacing w:line="240" w:lineRule="auto" w:before="90" w:after="0"/>
        <w:ind w:left="120" w:right="197" w:firstLine="720"/>
        <w:jc w:val="left"/>
        <w:rPr>
          <w:sz w:val="24"/>
        </w:rPr>
      </w:pPr>
      <w:r>
        <w:rPr>
          <w:sz w:val="24"/>
        </w:rPr>
        <w:t>To render effective assistance of counsel, defense counsel must be given a reasonable time to investigate a case. </w:t>
      </w:r>
      <w:r>
        <w:rPr>
          <w:sz w:val="24"/>
          <w:u w:val="single"/>
        </w:rPr>
        <w:t>See People v. Dillon</w:t>
      </w:r>
      <w:r>
        <w:rPr>
          <w:sz w:val="24"/>
        </w:rPr>
        <w:t>, 739 P.2d 919 (Colo. App. 1987);</w:t>
      </w:r>
      <w:r>
        <w:rPr>
          <w:sz w:val="24"/>
          <w:u w:val="single"/>
        </w:rPr>
        <w:t> U.S. Const</w:t>
      </w:r>
      <w:r>
        <w:rPr>
          <w:sz w:val="24"/>
        </w:rPr>
        <w:t>., amends. VI; </w:t>
      </w:r>
      <w:r>
        <w:rPr>
          <w:sz w:val="24"/>
          <w:u w:val="single"/>
        </w:rPr>
        <w:t>Colo. Const</w:t>
      </w:r>
      <w:r>
        <w:rPr>
          <w:sz w:val="24"/>
        </w:rPr>
        <w:t>., art. II, { 16. As constitutional matter of due process, the defense must be given adequate time to investigate and prepare the defense to the charges in this case. </w:t>
      </w:r>
      <w:r>
        <w:rPr>
          <w:sz w:val="24"/>
          <w:u w:val="single"/>
        </w:rPr>
        <w:t>U.S. Const</w:t>
      </w:r>
      <w:r>
        <w:rPr>
          <w:sz w:val="24"/>
        </w:rPr>
        <w:t>., amends. XIV; </w:t>
      </w:r>
      <w:r>
        <w:rPr>
          <w:sz w:val="24"/>
          <w:u w:val="single"/>
        </w:rPr>
        <w:t>Colo. Const</w:t>
      </w:r>
      <w:r>
        <w:rPr>
          <w:sz w:val="24"/>
        </w:rPr>
        <w:t>., art. II, {</w:t>
      </w:r>
      <w:r>
        <w:rPr>
          <w:spacing w:val="-3"/>
          <w:sz w:val="24"/>
        </w:rPr>
        <w:t> </w:t>
      </w:r>
      <w:r>
        <w:rPr>
          <w:sz w:val="24"/>
        </w:rPr>
        <w:t>25.</w:t>
      </w:r>
    </w:p>
    <w:p>
      <w:pPr>
        <w:pStyle w:val="BodyText"/>
        <w:spacing w:before="3"/>
        <w:rPr>
          <w:sz w:val="16"/>
        </w:rPr>
      </w:pPr>
    </w:p>
    <w:p>
      <w:pPr>
        <w:pStyle w:val="BodyText"/>
        <w:spacing w:before="90"/>
        <w:ind w:left="840"/>
      </w:pPr>
      <w:r>
        <w:rPr/>
        <w:t>Defendant requests discovery of the requested information and material.</w:t>
      </w:r>
    </w:p>
    <w:p>
      <w:pPr>
        <w:pStyle w:val="BodyText"/>
        <w:spacing w:before="11"/>
        <w:rPr>
          <w:sz w:val="23"/>
        </w:rPr>
      </w:pPr>
    </w:p>
    <w:p>
      <w:pPr>
        <w:pStyle w:val="BodyText"/>
        <w:ind w:left="120"/>
      </w:pPr>
      <w:r>
        <w:rPr/>
        <w:t>Respectfully Submitted:</w:t>
      </w:r>
    </w:p>
    <w:p>
      <w:pPr>
        <w:pStyle w:val="BodyText"/>
        <w:spacing w:before="1"/>
      </w:pPr>
    </w:p>
    <w:p>
      <w:pPr>
        <w:spacing w:before="0"/>
        <w:ind w:left="120" w:right="0" w:firstLine="0"/>
        <w:jc w:val="left"/>
        <w:rPr>
          <w:i/>
          <w:sz w:val="24"/>
        </w:rPr>
      </w:pPr>
      <w:r>
        <w:rPr>
          <w:i/>
          <w:sz w:val="24"/>
        </w:rPr>
        <w:t>s/ Danielle M. McCarthy</w:t>
      </w:r>
    </w:p>
    <w:p>
      <w:pPr>
        <w:pStyle w:val="BodyText"/>
        <w:spacing w:before="1"/>
        <w:rPr>
          <w:i/>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217"/>
      </w:tblGrid>
      <w:tr>
        <w:trPr>
          <w:trHeight w:val="1379" w:hRule="atLeast"/>
        </w:trPr>
        <w:tc>
          <w:tcPr>
            <w:tcW w:w="4200" w:type="dxa"/>
            <w:tcBorders>
              <w:top w:val="single" w:sz="4" w:space="0" w:color="000000"/>
            </w:tcBorders>
          </w:tcPr>
          <w:p>
            <w:pPr>
              <w:pStyle w:val="TableParagraph"/>
              <w:ind w:left="0"/>
              <w:rPr>
                <w:sz w:val="24"/>
              </w:rPr>
            </w:pPr>
            <w:r>
              <w:rPr>
                <w:sz w:val="24"/>
              </w:rPr>
              <w:t>Danielle M. McCarthy, #34573</w:t>
            </w:r>
          </w:p>
        </w:tc>
        <w:tc>
          <w:tcPr>
            <w:tcW w:w="5217" w:type="dxa"/>
          </w:tcPr>
          <w:p>
            <w:pPr>
              <w:pStyle w:val="TableParagraph"/>
              <w:spacing w:line="275" w:lineRule="exact" w:before="2"/>
              <w:ind w:left="2379"/>
              <w:rPr>
                <w:b/>
                <w:sz w:val="24"/>
              </w:rPr>
            </w:pPr>
            <w:r>
              <w:rPr>
                <w:b/>
                <w:sz w:val="24"/>
                <w:u w:val="thick"/>
              </w:rPr>
              <w:t>Certificate of Service</w:t>
            </w:r>
          </w:p>
          <w:p>
            <w:pPr>
              <w:pStyle w:val="TableParagraph"/>
              <w:spacing w:line="276" w:lineRule="exact" w:before="2"/>
              <w:ind w:left="1757" w:right="198"/>
              <w:jc w:val="both"/>
              <w:rPr>
                <w:sz w:val="24"/>
              </w:rPr>
            </w:pPr>
            <w:r>
              <w:rPr>
                <w:sz w:val="24"/>
              </w:rPr>
              <w:t>I hereby certify that on 2/23/17, I served the foregoing document to all opposing counsel of record </w:t>
            </w:r>
            <w:r>
              <w:rPr>
                <w:spacing w:val="-6"/>
                <w:sz w:val="24"/>
              </w:rPr>
              <w:t>via </w:t>
            </w:r>
            <w:r>
              <w:rPr>
                <w:sz w:val="24"/>
              </w:rPr>
              <w:t>ICCES. By:</w:t>
            </w:r>
            <w:r>
              <w:rPr>
                <w:spacing w:val="59"/>
                <w:sz w:val="24"/>
              </w:rPr>
              <w:t> </w:t>
            </w:r>
            <w:r>
              <w:rPr>
                <w:sz w:val="24"/>
              </w:rPr>
              <w:t>DMM</w:t>
            </w:r>
            <w:r>
              <w:rPr>
                <w:sz w:val="24"/>
                <w:u w:val="single"/>
              </w:rPr>
              <w:t>      </w:t>
            </w:r>
          </w:p>
        </w:tc>
      </w:tr>
    </w:tbl>
    <w:p>
      <w:pPr>
        <w:spacing w:after="0" w:line="276" w:lineRule="exact"/>
        <w:jc w:val="both"/>
        <w:rPr>
          <w:sz w:val="24"/>
        </w:rPr>
        <w:sectPr>
          <w:footerReference w:type="default" r:id="rId6"/>
          <w:pgSz w:w="12240" w:h="15840"/>
          <w:pgMar w:footer="664" w:header="0" w:top="1500" w:bottom="860" w:left="1320" w:right="1280"/>
          <w:pgNumType w:start="2"/>
        </w:sectPr>
      </w:pPr>
    </w:p>
    <w:p>
      <w:pPr>
        <w:pStyle w:val="BodyText"/>
        <w:spacing w:before="4"/>
        <w:rPr>
          <w:sz w:val="17"/>
        </w:rPr>
      </w:pPr>
    </w:p>
    <w:sectPr>
      <w:pgSz w:w="12240" w:h="15840"/>
      <w:pgMar w:header="0" w:footer="664" w:top="1500" w:bottom="86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960022pt;margin-top:743.791016pt;width:9.050pt;height:13.1pt;mso-position-horizontal-relative:page;mso-position-vertical-relative:page;z-index:-5584" type="#_x0000_t202" filled="false" stroked="false">
          <v:textbox inset="0,0,0,0">
            <w:txbxContent>
              <w:p>
                <w:pPr>
                  <w:spacing w:before="12"/>
                  <w:ind w:left="40" w:right="0" w:firstLine="0"/>
                  <w:jc w:val="left"/>
                  <w:rPr>
                    <w:sz w:val="20"/>
                  </w:rPr>
                </w:pPr>
                <w:r>
                  <w:rPr/>
                  <w:fldChar w:fldCharType="begin"/>
                </w:r>
                <w:r>
                  <w:rPr>
                    <w:w w:val="100"/>
                    <w:sz w:val="20"/>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20" w:hanging="72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20" w:hanging="72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024" w:hanging="720"/>
      </w:pPr>
      <w:rPr>
        <w:rFonts w:hint="default"/>
      </w:rPr>
    </w:lvl>
    <w:lvl w:ilvl="3">
      <w:start w:val="0"/>
      <w:numFmt w:val="bullet"/>
      <w:lvlText w:val="•"/>
      <w:lvlJc w:val="left"/>
      <w:pPr>
        <w:ind w:left="2976" w:hanging="720"/>
      </w:pPr>
      <w:rPr>
        <w:rFonts w:hint="default"/>
      </w:rPr>
    </w:lvl>
    <w:lvl w:ilvl="4">
      <w:start w:val="0"/>
      <w:numFmt w:val="bullet"/>
      <w:lvlText w:val="•"/>
      <w:lvlJc w:val="left"/>
      <w:pPr>
        <w:ind w:left="3928" w:hanging="720"/>
      </w:pPr>
      <w:rPr>
        <w:rFonts w:hint="default"/>
      </w:rPr>
    </w:lvl>
    <w:lvl w:ilvl="5">
      <w:start w:val="0"/>
      <w:numFmt w:val="bullet"/>
      <w:lvlText w:val="•"/>
      <w:lvlJc w:val="left"/>
      <w:pPr>
        <w:ind w:left="4880" w:hanging="720"/>
      </w:pPr>
      <w:rPr>
        <w:rFonts w:hint="default"/>
      </w:rPr>
    </w:lvl>
    <w:lvl w:ilvl="6">
      <w:start w:val="0"/>
      <w:numFmt w:val="bullet"/>
      <w:lvlText w:val="•"/>
      <w:lvlJc w:val="left"/>
      <w:pPr>
        <w:ind w:left="5832" w:hanging="720"/>
      </w:pPr>
      <w:rPr>
        <w:rFonts w:hint="default"/>
      </w:rPr>
    </w:lvl>
    <w:lvl w:ilvl="7">
      <w:start w:val="0"/>
      <w:numFmt w:val="bullet"/>
      <w:lvlText w:val="•"/>
      <w:lvlJc w:val="left"/>
      <w:pPr>
        <w:ind w:left="6784" w:hanging="720"/>
      </w:pPr>
      <w:rPr>
        <w:rFonts w:hint="default"/>
      </w:rPr>
    </w:lvl>
    <w:lvl w:ilvl="8">
      <w:start w:val="0"/>
      <w:numFmt w:val="bullet"/>
      <w:lvlText w:val="•"/>
      <w:lvlJc w:val="left"/>
      <w:pPr>
        <w:ind w:left="7736"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20" w:firstLine="720"/>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aniellemccarthy11@gmail.com" TargetMode="Externa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2019-03-20T18:07:51Z</dcterms:created>
  <dcterms:modified xsi:type="dcterms:W3CDTF">2019-03-20T18:07:51Z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2019-03-20T00:00:00Z</vt:filetime>
  </property>
</Properties>
</file>