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960"/>
        <w:gridCol w:w="3617"/>
      </w:tblGrid>
      <w:tr>
        <w:trPr>
          <w:trHeight w:val="1379" w:hRule="atLeast"/>
        </w:trPr>
        <w:tc>
          <w:tcPr>
            <w:tcW w:w="5960" w:type="dxa"/>
          </w:tcPr>
          <w:p>
            <w:pPr>
              <w:pStyle w:val="TableParagraph"/>
              <w:ind w:right="2265"/>
              <w:rPr>
                <w:b/>
                <w:sz w:val="24"/>
              </w:rPr>
            </w:pPr>
            <w:r>
              <w:rPr>
                <w:b/>
                <w:sz w:val="24"/>
              </w:rPr>
              <w:t>JEFFERSON DISTRICT COURT STATE OF COLORADO</w:t>
            </w:r>
          </w:p>
          <w:p>
            <w:pPr>
              <w:pStyle w:val="TableParagraph"/>
              <w:tabs>
                <w:tab w:pos="5447" w:val="left" w:leader="none"/>
              </w:tabs>
              <w:spacing w:line="287" w:lineRule="exact"/>
              <w:ind w:right="-58"/>
              <w:rPr>
                <w:sz w:val="20"/>
              </w:rPr>
            </w:pPr>
            <w:r>
              <w:rPr>
                <w:sz w:val="24"/>
              </w:rPr>
              <w:t>100 Jefferson</w:t>
            </w:r>
            <w:r>
              <w:rPr>
                <w:spacing w:val="1"/>
                <w:sz w:val="24"/>
              </w:rPr>
              <w:t> </w:t>
            </w:r>
            <w:r>
              <w:rPr>
                <w:sz w:val="24"/>
              </w:rPr>
              <w:t>County</w:t>
            </w:r>
            <w:r>
              <w:rPr>
                <w:spacing w:val="-5"/>
                <w:sz w:val="24"/>
              </w:rPr>
              <w:t> </w:t>
            </w:r>
            <w:r>
              <w:rPr>
                <w:sz w:val="24"/>
              </w:rPr>
              <w:t>Pkwy</w:t>
              <w:tab/>
            </w:r>
            <w:r>
              <w:rPr>
                <w:color w:val="0000FF"/>
                <w:position w:val="-2"/>
                <w:sz w:val="20"/>
              </w:rPr>
              <w:t>DATE</w:t>
            </w:r>
          </w:p>
          <w:p>
            <w:pPr>
              <w:pStyle w:val="TableParagraph"/>
              <w:tabs>
                <w:tab w:pos="5447" w:val="left" w:leader="none"/>
              </w:tabs>
              <w:spacing w:line="239" w:lineRule="exact"/>
              <w:ind w:right="-29"/>
              <w:rPr>
                <w:sz w:val="20"/>
              </w:rPr>
            </w:pPr>
            <w:r>
              <w:rPr>
                <w:sz w:val="24"/>
              </w:rPr>
              <w:t>Golden,</w:t>
            </w:r>
            <w:r>
              <w:rPr>
                <w:spacing w:val="-1"/>
                <w:sz w:val="24"/>
              </w:rPr>
              <w:t> </w:t>
            </w:r>
            <w:r>
              <w:rPr>
                <w:sz w:val="24"/>
              </w:rPr>
              <w:t>CO 80401</w:t>
              <w:tab/>
            </w:r>
            <w:r>
              <w:rPr>
                <w:color w:val="0000FF"/>
                <w:position w:val="3"/>
                <w:sz w:val="20"/>
              </w:rPr>
              <w:t>FILIN</w:t>
            </w:r>
          </w:p>
          <w:p>
            <w:pPr>
              <w:pStyle w:val="TableParagraph"/>
              <w:spacing w:line="203" w:lineRule="exact"/>
              <w:ind w:left="0" w:right="-29"/>
              <w:jc w:val="right"/>
              <w:rPr>
                <w:sz w:val="20"/>
              </w:rPr>
            </w:pPr>
            <w:r>
              <w:rPr>
                <w:color w:val="0000FF"/>
                <w:sz w:val="20"/>
              </w:rPr>
              <w:t>CASE</w:t>
            </w:r>
          </w:p>
        </w:tc>
        <w:tc>
          <w:tcPr>
            <w:tcW w:w="3617" w:type="dxa"/>
            <w:tcBorders>
              <w:bottom w:val="nil"/>
            </w:tcBorders>
          </w:tcPr>
          <w:p>
            <w:pPr>
              <w:pStyle w:val="TableParagraph"/>
              <w:ind w:left="0"/>
              <w:rPr>
                <w:sz w:val="22"/>
              </w:rPr>
            </w:pPr>
          </w:p>
          <w:p>
            <w:pPr>
              <w:pStyle w:val="TableParagraph"/>
              <w:spacing w:before="7"/>
              <w:ind w:left="0"/>
              <w:rPr>
                <w:sz w:val="32"/>
              </w:rPr>
            </w:pPr>
          </w:p>
          <w:p>
            <w:pPr>
              <w:pStyle w:val="TableParagraph"/>
              <w:spacing w:line="225" w:lineRule="auto" w:before="1"/>
              <w:ind w:left="8" w:right="473" w:firstLine="96"/>
              <w:rPr>
                <w:sz w:val="20"/>
              </w:rPr>
            </w:pPr>
            <w:r>
              <w:rPr>
                <w:color w:val="0000FF"/>
                <w:sz w:val="20"/>
              </w:rPr>
              <w:t>FILED: February 15, 2018 2:20 </w:t>
            </w:r>
            <w:r>
              <w:rPr>
                <w:color w:val="0000FF"/>
                <w:spacing w:val="-7"/>
                <w:sz w:val="20"/>
              </w:rPr>
              <w:t>PM</w:t>
            </w:r>
            <w:r>
              <w:rPr>
                <w:color w:val="0000FF"/>
                <w:spacing w:val="36"/>
                <w:sz w:val="20"/>
              </w:rPr>
              <w:t> </w:t>
            </w:r>
            <w:r>
              <w:rPr>
                <w:color w:val="0000FF"/>
                <w:sz w:val="20"/>
              </w:rPr>
              <w:t>G ID:</w:t>
            </w:r>
            <w:r>
              <w:rPr>
                <w:color w:val="0000FF"/>
                <w:spacing w:val="9"/>
                <w:sz w:val="20"/>
              </w:rPr>
              <w:t> </w:t>
            </w:r>
            <w:r>
              <w:rPr>
                <w:color w:val="0000FF"/>
                <w:sz w:val="20"/>
              </w:rPr>
              <w:t>E03F57DDE7491</w:t>
            </w:r>
          </w:p>
          <w:p>
            <w:pPr>
              <w:pStyle w:val="TableParagraph"/>
              <w:spacing w:line="218" w:lineRule="exact"/>
              <w:ind w:left="82"/>
              <w:rPr>
                <w:sz w:val="20"/>
              </w:rPr>
            </w:pPr>
            <w:r>
              <w:rPr>
                <w:color w:val="0000FF"/>
                <w:sz w:val="20"/>
              </w:rPr>
              <w:t>NUMBER: </w:t>
            </w:r>
            <w:r>
              <w:rPr>
                <w:color w:val="0000FF"/>
                <w:spacing w:val="8"/>
                <w:sz w:val="20"/>
              </w:rPr>
              <w:t> </w:t>
            </w:r>
            <w:r>
              <w:rPr>
                <w:color w:val="0000FF"/>
                <w:sz w:val="20"/>
              </w:rPr>
              <w:t>2017CV372</w:t>
            </w:r>
          </w:p>
        </w:tc>
      </w:tr>
      <w:tr>
        <w:trPr>
          <w:trHeight w:val="420" w:hRule="atLeast"/>
        </w:trPr>
        <w:tc>
          <w:tcPr>
            <w:tcW w:w="5960" w:type="dxa"/>
            <w:tcBorders>
              <w:bottom w:val="nil"/>
            </w:tcBorders>
          </w:tcPr>
          <w:p>
            <w:pPr>
              <w:pStyle w:val="TableParagraph"/>
              <w:spacing w:before="1"/>
              <w:rPr>
                <w:sz w:val="24"/>
              </w:rPr>
            </w:pPr>
            <w:r>
              <w:rPr>
                <w:b/>
                <w:sz w:val="24"/>
              </w:rPr>
              <w:t>PLAINTIFF: </w:t>
            </w:r>
            <w:r>
              <w:rPr>
                <w:sz w:val="24"/>
              </w:rPr>
              <w:t>LELAND ROMERO, an individual,</w:t>
            </w:r>
          </w:p>
        </w:tc>
        <w:tc>
          <w:tcPr>
            <w:tcW w:w="3617" w:type="dxa"/>
            <w:tcBorders>
              <w:top w:val="nil"/>
              <w:bottom w:val="nil"/>
            </w:tcBorders>
          </w:tcPr>
          <w:p>
            <w:pPr>
              <w:pStyle w:val="TableParagraph"/>
              <w:ind w:left="0"/>
              <w:rPr>
                <w:sz w:val="22"/>
              </w:rPr>
            </w:pPr>
          </w:p>
        </w:tc>
      </w:tr>
      <w:tr>
        <w:trPr>
          <w:trHeight w:val="552" w:hRule="atLeast"/>
        </w:trPr>
        <w:tc>
          <w:tcPr>
            <w:tcW w:w="5960" w:type="dxa"/>
            <w:tcBorders>
              <w:top w:val="nil"/>
              <w:bottom w:val="nil"/>
            </w:tcBorders>
          </w:tcPr>
          <w:p>
            <w:pPr>
              <w:pStyle w:val="TableParagraph"/>
              <w:spacing w:before="133"/>
              <w:rPr>
                <w:sz w:val="24"/>
              </w:rPr>
            </w:pPr>
            <w:r>
              <w:rPr>
                <w:sz w:val="24"/>
              </w:rPr>
              <w:t>v.</w:t>
            </w:r>
          </w:p>
        </w:tc>
        <w:tc>
          <w:tcPr>
            <w:tcW w:w="3617" w:type="dxa"/>
            <w:tcBorders>
              <w:top w:val="nil"/>
              <w:bottom w:val="nil"/>
            </w:tcBorders>
          </w:tcPr>
          <w:p>
            <w:pPr>
              <w:pStyle w:val="TableParagraph"/>
              <w:ind w:left="0"/>
              <w:rPr>
                <w:sz w:val="22"/>
              </w:rPr>
            </w:pPr>
          </w:p>
        </w:tc>
      </w:tr>
      <w:tr>
        <w:trPr>
          <w:trHeight w:val="1389" w:hRule="atLeast"/>
        </w:trPr>
        <w:tc>
          <w:tcPr>
            <w:tcW w:w="5960" w:type="dxa"/>
            <w:tcBorders>
              <w:top w:val="nil"/>
              <w:bottom w:val="nil"/>
            </w:tcBorders>
          </w:tcPr>
          <w:p>
            <w:pPr>
              <w:pStyle w:val="TableParagraph"/>
              <w:spacing w:before="133"/>
              <w:ind w:right="-58"/>
              <w:rPr>
                <w:sz w:val="24"/>
              </w:rPr>
            </w:pPr>
            <w:r>
              <w:rPr>
                <w:b/>
                <w:sz w:val="24"/>
              </w:rPr>
              <w:t>DEFENDANT/COUNTERCLAIMANT: </w:t>
            </w:r>
            <w:r>
              <w:rPr>
                <w:sz w:val="24"/>
              </w:rPr>
              <w:t>JOSEPH M. FLOREZ, IV, d/b/a ALL AMERICAN RENOVATIONS</w:t>
            </w:r>
          </w:p>
          <w:p>
            <w:pPr>
              <w:pStyle w:val="TableParagraph"/>
              <w:ind w:right="866"/>
              <w:rPr>
                <w:sz w:val="24"/>
              </w:rPr>
            </w:pPr>
            <w:r>
              <w:rPr>
                <w:sz w:val="24"/>
              </w:rPr>
              <w:t>AND DEMOLITIONS, a Colorado limited liability company,</w:t>
            </w:r>
          </w:p>
        </w:tc>
        <w:tc>
          <w:tcPr>
            <w:tcW w:w="3617" w:type="dxa"/>
            <w:tcBorders>
              <w:top w:val="nil"/>
              <w:bottom w:val="nil"/>
            </w:tcBorders>
          </w:tcPr>
          <w:p>
            <w:pPr>
              <w:pStyle w:val="TableParagraph"/>
              <w:ind w:left="0"/>
              <w:rPr>
                <w:sz w:val="26"/>
              </w:rPr>
            </w:pPr>
          </w:p>
          <w:p>
            <w:pPr>
              <w:pStyle w:val="TableParagraph"/>
              <w:spacing w:before="7"/>
              <w:ind w:left="0"/>
              <w:rPr>
                <w:sz w:val="31"/>
              </w:rPr>
            </w:pPr>
          </w:p>
          <w:p>
            <w:pPr>
              <w:pStyle w:val="TableParagraph"/>
              <w:spacing w:before="1"/>
              <w:ind w:left="436"/>
              <w:rPr>
                <w:b/>
                <w:sz w:val="24"/>
              </w:rPr>
            </w:pPr>
            <w:r>
              <w:rPr>
                <w:b/>
                <w:sz w:val="24"/>
              </w:rPr>
              <w:t>▲ COURT USE ONLY ▲</w:t>
            </w:r>
          </w:p>
        </w:tc>
      </w:tr>
      <w:tr>
        <w:trPr>
          <w:trHeight w:val="571" w:hRule="atLeast"/>
        </w:trPr>
        <w:tc>
          <w:tcPr>
            <w:tcW w:w="5960" w:type="dxa"/>
            <w:tcBorders>
              <w:top w:val="nil"/>
              <w:bottom w:val="nil"/>
            </w:tcBorders>
          </w:tcPr>
          <w:p>
            <w:pPr>
              <w:pStyle w:val="TableParagraph"/>
              <w:spacing w:before="143"/>
              <w:rPr>
                <w:sz w:val="24"/>
              </w:rPr>
            </w:pPr>
            <w:r>
              <w:rPr>
                <w:sz w:val="24"/>
              </w:rPr>
              <w:t>v.</w:t>
            </w:r>
          </w:p>
        </w:tc>
        <w:tc>
          <w:tcPr>
            <w:tcW w:w="3617" w:type="dxa"/>
            <w:tcBorders>
              <w:top w:val="nil"/>
              <w:bottom w:val="nil"/>
            </w:tcBorders>
          </w:tcPr>
          <w:p>
            <w:pPr>
              <w:pStyle w:val="TableParagraph"/>
              <w:ind w:left="0"/>
              <w:rPr>
                <w:sz w:val="22"/>
              </w:rPr>
            </w:pPr>
          </w:p>
        </w:tc>
      </w:tr>
      <w:tr>
        <w:trPr>
          <w:trHeight w:val="2350" w:hRule="atLeast"/>
        </w:trPr>
        <w:tc>
          <w:tcPr>
            <w:tcW w:w="5960" w:type="dxa"/>
            <w:tcBorders>
              <w:top w:val="nil"/>
            </w:tcBorders>
          </w:tcPr>
          <w:p>
            <w:pPr>
              <w:pStyle w:val="TableParagraph"/>
              <w:spacing w:before="142"/>
              <w:rPr>
                <w:sz w:val="24"/>
              </w:rPr>
            </w:pPr>
            <w:r>
              <w:rPr>
                <w:b/>
                <w:sz w:val="24"/>
              </w:rPr>
              <w:t>ADDITIONAL COUNTERCLAIM DEFENDANTS</w:t>
            </w:r>
            <w:r>
              <w:rPr>
                <w:sz w:val="24"/>
              </w:rPr>
              <w:t>:</w:t>
            </w:r>
          </w:p>
          <w:p>
            <w:pPr>
              <w:pStyle w:val="TableParagraph"/>
              <w:spacing w:line="270" w:lineRule="atLeast"/>
              <w:ind w:right="155"/>
              <w:rPr>
                <w:sz w:val="24"/>
              </w:rPr>
            </w:pPr>
            <w:r>
              <w:rPr>
                <w:sz w:val="24"/>
              </w:rPr>
              <w:t>LELAND ROMERO, in his capacity as personal representative for the Estate of Leland Augustine Noeland; COMPLETE SYSTEMS, INC., a Colorado corporation; BAYVIEW LOAN SERVICING, LLC, a Florida limited liability company; REMEDY ROOFING INC., a Texas corporation; MARGARET T. CHAPMAN, in her official capacity as Public Trustee for Jefferson County, CO.</w:t>
            </w:r>
          </w:p>
        </w:tc>
        <w:tc>
          <w:tcPr>
            <w:tcW w:w="3617" w:type="dxa"/>
            <w:tcBorders>
              <w:top w:val="nil"/>
            </w:tcBorders>
          </w:tcPr>
          <w:p>
            <w:pPr>
              <w:pStyle w:val="TableParagraph"/>
              <w:ind w:left="0"/>
              <w:rPr>
                <w:sz w:val="22"/>
              </w:rPr>
            </w:pPr>
          </w:p>
        </w:tc>
      </w:tr>
      <w:tr>
        <w:trPr>
          <w:trHeight w:val="2687" w:hRule="atLeast"/>
        </w:trPr>
        <w:tc>
          <w:tcPr>
            <w:tcW w:w="5960" w:type="dxa"/>
          </w:tcPr>
          <w:p>
            <w:pPr>
              <w:pStyle w:val="TableParagraph"/>
              <w:spacing w:before="8"/>
              <w:ind w:left="0"/>
              <w:rPr>
                <w:sz w:val="20"/>
              </w:rPr>
            </w:pPr>
          </w:p>
          <w:p>
            <w:pPr>
              <w:pStyle w:val="TableParagraph"/>
              <w:rPr>
                <w:sz w:val="24"/>
              </w:rPr>
            </w:pPr>
            <w:r>
              <w:rPr>
                <w:sz w:val="24"/>
              </w:rPr>
              <w:t>ATTORNEYS FOR DEFENDANT:</w:t>
            </w:r>
          </w:p>
          <w:p>
            <w:pPr>
              <w:pStyle w:val="TableParagraph"/>
              <w:spacing w:before="1"/>
              <w:ind w:right="3473"/>
              <w:rPr>
                <w:sz w:val="24"/>
              </w:rPr>
            </w:pPr>
            <w:r>
              <w:rPr>
                <w:sz w:val="24"/>
              </w:rPr>
              <w:t>Brian T. Moore # 28763 Niki Schwab, # 48060</w:t>
            </w:r>
          </w:p>
          <w:p>
            <w:pPr>
              <w:pStyle w:val="TableParagraph"/>
              <w:rPr>
                <w:sz w:val="24"/>
              </w:rPr>
            </w:pPr>
            <w:r>
              <w:rPr>
                <w:sz w:val="24"/>
              </w:rPr>
              <w:t>JESTER GIBSON &amp; MOORE, LLP</w:t>
            </w:r>
          </w:p>
          <w:p>
            <w:pPr>
              <w:pStyle w:val="TableParagraph"/>
              <w:rPr>
                <w:sz w:val="24"/>
              </w:rPr>
            </w:pPr>
            <w:r>
              <w:rPr>
                <w:sz w:val="24"/>
              </w:rPr>
              <w:t>1999 Broadway, Suite 3225</w:t>
            </w:r>
          </w:p>
          <w:p>
            <w:pPr>
              <w:pStyle w:val="TableParagraph"/>
              <w:rPr>
                <w:sz w:val="24"/>
              </w:rPr>
            </w:pPr>
            <w:r>
              <w:rPr>
                <w:sz w:val="24"/>
              </w:rPr>
              <w:t>Denver, Colorado 80202</w:t>
            </w:r>
          </w:p>
          <w:p>
            <w:pPr>
              <w:pStyle w:val="TableParagraph"/>
              <w:tabs>
                <w:tab w:pos="2988" w:val="left" w:leader="none"/>
              </w:tabs>
              <w:rPr>
                <w:sz w:val="24"/>
              </w:rPr>
            </w:pPr>
            <w:r>
              <w:rPr>
                <w:sz w:val="24"/>
              </w:rPr>
              <w:t>Phone:</w:t>
            </w:r>
            <w:r>
              <w:rPr>
                <w:spacing w:val="-1"/>
                <w:sz w:val="24"/>
              </w:rPr>
              <w:t> </w:t>
            </w:r>
            <w:r>
              <w:rPr>
                <w:sz w:val="24"/>
              </w:rPr>
              <w:t>(303)</w:t>
            </w:r>
            <w:r>
              <w:rPr>
                <w:spacing w:val="-1"/>
                <w:sz w:val="24"/>
              </w:rPr>
              <w:t> </w:t>
            </w:r>
            <w:r>
              <w:rPr>
                <w:sz w:val="24"/>
              </w:rPr>
              <w:t>377-7888</w:t>
              <w:tab/>
              <w:t>Ema</w:t>
            </w:r>
            <w:hyperlink r:id="rId5">
              <w:r>
                <w:rPr>
                  <w:sz w:val="24"/>
                </w:rPr>
                <w:t>il:</w:t>
              </w:r>
              <w:r>
                <w:rPr>
                  <w:spacing w:val="-1"/>
                  <w:sz w:val="24"/>
                </w:rPr>
                <w:t> </w:t>
              </w:r>
              <w:r>
                <w:rPr>
                  <w:sz w:val="24"/>
                </w:rPr>
                <w:t>bmoore@jgllp.com</w:t>
              </w:r>
            </w:hyperlink>
          </w:p>
          <w:p>
            <w:pPr>
              <w:pStyle w:val="TableParagraph"/>
              <w:tabs>
                <w:tab w:pos="773" w:val="left" w:leader="none"/>
                <w:tab w:pos="2994" w:val="left" w:leader="none"/>
              </w:tabs>
              <w:rPr>
                <w:sz w:val="24"/>
              </w:rPr>
            </w:pPr>
            <w:r>
              <w:rPr>
                <w:sz w:val="24"/>
              </w:rPr>
              <w:t>Fax:</w:t>
              <w:tab/>
              <w:t>(303)</w:t>
            </w:r>
            <w:r>
              <w:rPr>
                <w:spacing w:val="-2"/>
                <w:sz w:val="24"/>
              </w:rPr>
              <w:t> </w:t>
            </w:r>
            <w:r>
              <w:rPr>
                <w:sz w:val="24"/>
              </w:rPr>
              <w:t>377-7075</w:t>
              <w:tab/>
              <w:t>Email: </w:t>
            </w:r>
            <w:hyperlink r:id="rId6">
              <w:r>
                <w:rPr>
                  <w:sz w:val="24"/>
                </w:rPr>
                <w:t>nschwab@jgllp.com</w:t>
              </w:r>
            </w:hyperlink>
          </w:p>
        </w:tc>
        <w:tc>
          <w:tcPr>
            <w:tcW w:w="3617" w:type="dxa"/>
          </w:tcPr>
          <w:p>
            <w:pPr>
              <w:pStyle w:val="TableParagraph"/>
              <w:spacing w:before="1"/>
              <w:ind w:left="0"/>
              <w:rPr>
                <w:sz w:val="24"/>
              </w:rPr>
            </w:pPr>
          </w:p>
          <w:p>
            <w:pPr>
              <w:pStyle w:val="TableParagraph"/>
              <w:spacing w:line="550" w:lineRule="atLeast"/>
              <w:ind w:right="1096"/>
              <w:rPr>
                <w:sz w:val="24"/>
              </w:rPr>
            </w:pPr>
            <w:r>
              <w:rPr>
                <w:sz w:val="24"/>
              </w:rPr>
              <w:t>Case Number: 17CV372 Division: 5</w:t>
            </w:r>
          </w:p>
          <w:p>
            <w:pPr>
              <w:pStyle w:val="TableParagraph"/>
              <w:spacing w:before="2"/>
              <w:rPr>
                <w:sz w:val="24"/>
              </w:rPr>
            </w:pPr>
            <w:r>
              <w:rPr>
                <w:sz w:val="24"/>
              </w:rPr>
              <w:t>Courtroom: 4E</w:t>
            </w:r>
          </w:p>
        </w:tc>
      </w:tr>
      <w:tr>
        <w:trPr>
          <w:trHeight w:val="1105" w:hRule="atLeast"/>
        </w:trPr>
        <w:tc>
          <w:tcPr>
            <w:tcW w:w="9577" w:type="dxa"/>
            <w:gridSpan w:val="2"/>
          </w:tcPr>
          <w:p>
            <w:pPr>
              <w:pStyle w:val="TableParagraph"/>
              <w:spacing w:before="1"/>
              <w:ind w:left="0"/>
              <w:rPr>
                <w:sz w:val="24"/>
              </w:rPr>
            </w:pPr>
          </w:p>
          <w:p>
            <w:pPr>
              <w:pStyle w:val="TableParagraph"/>
              <w:ind w:left="2159" w:right="169" w:hanging="1952"/>
              <w:rPr>
                <w:b/>
                <w:sz w:val="24"/>
              </w:rPr>
            </w:pPr>
            <w:r>
              <w:rPr>
                <w:b/>
                <w:sz w:val="24"/>
              </w:rPr>
              <w:t>ALL AMERICAN RENOVATIONS AND DEMOLITIONS’ MOTION FOR ENTRY OF DEFAULT AGAINST REMEDY ROOFING, INC.</w:t>
            </w:r>
          </w:p>
        </w:tc>
      </w:tr>
    </w:tbl>
    <w:p>
      <w:pPr>
        <w:pStyle w:val="BodyText"/>
        <w:spacing w:before="1"/>
        <w:rPr>
          <w:sz w:val="16"/>
        </w:rPr>
      </w:pPr>
    </w:p>
    <w:p>
      <w:pPr>
        <w:pStyle w:val="BodyText"/>
        <w:spacing w:line="480" w:lineRule="auto" w:before="90"/>
        <w:ind w:left="100" w:right="356" w:firstLine="719"/>
        <w:jc w:val="both"/>
      </w:pPr>
      <w:r>
        <w:rPr/>
        <w:t>Defendant/Counterclaimant, All American Renovations and Demolitions, a Colorado limited liability company (“All American”), through its attorneys, Jester Gibson &amp; Moore, LLP, and pursuant to Rules 54 and 55 of the Colorado Rules of Civil Procedure, requests that the</w:t>
      </w:r>
      <w:r>
        <w:rPr>
          <w:spacing w:val="-42"/>
        </w:rPr>
        <w:t> </w:t>
      </w:r>
      <w:r>
        <w:rPr/>
        <w:t>Court enter</w:t>
      </w:r>
      <w:r>
        <w:rPr>
          <w:spacing w:val="-12"/>
        </w:rPr>
        <w:t> </w:t>
      </w:r>
      <w:r>
        <w:rPr/>
        <w:t>an</w:t>
      </w:r>
      <w:r>
        <w:rPr>
          <w:spacing w:val="-9"/>
        </w:rPr>
        <w:t> </w:t>
      </w:r>
      <w:r>
        <w:rPr/>
        <w:t>Order</w:t>
      </w:r>
      <w:r>
        <w:rPr>
          <w:spacing w:val="-9"/>
        </w:rPr>
        <w:t> </w:t>
      </w:r>
      <w:r>
        <w:rPr/>
        <w:t>granting</w:t>
      </w:r>
      <w:r>
        <w:rPr>
          <w:spacing w:val="-12"/>
        </w:rPr>
        <w:t> </w:t>
      </w:r>
      <w:r>
        <w:rPr/>
        <w:t>judgment</w:t>
      </w:r>
      <w:r>
        <w:rPr>
          <w:spacing w:val="-11"/>
        </w:rPr>
        <w:t> </w:t>
      </w:r>
      <w:r>
        <w:rPr/>
        <w:t>by</w:t>
      </w:r>
      <w:r>
        <w:rPr>
          <w:spacing w:val="-16"/>
        </w:rPr>
        <w:t> </w:t>
      </w:r>
      <w:r>
        <w:rPr/>
        <w:t>default</w:t>
      </w:r>
      <w:r>
        <w:rPr>
          <w:spacing w:val="-9"/>
        </w:rPr>
        <w:t> </w:t>
      </w:r>
      <w:r>
        <w:rPr/>
        <w:t>against</w:t>
      </w:r>
      <w:r>
        <w:rPr>
          <w:spacing w:val="-7"/>
        </w:rPr>
        <w:t> </w:t>
      </w:r>
      <w:r>
        <w:rPr/>
        <w:t>Counterclaimant</w:t>
      </w:r>
      <w:r>
        <w:rPr>
          <w:spacing w:val="-10"/>
        </w:rPr>
        <w:t> </w:t>
      </w:r>
      <w:r>
        <w:rPr/>
        <w:t>Defendant</w:t>
      </w:r>
      <w:r>
        <w:rPr>
          <w:spacing w:val="-10"/>
        </w:rPr>
        <w:t> </w:t>
      </w:r>
      <w:r>
        <w:rPr/>
        <w:t>Remedy</w:t>
      </w:r>
      <w:r>
        <w:rPr>
          <w:spacing w:val="-15"/>
        </w:rPr>
        <w:t> </w:t>
      </w:r>
      <w:r>
        <w:rPr/>
        <w:t>Roofing,</w:t>
      </w:r>
    </w:p>
    <w:p>
      <w:pPr>
        <w:spacing w:after="0" w:line="480" w:lineRule="auto"/>
        <w:jc w:val="both"/>
        <w:sectPr>
          <w:type w:val="continuous"/>
          <w:pgSz w:w="12240" w:h="15840"/>
          <w:pgMar w:top="1440" w:bottom="280" w:left="1340" w:right="1080"/>
        </w:sectPr>
      </w:pPr>
    </w:p>
    <w:p>
      <w:pPr>
        <w:pStyle w:val="BodyText"/>
        <w:spacing w:line="480" w:lineRule="auto" w:before="79"/>
        <w:ind w:left="100" w:right="356"/>
        <w:jc w:val="both"/>
      </w:pPr>
      <w:r>
        <w:rPr/>
        <w:t>Inc. (“Remedy”), a Texas corporation. Failure by Remedy to file a responsive pleading to All American’s counterclaims results in a waiver of all rights it may have in 1530 S. Chase Street, Lakewood, CO (“Subject Property”). In support of its Motion, Defendant/Counterclaimant states as follows:</w:t>
      </w:r>
    </w:p>
    <w:p>
      <w:pPr>
        <w:pStyle w:val="ListParagraph"/>
        <w:numPr>
          <w:ilvl w:val="0"/>
          <w:numId w:val="1"/>
        </w:numPr>
        <w:tabs>
          <w:tab w:pos="1541" w:val="left" w:leader="none"/>
        </w:tabs>
        <w:spacing w:line="480" w:lineRule="auto" w:before="0" w:after="0"/>
        <w:ind w:left="100" w:right="358" w:firstLine="720"/>
        <w:jc w:val="both"/>
        <w:rPr>
          <w:sz w:val="24"/>
        </w:rPr>
      </w:pPr>
      <w:r>
        <w:rPr>
          <w:sz w:val="24"/>
        </w:rPr>
        <w:t>On December 19, 2017, Remedy was served with copies of the Complaint and Summons. A copy of the Affidavit of Service was filed with the Court on February 15, 2018, and a copy of which is also attached hereto as </w:t>
      </w:r>
      <w:r>
        <w:rPr>
          <w:b/>
          <w:sz w:val="24"/>
          <w:u w:val="thick"/>
        </w:rPr>
        <w:t>Exhibit</w:t>
      </w:r>
      <w:r>
        <w:rPr>
          <w:b/>
          <w:spacing w:val="-6"/>
          <w:sz w:val="24"/>
          <w:u w:val="thick"/>
        </w:rPr>
        <w:t> </w:t>
      </w:r>
      <w:r>
        <w:rPr>
          <w:b/>
          <w:sz w:val="24"/>
          <w:u w:val="thick"/>
        </w:rPr>
        <w:t>A</w:t>
      </w:r>
      <w:r>
        <w:rPr>
          <w:sz w:val="24"/>
        </w:rPr>
        <w:t>.</w:t>
      </w:r>
    </w:p>
    <w:p>
      <w:pPr>
        <w:pStyle w:val="ListParagraph"/>
        <w:numPr>
          <w:ilvl w:val="0"/>
          <w:numId w:val="1"/>
        </w:numPr>
        <w:tabs>
          <w:tab w:pos="1541" w:val="left" w:leader="none"/>
        </w:tabs>
        <w:spacing w:line="480" w:lineRule="auto" w:before="1" w:after="0"/>
        <w:ind w:left="100" w:right="361" w:firstLine="720"/>
        <w:jc w:val="both"/>
        <w:rPr>
          <w:sz w:val="24"/>
        </w:rPr>
      </w:pPr>
      <w:r>
        <w:rPr>
          <w:sz w:val="24"/>
        </w:rPr>
        <w:t>More than thirty-five (35) days have elapsed since service of process upon Defendant, and Defendant has not filed an answer or other responsive pleading in this</w:t>
      </w:r>
      <w:r>
        <w:rPr>
          <w:spacing w:val="-12"/>
          <w:sz w:val="24"/>
        </w:rPr>
        <w:t> </w:t>
      </w:r>
      <w:r>
        <w:rPr>
          <w:sz w:val="24"/>
        </w:rPr>
        <w:t>action.</w:t>
      </w:r>
    </w:p>
    <w:p>
      <w:pPr>
        <w:pStyle w:val="ListParagraph"/>
        <w:numPr>
          <w:ilvl w:val="0"/>
          <w:numId w:val="1"/>
        </w:numPr>
        <w:tabs>
          <w:tab w:pos="1541" w:val="left" w:leader="none"/>
        </w:tabs>
        <w:spacing w:line="480" w:lineRule="auto" w:before="0" w:after="0"/>
        <w:ind w:left="100" w:right="353" w:firstLine="720"/>
        <w:jc w:val="both"/>
        <w:rPr>
          <w:sz w:val="24"/>
        </w:rPr>
      </w:pPr>
      <w:r>
        <w:rPr>
          <w:sz w:val="24"/>
        </w:rPr>
        <w:t>On the basis of reasonable inquiry, Remedy is not an infant, incompetent person, officer or agency of the State of Colorado and, furthermore, is not engaged in the military service of the United States of America or any of its allies, all as more fully set forth upon the Affidavit re:</w:t>
      </w:r>
      <w:r>
        <w:rPr>
          <w:spacing w:val="-14"/>
          <w:sz w:val="24"/>
        </w:rPr>
        <w:t> </w:t>
      </w:r>
      <w:r>
        <w:rPr>
          <w:sz w:val="24"/>
        </w:rPr>
        <w:t>Venue,</w:t>
      </w:r>
      <w:r>
        <w:rPr>
          <w:spacing w:val="-14"/>
          <w:sz w:val="24"/>
        </w:rPr>
        <w:t> </w:t>
      </w:r>
      <w:r>
        <w:rPr>
          <w:sz w:val="24"/>
        </w:rPr>
        <w:t>Minors,</w:t>
      </w:r>
      <w:r>
        <w:rPr>
          <w:spacing w:val="-12"/>
          <w:sz w:val="24"/>
        </w:rPr>
        <w:t> </w:t>
      </w:r>
      <w:r>
        <w:rPr>
          <w:sz w:val="24"/>
        </w:rPr>
        <w:t>Incapacitated</w:t>
      </w:r>
      <w:r>
        <w:rPr>
          <w:spacing w:val="-15"/>
          <w:sz w:val="24"/>
        </w:rPr>
        <w:t> </w:t>
      </w:r>
      <w:r>
        <w:rPr>
          <w:sz w:val="24"/>
        </w:rPr>
        <w:t>Persons,</w:t>
      </w:r>
      <w:r>
        <w:rPr>
          <w:spacing w:val="-15"/>
          <w:sz w:val="24"/>
        </w:rPr>
        <w:t> </w:t>
      </w:r>
      <w:r>
        <w:rPr>
          <w:sz w:val="24"/>
        </w:rPr>
        <w:t>Officers</w:t>
      </w:r>
      <w:r>
        <w:rPr>
          <w:spacing w:val="-12"/>
          <w:sz w:val="24"/>
        </w:rPr>
        <w:t> </w:t>
      </w:r>
      <w:r>
        <w:rPr>
          <w:sz w:val="24"/>
        </w:rPr>
        <w:t>or</w:t>
      </w:r>
      <w:r>
        <w:rPr>
          <w:spacing w:val="-13"/>
          <w:sz w:val="24"/>
        </w:rPr>
        <w:t> </w:t>
      </w:r>
      <w:r>
        <w:rPr>
          <w:sz w:val="24"/>
        </w:rPr>
        <w:t>Agents</w:t>
      </w:r>
      <w:r>
        <w:rPr>
          <w:spacing w:val="-14"/>
          <w:sz w:val="24"/>
        </w:rPr>
        <w:t> </w:t>
      </w:r>
      <w:r>
        <w:rPr>
          <w:sz w:val="24"/>
        </w:rPr>
        <w:t>of</w:t>
      </w:r>
      <w:r>
        <w:rPr>
          <w:spacing w:val="-14"/>
          <w:sz w:val="24"/>
        </w:rPr>
        <w:t> </w:t>
      </w:r>
      <w:r>
        <w:rPr>
          <w:sz w:val="24"/>
        </w:rPr>
        <w:t>the</w:t>
      </w:r>
      <w:r>
        <w:rPr>
          <w:spacing w:val="-15"/>
          <w:sz w:val="24"/>
        </w:rPr>
        <w:t> </w:t>
      </w:r>
      <w:r>
        <w:rPr>
          <w:sz w:val="24"/>
        </w:rPr>
        <w:t>State</w:t>
      </w:r>
      <w:r>
        <w:rPr>
          <w:spacing w:val="-14"/>
          <w:sz w:val="24"/>
        </w:rPr>
        <w:t> </w:t>
      </w:r>
      <w:r>
        <w:rPr>
          <w:sz w:val="24"/>
        </w:rPr>
        <w:t>of</w:t>
      </w:r>
      <w:r>
        <w:rPr>
          <w:spacing w:val="-18"/>
          <w:sz w:val="24"/>
        </w:rPr>
        <w:t> </w:t>
      </w:r>
      <w:r>
        <w:rPr>
          <w:sz w:val="24"/>
        </w:rPr>
        <w:t>Colorado,</w:t>
      </w:r>
      <w:r>
        <w:rPr>
          <w:spacing w:val="-14"/>
          <w:sz w:val="24"/>
        </w:rPr>
        <w:t> </w:t>
      </w:r>
      <w:r>
        <w:rPr>
          <w:sz w:val="24"/>
        </w:rPr>
        <w:t>and</w:t>
      </w:r>
      <w:r>
        <w:rPr>
          <w:spacing w:val="-13"/>
          <w:sz w:val="24"/>
        </w:rPr>
        <w:t> </w:t>
      </w:r>
      <w:r>
        <w:rPr>
          <w:sz w:val="24"/>
        </w:rPr>
        <w:t>Military Service filed contemporaneously herewith and incorporated by this</w:t>
      </w:r>
      <w:r>
        <w:rPr>
          <w:spacing w:val="-10"/>
          <w:sz w:val="24"/>
        </w:rPr>
        <w:t> </w:t>
      </w:r>
      <w:r>
        <w:rPr>
          <w:sz w:val="24"/>
        </w:rPr>
        <w:t>reference.</w:t>
      </w:r>
    </w:p>
    <w:p>
      <w:pPr>
        <w:pStyle w:val="ListParagraph"/>
        <w:numPr>
          <w:ilvl w:val="0"/>
          <w:numId w:val="1"/>
        </w:numPr>
        <w:tabs>
          <w:tab w:pos="1541" w:val="left" w:leader="none"/>
        </w:tabs>
        <w:spacing w:line="480" w:lineRule="auto" w:before="1" w:after="0"/>
        <w:ind w:left="100" w:right="357" w:firstLine="720"/>
        <w:jc w:val="both"/>
        <w:rPr>
          <w:sz w:val="24"/>
        </w:rPr>
      </w:pPr>
      <w:r>
        <w:rPr>
          <w:sz w:val="24"/>
        </w:rPr>
        <w:t>Venue is properly before this Court in accordance with Rule 98 of the Colorado Rules</w:t>
      </w:r>
      <w:r>
        <w:rPr>
          <w:spacing w:val="-7"/>
          <w:sz w:val="24"/>
        </w:rPr>
        <w:t> </w:t>
      </w:r>
      <w:r>
        <w:rPr>
          <w:sz w:val="24"/>
        </w:rPr>
        <w:t>of</w:t>
      </w:r>
      <w:r>
        <w:rPr>
          <w:spacing w:val="-7"/>
          <w:sz w:val="24"/>
        </w:rPr>
        <w:t> </w:t>
      </w:r>
      <w:r>
        <w:rPr>
          <w:sz w:val="24"/>
        </w:rPr>
        <w:t>Civil</w:t>
      </w:r>
      <w:r>
        <w:rPr>
          <w:spacing w:val="-6"/>
          <w:sz w:val="24"/>
        </w:rPr>
        <w:t> </w:t>
      </w:r>
      <w:r>
        <w:rPr>
          <w:sz w:val="24"/>
        </w:rPr>
        <w:t>Procedure</w:t>
      </w:r>
      <w:r>
        <w:rPr>
          <w:spacing w:val="-8"/>
          <w:sz w:val="24"/>
        </w:rPr>
        <w:t> </w:t>
      </w:r>
      <w:r>
        <w:rPr>
          <w:sz w:val="24"/>
        </w:rPr>
        <w:t>inasmuch</w:t>
      </w:r>
      <w:r>
        <w:rPr>
          <w:spacing w:val="-6"/>
          <w:sz w:val="24"/>
        </w:rPr>
        <w:t> </w:t>
      </w:r>
      <w:r>
        <w:rPr>
          <w:sz w:val="24"/>
        </w:rPr>
        <w:t>as</w:t>
      </w:r>
      <w:r>
        <w:rPr>
          <w:spacing w:val="-6"/>
          <w:sz w:val="24"/>
        </w:rPr>
        <w:t> </w:t>
      </w:r>
      <w:r>
        <w:rPr>
          <w:sz w:val="24"/>
        </w:rPr>
        <w:t>the</w:t>
      </w:r>
      <w:r>
        <w:rPr>
          <w:spacing w:val="-7"/>
          <w:sz w:val="24"/>
        </w:rPr>
        <w:t> </w:t>
      </w:r>
      <w:r>
        <w:rPr>
          <w:sz w:val="24"/>
        </w:rPr>
        <w:t>Premises,</w:t>
      </w:r>
      <w:r>
        <w:rPr>
          <w:spacing w:val="-6"/>
          <w:sz w:val="24"/>
        </w:rPr>
        <w:t> </w:t>
      </w:r>
      <w:r>
        <w:rPr>
          <w:sz w:val="24"/>
        </w:rPr>
        <w:t>which</w:t>
      </w:r>
      <w:r>
        <w:rPr>
          <w:spacing w:val="-7"/>
          <w:sz w:val="24"/>
        </w:rPr>
        <w:t> </w:t>
      </w:r>
      <w:r>
        <w:rPr>
          <w:sz w:val="24"/>
        </w:rPr>
        <w:t>are</w:t>
      </w:r>
      <w:r>
        <w:rPr>
          <w:spacing w:val="-8"/>
          <w:sz w:val="24"/>
        </w:rPr>
        <w:t> </w:t>
      </w:r>
      <w:r>
        <w:rPr>
          <w:sz w:val="24"/>
        </w:rPr>
        <w:t>the</w:t>
      </w:r>
      <w:r>
        <w:rPr>
          <w:spacing w:val="-7"/>
          <w:sz w:val="24"/>
        </w:rPr>
        <w:t> </w:t>
      </w:r>
      <w:r>
        <w:rPr>
          <w:sz w:val="24"/>
        </w:rPr>
        <w:t>subject</w:t>
      </w:r>
      <w:r>
        <w:rPr>
          <w:spacing w:val="-6"/>
          <w:sz w:val="24"/>
        </w:rPr>
        <w:t> </w:t>
      </w:r>
      <w:r>
        <w:rPr>
          <w:sz w:val="24"/>
        </w:rPr>
        <w:t>of</w:t>
      </w:r>
      <w:r>
        <w:rPr>
          <w:spacing w:val="-7"/>
          <w:sz w:val="24"/>
        </w:rPr>
        <w:t> </w:t>
      </w:r>
      <w:r>
        <w:rPr>
          <w:sz w:val="24"/>
        </w:rPr>
        <w:t>this</w:t>
      </w:r>
      <w:r>
        <w:rPr>
          <w:spacing w:val="-6"/>
          <w:sz w:val="24"/>
        </w:rPr>
        <w:t> </w:t>
      </w:r>
      <w:r>
        <w:rPr>
          <w:sz w:val="24"/>
        </w:rPr>
        <w:t>action,</w:t>
      </w:r>
      <w:r>
        <w:rPr>
          <w:spacing w:val="-6"/>
          <w:sz w:val="24"/>
        </w:rPr>
        <w:t> </w:t>
      </w:r>
      <w:r>
        <w:rPr>
          <w:sz w:val="24"/>
        </w:rPr>
        <w:t>are</w:t>
      </w:r>
      <w:r>
        <w:rPr>
          <w:spacing w:val="-7"/>
          <w:sz w:val="24"/>
        </w:rPr>
        <w:t> </w:t>
      </w:r>
      <w:r>
        <w:rPr>
          <w:sz w:val="24"/>
        </w:rPr>
        <w:t>within the County of Jefferson, State of Colorado, and the agreements that are the subject matter of this action were to be performed in the County of</w:t>
      </w:r>
      <w:r>
        <w:rPr>
          <w:spacing w:val="-6"/>
          <w:sz w:val="24"/>
        </w:rPr>
        <w:t> </w:t>
      </w:r>
      <w:r>
        <w:rPr>
          <w:sz w:val="24"/>
        </w:rPr>
        <w:t>Jefferson.</w:t>
      </w:r>
    </w:p>
    <w:p>
      <w:pPr>
        <w:pStyle w:val="ListParagraph"/>
        <w:numPr>
          <w:ilvl w:val="0"/>
          <w:numId w:val="1"/>
        </w:numPr>
        <w:tabs>
          <w:tab w:pos="1541" w:val="left" w:leader="none"/>
        </w:tabs>
        <w:spacing w:line="480" w:lineRule="auto" w:before="0" w:after="0"/>
        <w:ind w:left="100" w:right="358" w:firstLine="720"/>
        <w:jc w:val="both"/>
        <w:rPr>
          <w:sz w:val="24"/>
        </w:rPr>
      </w:pPr>
      <w:r>
        <w:rPr>
          <w:sz w:val="24"/>
        </w:rPr>
        <w:t>In</w:t>
      </w:r>
      <w:r>
        <w:rPr>
          <w:spacing w:val="-9"/>
          <w:sz w:val="24"/>
        </w:rPr>
        <w:t> </w:t>
      </w:r>
      <w:r>
        <w:rPr>
          <w:sz w:val="24"/>
        </w:rPr>
        <w:t>accordance</w:t>
      </w:r>
      <w:r>
        <w:rPr>
          <w:spacing w:val="-9"/>
          <w:sz w:val="24"/>
        </w:rPr>
        <w:t> </w:t>
      </w:r>
      <w:r>
        <w:rPr>
          <w:sz w:val="24"/>
        </w:rPr>
        <w:t>with</w:t>
      </w:r>
      <w:r>
        <w:rPr>
          <w:spacing w:val="-11"/>
          <w:sz w:val="24"/>
        </w:rPr>
        <w:t> </w:t>
      </w:r>
      <w:r>
        <w:rPr>
          <w:sz w:val="24"/>
        </w:rPr>
        <w:t>Rules</w:t>
      </w:r>
      <w:r>
        <w:rPr>
          <w:spacing w:val="-10"/>
          <w:sz w:val="24"/>
        </w:rPr>
        <w:t> </w:t>
      </w:r>
      <w:r>
        <w:rPr>
          <w:sz w:val="24"/>
        </w:rPr>
        <w:t>54</w:t>
      </w:r>
      <w:r>
        <w:rPr>
          <w:spacing w:val="-11"/>
          <w:sz w:val="24"/>
        </w:rPr>
        <w:t> </w:t>
      </w:r>
      <w:r>
        <w:rPr>
          <w:sz w:val="24"/>
        </w:rPr>
        <w:t>and</w:t>
      </w:r>
      <w:r>
        <w:rPr>
          <w:spacing w:val="-10"/>
          <w:sz w:val="24"/>
        </w:rPr>
        <w:t> </w:t>
      </w:r>
      <w:r>
        <w:rPr>
          <w:sz w:val="24"/>
        </w:rPr>
        <w:t>55</w:t>
      </w:r>
      <w:r>
        <w:rPr>
          <w:spacing w:val="-9"/>
          <w:sz w:val="24"/>
        </w:rPr>
        <w:t> </w:t>
      </w:r>
      <w:r>
        <w:rPr>
          <w:sz w:val="24"/>
        </w:rPr>
        <w:t>of</w:t>
      </w:r>
      <w:r>
        <w:rPr>
          <w:spacing w:val="-11"/>
          <w:sz w:val="24"/>
        </w:rPr>
        <w:t> </w:t>
      </w:r>
      <w:r>
        <w:rPr>
          <w:sz w:val="24"/>
        </w:rPr>
        <w:t>the</w:t>
      </w:r>
      <w:r>
        <w:rPr>
          <w:spacing w:val="-9"/>
          <w:sz w:val="24"/>
        </w:rPr>
        <w:t> </w:t>
      </w:r>
      <w:r>
        <w:rPr>
          <w:sz w:val="24"/>
        </w:rPr>
        <w:t>Colorado</w:t>
      </w:r>
      <w:r>
        <w:rPr>
          <w:spacing w:val="-10"/>
          <w:sz w:val="24"/>
        </w:rPr>
        <w:t> </w:t>
      </w:r>
      <w:r>
        <w:rPr>
          <w:sz w:val="24"/>
        </w:rPr>
        <w:t>Rules</w:t>
      </w:r>
      <w:r>
        <w:rPr>
          <w:spacing w:val="-11"/>
          <w:sz w:val="24"/>
        </w:rPr>
        <w:t> </w:t>
      </w:r>
      <w:r>
        <w:rPr>
          <w:sz w:val="24"/>
        </w:rPr>
        <w:t>of</w:t>
      </w:r>
      <w:r>
        <w:rPr>
          <w:spacing w:val="-11"/>
          <w:sz w:val="24"/>
        </w:rPr>
        <w:t> </w:t>
      </w:r>
      <w:r>
        <w:rPr>
          <w:sz w:val="24"/>
        </w:rPr>
        <w:t>Civil</w:t>
      </w:r>
      <w:r>
        <w:rPr>
          <w:spacing w:val="-11"/>
          <w:sz w:val="24"/>
        </w:rPr>
        <w:t> </w:t>
      </w:r>
      <w:r>
        <w:rPr>
          <w:sz w:val="24"/>
        </w:rPr>
        <w:t>Procedure,</w:t>
      </w:r>
      <w:r>
        <w:rPr>
          <w:spacing w:val="-10"/>
          <w:sz w:val="24"/>
        </w:rPr>
        <w:t> </w:t>
      </w:r>
      <w:r>
        <w:rPr>
          <w:sz w:val="24"/>
        </w:rPr>
        <w:t>there is no just reason for delay and a default judgment may now enter in favor of All American and against Remedy.</w:t>
      </w:r>
    </w:p>
    <w:p>
      <w:pPr>
        <w:pStyle w:val="BodyText"/>
        <w:spacing w:line="480" w:lineRule="auto" w:before="1"/>
        <w:ind w:left="100" w:right="355" w:firstLine="719"/>
        <w:jc w:val="both"/>
      </w:pPr>
      <w:r>
        <w:rPr/>
        <w:t>THEREFORE, Defendant/Counterclaimant, All American Renovations and Demolitions, requests entry of judgment in its favor and against Counterclaimant Defendant Remedy Roofing,</w:t>
      </w:r>
    </w:p>
    <w:p>
      <w:pPr>
        <w:spacing w:after="0" w:line="480" w:lineRule="auto"/>
        <w:jc w:val="both"/>
        <w:sectPr>
          <w:pgSz w:w="12240" w:h="15840"/>
          <w:pgMar w:top="1360" w:bottom="280" w:left="1340" w:right="1080"/>
        </w:sectPr>
      </w:pPr>
    </w:p>
    <w:p>
      <w:pPr>
        <w:pStyle w:val="BodyText"/>
        <w:spacing w:line="480" w:lineRule="auto" w:before="79"/>
        <w:ind w:left="100"/>
      </w:pPr>
      <w:r>
        <w:rPr/>
        <w:t>Inc., and deem its failure to file a responsive pleading as a waiver and/or disclaimer of any and all rights in the Subject Property.</w:t>
      </w:r>
    </w:p>
    <w:p>
      <w:pPr>
        <w:pStyle w:val="BodyText"/>
        <w:ind w:left="820"/>
      </w:pPr>
      <w:r>
        <w:rPr/>
        <w:t>Respectfully submitted this 15th day of February 2018.</w:t>
      </w:r>
    </w:p>
    <w:p>
      <w:pPr>
        <w:pStyle w:val="BodyText"/>
        <w:rPr>
          <w:sz w:val="26"/>
        </w:rPr>
      </w:pPr>
    </w:p>
    <w:p>
      <w:pPr>
        <w:pStyle w:val="BodyText"/>
        <w:rPr>
          <w:sz w:val="36"/>
        </w:rPr>
      </w:pPr>
    </w:p>
    <w:p>
      <w:pPr>
        <w:pStyle w:val="BodyText"/>
        <w:ind w:left="4421"/>
      </w:pPr>
      <w:r>
        <w:rPr/>
        <w:t>JESTER GIBSON &amp; MOORE, LLP</w:t>
      </w:r>
    </w:p>
    <w:p>
      <w:pPr>
        <w:pStyle w:val="BodyText"/>
      </w:pPr>
    </w:p>
    <w:p>
      <w:pPr>
        <w:tabs>
          <w:tab w:pos="8741" w:val="left" w:leader="none"/>
        </w:tabs>
        <w:spacing w:before="0"/>
        <w:ind w:left="4421" w:right="0" w:firstLine="0"/>
        <w:jc w:val="left"/>
        <w:rPr>
          <w:i/>
          <w:sz w:val="24"/>
        </w:rPr>
      </w:pPr>
      <w:r>
        <w:rPr>
          <w:i/>
          <w:sz w:val="24"/>
          <w:u w:val="single"/>
        </w:rPr>
        <w:t>/s Niki V.</w:t>
      </w:r>
      <w:r>
        <w:rPr>
          <w:i/>
          <w:spacing w:val="-2"/>
          <w:sz w:val="24"/>
          <w:u w:val="single"/>
        </w:rPr>
        <w:t> </w:t>
      </w:r>
      <w:r>
        <w:rPr>
          <w:i/>
          <w:sz w:val="24"/>
          <w:u w:val="single"/>
        </w:rPr>
        <w:t>Schwab</w:t>
        <w:tab/>
      </w:r>
    </w:p>
    <w:p>
      <w:pPr>
        <w:pStyle w:val="BodyText"/>
        <w:ind w:left="4421" w:right="2699"/>
      </w:pPr>
      <w:r>
        <w:rPr/>
        <w:t>Brian T. Moore # 28763 Niki V. Schwab # 48060 1999 Broadway, Suite 3225</w:t>
      </w:r>
    </w:p>
    <w:p>
      <w:pPr>
        <w:pStyle w:val="BodyText"/>
        <w:spacing w:before="1"/>
        <w:ind w:left="4421"/>
      </w:pPr>
      <w:r>
        <w:rPr/>
        <w:t>Denver, CO 80202</w:t>
      </w:r>
    </w:p>
    <w:p>
      <w:pPr>
        <w:pStyle w:val="BodyText"/>
        <w:ind w:left="4421"/>
      </w:pPr>
      <w:r>
        <w:rPr/>
        <w:t>(303) 377-7888</w:t>
      </w:r>
    </w:p>
    <w:p>
      <w:pPr>
        <w:pStyle w:val="Heading1"/>
        <w:ind w:left="4421"/>
      </w:pPr>
      <w:r>
        <w:rPr/>
        <w:t>ATTORNEYS FOR THE DEFENDANT/ COUNTERCLAIM PLAINTIFF</w:t>
      </w:r>
    </w:p>
    <w:p>
      <w:pPr>
        <w:pStyle w:val="BodyText"/>
        <w:rPr>
          <w:b/>
          <w:sz w:val="26"/>
        </w:rPr>
      </w:pPr>
    </w:p>
    <w:p>
      <w:pPr>
        <w:pStyle w:val="BodyText"/>
        <w:spacing w:before="9"/>
        <w:rPr>
          <w:b/>
          <w:sz w:val="21"/>
        </w:rPr>
      </w:pPr>
    </w:p>
    <w:p>
      <w:pPr>
        <w:spacing w:before="0"/>
        <w:ind w:left="3187" w:right="0" w:firstLine="0"/>
        <w:jc w:val="left"/>
        <w:rPr>
          <w:b/>
          <w:sz w:val="24"/>
        </w:rPr>
      </w:pPr>
      <w:r>
        <w:rPr>
          <w:b/>
          <w:sz w:val="24"/>
          <w:u w:val="thick"/>
        </w:rPr>
        <w:t>CERTIFICATE OF SERVICE</w:t>
      </w:r>
    </w:p>
    <w:p>
      <w:pPr>
        <w:pStyle w:val="BodyText"/>
        <w:spacing w:before="2"/>
        <w:rPr>
          <w:b/>
          <w:sz w:val="16"/>
        </w:rPr>
      </w:pPr>
    </w:p>
    <w:p>
      <w:pPr>
        <w:pStyle w:val="BodyText"/>
        <w:spacing w:before="90"/>
        <w:ind w:left="820"/>
      </w:pPr>
      <w:r>
        <w:rPr/>
        <w:t>I</w:t>
      </w:r>
      <w:r>
        <w:rPr>
          <w:spacing w:val="11"/>
        </w:rPr>
        <w:t> </w:t>
      </w:r>
      <w:r>
        <w:rPr/>
        <w:t>certify</w:t>
      </w:r>
      <w:r>
        <w:rPr>
          <w:spacing w:val="6"/>
        </w:rPr>
        <w:t> </w:t>
      </w:r>
      <w:r>
        <w:rPr/>
        <w:t>that</w:t>
      </w:r>
      <w:r>
        <w:rPr>
          <w:spacing w:val="12"/>
        </w:rPr>
        <w:t> </w:t>
      </w:r>
      <w:r>
        <w:rPr/>
        <w:t>on</w:t>
      </w:r>
      <w:r>
        <w:rPr>
          <w:spacing w:val="11"/>
        </w:rPr>
        <w:t> </w:t>
      </w:r>
      <w:r>
        <w:rPr/>
        <w:t>this</w:t>
      </w:r>
      <w:r>
        <w:rPr>
          <w:spacing w:val="15"/>
        </w:rPr>
        <w:t> </w:t>
      </w:r>
      <w:r>
        <w:rPr/>
        <w:t>15th</w:t>
      </w:r>
      <w:r>
        <w:rPr>
          <w:spacing w:val="12"/>
        </w:rPr>
        <w:t> </w:t>
      </w:r>
      <w:r>
        <w:rPr/>
        <w:t>day</w:t>
      </w:r>
      <w:r>
        <w:rPr>
          <w:spacing w:val="7"/>
        </w:rPr>
        <w:t> </w:t>
      </w:r>
      <w:r>
        <w:rPr/>
        <w:t>of</w:t>
      </w:r>
      <w:r>
        <w:rPr>
          <w:spacing w:val="11"/>
        </w:rPr>
        <w:t> </w:t>
      </w:r>
      <w:r>
        <w:rPr/>
        <w:t>February</w:t>
      </w:r>
      <w:r>
        <w:rPr>
          <w:spacing w:val="7"/>
        </w:rPr>
        <w:t> </w:t>
      </w:r>
      <w:r>
        <w:rPr/>
        <w:t>2018,</w:t>
      </w:r>
      <w:r>
        <w:rPr>
          <w:spacing w:val="11"/>
        </w:rPr>
        <w:t> </w:t>
      </w:r>
      <w:r>
        <w:rPr/>
        <w:t>a</w:t>
      </w:r>
      <w:r>
        <w:rPr>
          <w:spacing w:val="13"/>
        </w:rPr>
        <w:t> </w:t>
      </w:r>
      <w:r>
        <w:rPr/>
        <w:t>true</w:t>
      </w:r>
      <w:r>
        <w:rPr>
          <w:spacing w:val="10"/>
        </w:rPr>
        <w:t> </w:t>
      </w:r>
      <w:r>
        <w:rPr/>
        <w:t>and</w:t>
      </w:r>
      <w:r>
        <w:rPr>
          <w:spacing w:val="12"/>
        </w:rPr>
        <w:t> </w:t>
      </w:r>
      <w:r>
        <w:rPr/>
        <w:t>correct</w:t>
      </w:r>
      <w:r>
        <w:rPr>
          <w:spacing w:val="12"/>
        </w:rPr>
        <w:t> </w:t>
      </w:r>
      <w:r>
        <w:rPr/>
        <w:t>copy</w:t>
      </w:r>
      <w:r>
        <w:rPr>
          <w:spacing w:val="6"/>
        </w:rPr>
        <w:t> </w:t>
      </w:r>
      <w:r>
        <w:rPr/>
        <w:t>of</w:t>
      </w:r>
      <w:r>
        <w:rPr>
          <w:spacing w:val="14"/>
        </w:rPr>
        <w:t> </w:t>
      </w:r>
      <w:r>
        <w:rPr/>
        <w:t>the</w:t>
      </w:r>
      <w:r>
        <w:rPr>
          <w:spacing w:val="11"/>
        </w:rPr>
        <w:t> </w:t>
      </w:r>
      <w:r>
        <w:rPr/>
        <w:t>foregoing</w:t>
      </w:r>
    </w:p>
    <w:p>
      <w:pPr>
        <w:pStyle w:val="Heading1"/>
      </w:pPr>
      <w:r>
        <w:rPr/>
        <w:t>ALL</w:t>
      </w:r>
      <w:r>
        <w:rPr>
          <w:spacing w:val="20"/>
        </w:rPr>
        <w:t> </w:t>
      </w:r>
      <w:r>
        <w:rPr/>
        <w:t>AMERICAN</w:t>
      </w:r>
      <w:r>
        <w:rPr>
          <w:spacing w:val="20"/>
        </w:rPr>
        <w:t> </w:t>
      </w:r>
      <w:r>
        <w:rPr/>
        <w:t>RENOVATIONS</w:t>
      </w:r>
      <w:r>
        <w:rPr>
          <w:spacing w:val="21"/>
        </w:rPr>
        <w:t> </w:t>
      </w:r>
      <w:r>
        <w:rPr/>
        <w:t>AND</w:t>
      </w:r>
      <w:r>
        <w:rPr>
          <w:spacing w:val="19"/>
        </w:rPr>
        <w:t> </w:t>
      </w:r>
      <w:r>
        <w:rPr/>
        <w:t>DEMOLITIONS’</w:t>
      </w:r>
      <w:r>
        <w:rPr>
          <w:spacing w:val="24"/>
        </w:rPr>
        <w:t> </w:t>
      </w:r>
      <w:r>
        <w:rPr/>
        <w:t>MOTION</w:t>
      </w:r>
      <w:r>
        <w:rPr>
          <w:spacing w:val="20"/>
        </w:rPr>
        <w:t> </w:t>
      </w:r>
      <w:r>
        <w:rPr/>
        <w:t>FOR</w:t>
      </w:r>
      <w:r>
        <w:rPr>
          <w:spacing w:val="21"/>
        </w:rPr>
        <w:t> </w:t>
      </w:r>
      <w:r>
        <w:rPr/>
        <w:t>ENTRY</w:t>
      </w:r>
      <w:r>
        <w:rPr>
          <w:spacing w:val="19"/>
        </w:rPr>
        <w:t> </w:t>
      </w:r>
      <w:r>
        <w:rPr>
          <w:spacing w:val="2"/>
        </w:rPr>
        <w:t>OF</w:t>
      </w:r>
    </w:p>
    <w:p>
      <w:pPr>
        <w:spacing w:before="0"/>
        <w:ind w:left="100" w:right="0" w:firstLine="0"/>
        <w:jc w:val="left"/>
        <w:rPr>
          <w:sz w:val="24"/>
        </w:rPr>
      </w:pPr>
      <w:r>
        <w:rPr>
          <w:b/>
          <w:sz w:val="24"/>
        </w:rPr>
        <w:t>DEFAULT AGAINST REMEDY ROOFING, INC.</w:t>
      </w:r>
      <w:r>
        <w:rPr>
          <w:sz w:val="24"/>
        </w:rPr>
        <w:t>, was served via ICCES to the following:</w:t>
      </w:r>
    </w:p>
    <w:p>
      <w:pPr>
        <w:pStyle w:val="BodyText"/>
        <w:spacing w:before="1"/>
      </w:pPr>
    </w:p>
    <w:p>
      <w:pPr>
        <w:pStyle w:val="BodyText"/>
        <w:ind w:left="100" w:right="7026"/>
      </w:pPr>
      <w:r>
        <w:rPr/>
        <w:t>Joshua R. Proctor, #33835 Andrew L. Shively, #43526 P</w:t>
      </w:r>
      <w:r>
        <w:rPr>
          <w:sz w:val="19"/>
        </w:rPr>
        <w:t>ROCTOR </w:t>
      </w:r>
      <w:r>
        <w:rPr/>
        <w:t>B</w:t>
      </w:r>
      <w:r>
        <w:rPr>
          <w:sz w:val="19"/>
        </w:rPr>
        <w:t>RANT</w:t>
      </w:r>
      <w:r>
        <w:rPr/>
        <w:t>, P.C.</w:t>
      </w:r>
    </w:p>
    <w:p>
      <w:pPr>
        <w:pStyle w:val="BodyText"/>
        <w:ind w:left="100" w:right="6327"/>
      </w:pPr>
      <w:r>
        <w:rPr/>
        <w:t>4B Inverness Court East, Suite 110 Englewood, CO 80112 </w:t>
      </w:r>
      <w:hyperlink r:id="rId7">
        <w:r>
          <w:rPr/>
          <w:t>jproctor@proctorbrant.com</w:t>
        </w:r>
      </w:hyperlink>
      <w:r>
        <w:rPr/>
        <w:t> </w:t>
      </w:r>
      <w:hyperlink r:id="rId8">
        <w:r>
          <w:rPr/>
          <w:t>ashively@proctorbrant.com</w:t>
        </w:r>
      </w:hyperlink>
    </w:p>
    <w:p>
      <w:pPr>
        <w:pStyle w:val="BodyText"/>
        <w:rPr>
          <w:sz w:val="26"/>
        </w:rPr>
      </w:pPr>
    </w:p>
    <w:p>
      <w:pPr>
        <w:pStyle w:val="BodyText"/>
        <w:rPr>
          <w:sz w:val="22"/>
        </w:rPr>
      </w:pPr>
    </w:p>
    <w:p>
      <w:pPr>
        <w:tabs>
          <w:tab w:pos="9461" w:val="left" w:leader="none"/>
        </w:tabs>
        <w:spacing w:before="0"/>
        <w:ind w:left="5141" w:right="0" w:firstLine="0"/>
        <w:jc w:val="left"/>
        <w:rPr>
          <w:i/>
          <w:sz w:val="24"/>
        </w:rPr>
      </w:pPr>
      <w:r>
        <w:rPr>
          <w:i/>
          <w:sz w:val="24"/>
          <w:u w:val="single"/>
        </w:rPr>
        <w:t>/s/ Cristina</w:t>
      </w:r>
      <w:r>
        <w:rPr>
          <w:i/>
          <w:spacing w:val="-2"/>
          <w:sz w:val="24"/>
          <w:u w:val="single"/>
        </w:rPr>
        <w:t> </w:t>
      </w:r>
      <w:r>
        <w:rPr>
          <w:i/>
          <w:sz w:val="24"/>
          <w:u w:val="single"/>
        </w:rPr>
        <w:t>Tostado</w:t>
        <w:tab/>
      </w:r>
    </w:p>
    <w:p>
      <w:pPr>
        <w:pStyle w:val="BodyText"/>
        <w:ind w:left="5141"/>
      </w:pPr>
      <w:r>
        <w:rPr/>
        <w:t>Cristina Tostado</w:t>
      </w:r>
    </w:p>
    <w:p>
      <w:pPr>
        <w:pStyle w:val="BodyText"/>
      </w:pPr>
    </w:p>
    <w:p>
      <w:pPr>
        <w:spacing w:before="0"/>
        <w:ind w:left="100" w:right="360" w:firstLine="0"/>
        <w:jc w:val="both"/>
        <w:rPr>
          <w:b/>
          <w:i/>
          <w:sz w:val="24"/>
        </w:rPr>
      </w:pPr>
      <w:r>
        <w:rPr>
          <w:b/>
          <w:i/>
          <w:sz w:val="24"/>
        </w:rPr>
        <w:t>In accordance with C.R.C.P. 121 §1-26(9), a printed copy of this document with original </w:t>
      </w:r>
      <w:r>
        <w:rPr>
          <w:b/>
          <w:i/>
          <w:sz w:val="24"/>
        </w:rPr>
        <w:t>signatures is maintained by Jester Gibson &amp; Moore, LLP, and will be made available for inspection by other parties or the Court upon request.</w:t>
      </w:r>
    </w:p>
    <w:sectPr>
      <w:pgSz w:w="12240" w:h="15840"/>
      <w:pgMar w:top="1360" w:bottom="280" w:left="1340" w:right="10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0" w:hanging="720"/>
        <w:jc w:val="left"/>
      </w:pPr>
      <w:rPr>
        <w:rFonts w:hint="default" w:ascii="Times New Roman" w:hAnsi="Times New Roman" w:eastAsia="Times New Roman" w:cs="Times New Roman"/>
        <w:spacing w:val="-30"/>
        <w:w w:val="99"/>
        <w:sz w:val="24"/>
        <w:szCs w:val="24"/>
      </w:rPr>
    </w:lvl>
    <w:lvl w:ilvl="1">
      <w:start w:val="0"/>
      <w:numFmt w:val="bullet"/>
      <w:lvlText w:val="•"/>
      <w:lvlJc w:val="left"/>
      <w:pPr>
        <w:ind w:left="1072" w:hanging="720"/>
      </w:pPr>
      <w:rPr>
        <w:rFonts w:hint="default"/>
      </w:rPr>
    </w:lvl>
    <w:lvl w:ilvl="2">
      <w:start w:val="0"/>
      <w:numFmt w:val="bullet"/>
      <w:lvlText w:val="•"/>
      <w:lvlJc w:val="left"/>
      <w:pPr>
        <w:ind w:left="2044" w:hanging="720"/>
      </w:pPr>
      <w:rPr>
        <w:rFonts w:hint="default"/>
      </w:rPr>
    </w:lvl>
    <w:lvl w:ilvl="3">
      <w:start w:val="0"/>
      <w:numFmt w:val="bullet"/>
      <w:lvlText w:val="•"/>
      <w:lvlJc w:val="left"/>
      <w:pPr>
        <w:ind w:left="3016" w:hanging="720"/>
      </w:pPr>
      <w:rPr>
        <w:rFonts w:hint="default"/>
      </w:rPr>
    </w:lvl>
    <w:lvl w:ilvl="4">
      <w:start w:val="0"/>
      <w:numFmt w:val="bullet"/>
      <w:lvlText w:val="•"/>
      <w:lvlJc w:val="left"/>
      <w:pPr>
        <w:ind w:left="3988" w:hanging="720"/>
      </w:pPr>
      <w:rPr>
        <w:rFonts w:hint="default"/>
      </w:rPr>
    </w:lvl>
    <w:lvl w:ilvl="5">
      <w:start w:val="0"/>
      <w:numFmt w:val="bullet"/>
      <w:lvlText w:val="•"/>
      <w:lvlJc w:val="left"/>
      <w:pPr>
        <w:ind w:left="4960" w:hanging="720"/>
      </w:pPr>
      <w:rPr>
        <w:rFonts w:hint="default"/>
      </w:rPr>
    </w:lvl>
    <w:lvl w:ilvl="6">
      <w:start w:val="0"/>
      <w:numFmt w:val="bullet"/>
      <w:lvlText w:val="•"/>
      <w:lvlJc w:val="left"/>
      <w:pPr>
        <w:ind w:left="5932" w:hanging="720"/>
      </w:pPr>
      <w:rPr>
        <w:rFonts w:hint="default"/>
      </w:rPr>
    </w:lvl>
    <w:lvl w:ilvl="7">
      <w:start w:val="0"/>
      <w:numFmt w:val="bullet"/>
      <w:lvlText w:val="•"/>
      <w:lvlJc w:val="left"/>
      <w:pPr>
        <w:ind w:left="6904" w:hanging="720"/>
      </w:pPr>
      <w:rPr>
        <w:rFonts w:hint="default"/>
      </w:rPr>
    </w:lvl>
    <w:lvl w:ilvl="8">
      <w:start w:val="0"/>
      <w:numFmt w:val="bullet"/>
      <w:lvlText w:val="•"/>
      <w:lvlJc w:val="left"/>
      <w:pPr>
        <w:ind w:left="7876"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100"/>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100" w:right="358" w:firstLine="720"/>
      <w:jc w:val="both"/>
    </w:pPr>
    <w:rPr>
      <w:rFonts w:ascii="Times New Roman" w:hAnsi="Times New Roman" w:eastAsia="Times New Roman" w:cs="Times New Roman"/>
    </w:rPr>
  </w:style>
  <w:style w:styleId="TableParagraph" w:type="paragraph">
    <w:name w:val="Table Paragraph"/>
    <w:basedOn w:val="Normal"/>
    <w:uiPriority w:val="1"/>
    <w:qFormat/>
    <w:pPr>
      <w:ind w:left="107"/>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bmoore@jgllp.com" TargetMode="External"/><Relationship Id="rId6" Type="http://schemas.openxmlformats.org/officeDocument/2006/relationships/hyperlink" Target="mailto:nschwab@jgllp.com" TargetMode="External"/><Relationship Id="rId7" Type="http://schemas.openxmlformats.org/officeDocument/2006/relationships/hyperlink" Target="mailto:jproctor@proctorbrant.com" TargetMode="External"/><Relationship Id="rId8" Type="http://schemas.openxmlformats.org/officeDocument/2006/relationships/hyperlink" Target="mailto:ashively@proctorbrant.com"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2019-03-18T21:28:11Z</dcterms:created>
  <dcterms:modified xsi:type="dcterms:W3CDTF">2019-03-18T21:28:11Z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2018-07-02T00:00:00Z</vt:filetime>
  </property>
  <property fmtid="{D5CDD505-2E9C-101B-9397-08002B2CF9AE}" pid="3" name="LastSaved">
    <vt:filetime>2019-03-18T00:00:00Z</vt:filetime>
  </property>
</Properties>
</file>