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tbl>
      <w:tblPr>
        <w:tblW w:w="0" w:type="auto"/>
        <w:jc w:val="left"/>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834"/>
        <w:gridCol w:w="3517"/>
      </w:tblGrid>
      <w:tr>
        <w:trPr>
          <w:trHeight w:val="1349" w:hRule="atLeast"/>
        </w:trPr>
        <w:tc>
          <w:tcPr>
            <w:tcW w:w="5834" w:type="dxa"/>
          </w:tcPr>
          <w:p>
            <w:pPr>
              <w:pStyle w:val="TableParagraph"/>
              <w:spacing w:line="315" w:lineRule="exact"/>
              <w:ind w:left="5"/>
              <w:rPr>
                <w:sz w:val="28"/>
              </w:rPr>
            </w:pPr>
            <w:r>
              <w:rPr>
                <w:sz w:val="28"/>
              </w:rPr>
              <w:t>DISTRICT COURT</w:t>
            </w:r>
          </w:p>
          <w:p>
            <w:pPr>
              <w:pStyle w:val="TableParagraph"/>
              <w:spacing w:line="305" w:lineRule="exact" w:before="16"/>
              <w:ind w:left="5"/>
              <w:rPr>
                <w:sz w:val="28"/>
              </w:rPr>
            </w:pPr>
            <w:r>
              <w:rPr>
                <w:sz w:val="28"/>
              </w:rPr>
              <w:t>JEFFERSON COUNTY, COLORADO</w:t>
            </w:r>
          </w:p>
          <w:p>
            <w:pPr>
              <w:pStyle w:val="TableParagraph"/>
              <w:tabs>
                <w:tab w:pos="5752" w:val="left" w:leader="none"/>
              </w:tabs>
              <w:spacing w:line="274" w:lineRule="exact"/>
              <w:ind w:left="5" w:right="-87"/>
              <w:rPr>
                <w:rFonts w:ascii="Times New Roman"/>
                <w:sz w:val="20"/>
              </w:rPr>
            </w:pPr>
            <w:r>
              <w:rPr>
                <w:sz w:val="28"/>
              </w:rPr>
              <w:t>100 JEFFERSON</w:t>
            </w:r>
            <w:r>
              <w:rPr>
                <w:spacing w:val="-8"/>
                <w:sz w:val="28"/>
              </w:rPr>
              <w:t> </w:t>
            </w:r>
            <w:r>
              <w:rPr>
                <w:sz w:val="28"/>
              </w:rPr>
              <w:t>COUNTY</w:t>
            </w:r>
            <w:r>
              <w:rPr>
                <w:spacing w:val="-3"/>
                <w:sz w:val="28"/>
              </w:rPr>
              <w:t> </w:t>
            </w:r>
            <w:r>
              <w:rPr>
                <w:sz w:val="28"/>
              </w:rPr>
              <w:t>PARKWAY</w:t>
              <w:tab/>
            </w:r>
            <w:r>
              <w:rPr>
                <w:rFonts w:ascii="Times New Roman"/>
                <w:color w:val="0000FF"/>
                <w:position w:val="9"/>
                <w:sz w:val="20"/>
              </w:rPr>
              <w:t>D</w:t>
            </w:r>
          </w:p>
          <w:p>
            <w:pPr>
              <w:pStyle w:val="TableParagraph"/>
              <w:spacing w:line="124" w:lineRule="exact"/>
              <w:ind w:right="-44"/>
              <w:jc w:val="right"/>
              <w:rPr>
                <w:rFonts w:ascii="Times New Roman"/>
                <w:sz w:val="20"/>
              </w:rPr>
            </w:pPr>
            <w:r>
              <w:rPr>
                <w:rFonts w:ascii="Times New Roman"/>
                <w:color w:val="0000FF"/>
                <w:spacing w:val="2"/>
                <w:sz w:val="20"/>
              </w:rPr>
              <w:t>F</w:t>
            </w:r>
          </w:p>
          <w:p>
            <w:pPr>
              <w:pStyle w:val="TableParagraph"/>
              <w:tabs>
                <w:tab w:pos="5752" w:val="left" w:leader="none"/>
              </w:tabs>
              <w:spacing w:line="276" w:lineRule="exact"/>
              <w:ind w:left="5" w:right="-72"/>
              <w:rPr>
                <w:rFonts w:ascii="Times New Roman"/>
                <w:sz w:val="20"/>
              </w:rPr>
            </w:pPr>
            <w:r>
              <w:rPr>
                <w:position w:val="1"/>
                <w:sz w:val="28"/>
              </w:rPr>
              <w:t>GOLDEN,</w:t>
            </w:r>
            <w:r>
              <w:rPr>
                <w:spacing w:val="-3"/>
                <w:position w:val="1"/>
                <w:sz w:val="28"/>
              </w:rPr>
              <w:t> </w:t>
            </w:r>
            <w:r>
              <w:rPr>
                <w:position w:val="1"/>
                <w:sz w:val="28"/>
              </w:rPr>
              <w:t>COLORADO</w:t>
            </w:r>
            <w:r>
              <w:rPr>
                <w:spacing w:val="-3"/>
                <w:position w:val="1"/>
                <w:sz w:val="28"/>
              </w:rPr>
              <w:t> </w:t>
            </w:r>
            <w:r>
              <w:rPr>
                <w:position w:val="1"/>
                <w:sz w:val="28"/>
              </w:rPr>
              <w:t>80401</w:t>
              <w:tab/>
            </w:r>
            <w:r>
              <w:rPr>
                <w:rFonts w:ascii="Times New Roman"/>
                <w:color w:val="0000FF"/>
                <w:spacing w:val="-10"/>
                <w:sz w:val="20"/>
              </w:rPr>
              <w:t>C</w:t>
            </w:r>
          </w:p>
        </w:tc>
        <w:tc>
          <w:tcPr>
            <w:tcW w:w="3517" w:type="dxa"/>
            <w:vMerge w:val="restart"/>
          </w:tcPr>
          <w:p>
            <w:pPr>
              <w:pStyle w:val="TableParagraph"/>
              <w:rPr>
                <w:rFonts w:ascii="Times New Roman"/>
                <w:sz w:val="22"/>
              </w:rPr>
            </w:pPr>
          </w:p>
          <w:p>
            <w:pPr>
              <w:pStyle w:val="TableParagraph"/>
              <w:rPr>
                <w:rFonts w:ascii="Times New Roman"/>
                <w:sz w:val="22"/>
              </w:rPr>
            </w:pPr>
          </w:p>
          <w:p>
            <w:pPr>
              <w:pStyle w:val="TableParagraph"/>
              <w:spacing w:line="225" w:lineRule="auto" w:before="132"/>
              <w:ind w:left="31" w:firstLine="33"/>
              <w:rPr>
                <w:rFonts w:ascii="Times New Roman"/>
                <w:sz w:val="20"/>
              </w:rPr>
            </w:pPr>
            <w:r>
              <w:rPr>
                <w:rFonts w:ascii="Times New Roman"/>
                <w:color w:val="0000FF"/>
                <w:sz w:val="20"/>
              </w:rPr>
              <w:t>ATE FILED: July 27, 2017 11:27 AM ILING ID: B66D91699A5C1</w:t>
            </w:r>
          </w:p>
          <w:p>
            <w:pPr>
              <w:pStyle w:val="TableParagraph"/>
              <w:spacing w:line="218" w:lineRule="exact"/>
              <w:ind w:left="53"/>
              <w:rPr>
                <w:rFonts w:ascii="Times New Roman"/>
                <w:sz w:val="20"/>
              </w:rPr>
            </w:pPr>
            <w:r>
              <w:rPr>
                <w:rFonts w:ascii="Times New Roman"/>
                <w:color w:val="0000FF"/>
                <w:sz w:val="20"/>
              </w:rPr>
              <w:t>ASE NUMBER: 2016CR1463</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5"/>
              </w:rPr>
            </w:pPr>
          </w:p>
          <w:p>
            <w:pPr>
              <w:pStyle w:val="TableParagraph"/>
              <w:tabs>
                <w:tab w:pos="3156" w:val="left" w:leader="none"/>
              </w:tabs>
              <w:ind w:left="360"/>
              <w:rPr>
                <w:rFonts w:ascii="PMingLiU-ExtB" w:hAnsi="PMingLiU-ExtB"/>
                <w:sz w:val="28"/>
              </w:rPr>
            </w:pPr>
            <w:r>
              <w:rPr>
                <w:rFonts w:ascii="PMingLiU-ExtB" w:hAnsi="PMingLiU-ExtB"/>
                <w:spacing w:val="6"/>
                <w:sz w:val="28"/>
              </w:rPr>
              <w:t>COURT</w:t>
            </w:r>
            <w:r>
              <w:rPr>
                <w:rFonts w:ascii="PMingLiU-ExtB" w:hAnsi="PMingLiU-ExtB"/>
                <w:spacing w:val="9"/>
                <w:sz w:val="28"/>
              </w:rPr>
              <w:t> </w:t>
            </w:r>
            <w:r>
              <w:rPr>
                <w:rFonts w:ascii="PMingLiU-ExtB" w:hAnsi="PMingLiU-ExtB"/>
                <w:spacing w:val="2"/>
                <w:sz w:val="28"/>
              </w:rPr>
              <w:t>USE</w:t>
            </w:r>
            <w:r>
              <w:rPr>
                <w:spacing w:val="2"/>
                <w:sz w:val="28"/>
              </w:rPr>
              <w:t>ONLY</w:t>
              <w:tab/>
            </w:r>
            <w:r>
              <w:rPr>
                <w:rFonts w:ascii="PMingLiU-ExtB" w:hAnsi="PMingLiU-ExtB"/>
                <w:sz w:val="28"/>
              </w:rPr>
              <w:t></w:t>
            </w:r>
          </w:p>
        </w:tc>
      </w:tr>
      <w:tr>
        <w:trPr>
          <w:trHeight w:val="3402" w:hRule="atLeast"/>
        </w:trPr>
        <w:tc>
          <w:tcPr>
            <w:tcW w:w="5834" w:type="dxa"/>
          </w:tcPr>
          <w:p>
            <w:pPr>
              <w:pStyle w:val="TableParagraph"/>
              <w:spacing w:before="8"/>
              <w:rPr>
                <w:rFonts w:ascii="Times New Roman"/>
                <w:sz w:val="30"/>
              </w:rPr>
            </w:pPr>
          </w:p>
          <w:p>
            <w:pPr>
              <w:pStyle w:val="TableParagraph"/>
              <w:ind w:left="170" w:right="1179"/>
              <w:rPr>
                <w:b/>
                <w:sz w:val="28"/>
              </w:rPr>
            </w:pPr>
            <w:r>
              <w:rPr>
                <w:b/>
                <w:sz w:val="28"/>
              </w:rPr>
              <w:t>THE PEOPLE OF THE STATE OF COLORADO,</w:t>
            </w:r>
          </w:p>
          <w:p>
            <w:pPr>
              <w:pStyle w:val="TableParagraph"/>
              <w:spacing w:line="556" w:lineRule="auto" w:before="4"/>
              <w:ind w:left="153" w:right="4673"/>
              <w:rPr>
                <w:sz w:val="28"/>
              </w:rPr>
            </w:pPr>
            <w:r>
              <w:rPr>
                <w:w w:val="95"/>
                <w:sz w:val="28"/>
              </w:rPr>
              <w:t>Plaintiff </w:t>
            </w:r>
            <w:r>
              <w:rPr>
                <w:sz w:val="28"/>
              </w:rPr>
              <w:t>v.</w:t>
            </w:r>
          </w:p>
          <w:p>
            <w:pPr>
              <w:pStyle w:val="TableParagraph"/>
              <w:spacing w:line="312" w:lineRule="exact"/>
              <w:ind w:left="153"/>
              <w:rPr>
                <w:b/>
                <w:sz w:val="28"/>
              </w:rPr>
            </w:pPr>
            <w:r>
              <w:rPr>
                <w:b/>
                <w:sz w:val="28"/>
              </w:rPr>
              <w:t>GARY NICKAL,</w:t>
            </w:r>
          </w:p>
          <w:p>
            <w:pPr>
              <w:pStyle w:val="TableParagraph"/>
              <w:spacing w:before="46"/>
              <w:ind w:left="153"/>
              <w:rPr>
                <w:sz w:val="28"/>
              </w:rPr>
            </w:pPr>
            <w:r>
              <w:rPr>
                <w:sz w:val="28"/>
              </w:rPr>
              <w:t>Defendant.</w:t>
            </w:r>
          </w:p>
        </w:tc>
        <w:tc>
          <w:tcPr>
            <w:tcW w:w="3517" w:type="dxa"/>
            <w:vMerge/>
            <w:tcBorders>
              <w:top w:val="nil"/>
            </w:tcBorders>
          </w:tcPr>
          <w:p>
            <w:pPr>
              <w:rPr>
                <w:sz w:val="2"/>
                <w:szCs w:val="2"/>
              </w:rPr>
            </w:pPr>
          </w:p>
        </w:tc>
      </w:tr>
      <w:tr>
        <w:trPr>
          <w:trHeight w:val="4859" w:hRule="atLeast"/>
        </w:trPr>
        <w:tc>
          <w:tcPr>
            <w:tcW w:w="5834" w:type="dxa"/>
          </w:tcPr>
          <w:p>
            <w:pPr>
              <w:pStyle w:val="TableParagraph"/>
              <w:spacing w:line="315" w:lineRule="exact"/>
              <w:ind w:left="5"/>
              <w:rPr>
                <w:sz w:val="28"/>
              </w:rPr>
            </w:pPr>
            <w:r>
              <w:rPr>
                <w:sz w:val="28"/>
              </w:rPr>
              <w:t>M</w:t>
            </w:r>
            <w:r>
              <w:rPr>
                <w:sz w:val="22"/>
              </w:rPr>
              <w:t>ULLIGAN </w:t>
            </w:r>
            <w:r>
              <w:rPr>
                <w:sz w:val="28"/>
              </w:rPr>
              <w:t>B</w:t>
            </w:r>
            <w:r>
              <w:rPr>
                <w:sz w:val="22"/>
              </w:rPr>
              <w:t>RIET</w:t>
            </w:r>
            <w:r>
              <w:rPr>
                <w:sz w:val="28"/>
              </w:rPr>
              <w:t>, LLC</w:t>
            </w:r>
          </w:p>
          <w:p>
            <w:pPr>
              <w:pStyle w:val="TableParagraph"/>
              <w:spacing w:before="18"/>
              <w:ind w:left="5"/>
              <w:rPr>
                <w:sz w:val="28"/>
              </w:rPr>
            </w:pPr>
            <w:r>
              <w:rPr>
                <w:sz w:val="28"/>
              </w:rPr>
              <w:t>Patrick Mulligan, #16981</w:t>
            </w:r>
          </w:p>
          <w:p>
            <w:pPr>
              <w:pStyle w:val="TableParagraph"/>
              <w:spacing w:before="19"/>
              <w:ind w:left="5"/>
              <w:rPr>
                <w:sz w:val="28"/>
              </w:rPr>
            </w:pPr>
            <w:r>
              <w:rPr>
                <w:sz w:val="28"/>
              </w:rPr>
              <w:t>1801 Broadway, Suite 1203</w:t>
            </w:r>
          </w:p>
          <w:p>
            <w:pPr>
              <w:pStyle w:val="TableParagraph"/>
              <w:spacing w:before="17"/>
              <w:ind w:left="5"/>
              <w:rPr>
                <w:sz w:val="28"/>
              </w:rPr>
            </w:pPr>
            <w:r>
              <w:rPr>
                <w:sz w:val="28"/>
              </w:rPr>
              <w:t>Denver, CO 80202</w:t>
            </w:r>
          </w:p>
          <w:p>
            <w:pPr>
              <w:pStyle w:val="TableParagraph"/>
              <w:spacing w:before="19"/>
              <w:ind w:left="5"/>
              <w:rPr>
                <w:sz w:val="28"/>
              </w:rPr>
            </w:pPr>
            <w:r>
              <w:rPr>
                <w:sz w:val="28"/>
              </w:rPr>
              <w:t>P</w:t>
            </w:r>
            <w:r>
              <w:rPr>
                <w:sz w:val="22"/>
              </w:rPr>
              <w:t>H</w:t>
            </w:r>
            <w:r>
              <w:rPr>
                <w:sz w:val="28"/>
              </w:rPr>
              <w:t>. 303-295-1500</w:t>
            </w:r>
          </w:p>
          <w:p>
            <w:pPr>
              <w:pStyle w:val="TableParagraph"/>
              <w:spacing w:before="18"/>
              <w:ind w:left="5"/>
              <w:rPr>
                <w:sz w:val="28"/>
              </w:rPr>
            </w:pPr>
            <w:r>
              <w:rPr>
                <w:sz w:val="28"/>
              </w:rPr>
              <w:t>E</w:t>
            </w:r>
            <w:r>
              <w:rPr>
                <w:sz w:val="22"/>
              </w:rPr>
              <w:t>MAIL</w:t>
            </w:r>
            <w:r>
              <w:rPr>
                <w:sz w:val="28"/>
              </w:rPr>
              <w:t>: </w:t>
            </w:r>
            <w:hyperlink r:id="rId6">
              <w:r>
                <w:rPr>
                  <w:color w:val="0563C1"/>
                  <w:sz w:val="28"/>
                  <w:u w:val="single" w:color="0563C1"/>
                </w:rPr>
                <w:t>Patrick@MulliganBriet.com</w:t>
              </w:r>
            </w:hyperlink>
          </w:p>
          <w:p>
            <w:pPr>
              <w:pStyle w:val="TableParagraph"/>
              <w:spacing w:before="9"/>
              <w:rPr>
                <w:rFonts w:ascii="Times New Roman"/>
                <w:sz w:val="29"/>
              </w:rPr>
            </w:pPr>
          </w:p>
          <w:p>
            <w:pPr>
              <w:pStyle w:val="TableParagraph"/>
              <w:tabs>
                <w:tab w:pos="918" w:val="left" w:leader="none"/>
                <w:tab w:pos="1858" w:val="left" w:leader="none"/>
                <w:tab w:pos="3196" w:val="left" w:leader="none"/>
                <w:tab w:pos="3916" w:val="left" w:leader="none"/>
                <w:tab w:pos="5583" w:val="left" w:leader="none"/>
              </w:tabs>
              <w:spacing w:before="1"/>
              <w:ind w:left="5" w:right="-15"/>
              <w:rPr>
                <w:sz w:val="28"/>
              </w:rPr>
            </w:pPr>
            <w:r>
              <w:rPr>
                <w:sz w:val="28"/>
              </w:rPr>
              <w:t>THE</w:t>
              <w:tab/>
              <w:t>LAW</w:t>
              <w:tab/>
              <w:t>OFFICE</w:t>
              <w:tab/>
              <w:t>OF</w:t>
              <w:tab/>
              <w:t>JENNIFER</w:t>
              <w:tab/>
              <w:t>E. LONGTIN,</w:t>
            </w:r>
            <w:r>
              <w:rPr>
                <w:spacing w:val="-2"/>
                <w:sz w:val="28"/>
              </w:rPr>
              <w:t> </w:t>
            </w:r>
            <w:r>
              <w:rPr>
                <w:sz w:val="28"/>
              </w:rPr>
              <w:t>LLC</w:t>
            </w:r>
          </w:p>
          <w:p>
            <w:pPr>
              <w:pStyle w:val="TableParagraph"/>
              <w:ind w:left="5" w:right="2719"/>
              <w:rPr>
                <w:sz w:val="28"/>
              </w:rPr>
            </w:pPr>
            <w:r>
              <w:rPr>
                <w:sz w:val="28"/>
              </w:rPr>
              <w:t>Jennifer E. Longtin, #43509 2401 S. Downing St.</w:t>
            </w:r>
          </w:p>
          <w:p>
            <w:pPr>
              <w:pStyle w:val="TableParagraph"/>
              <w:spacing w:line="270" w:lineRule="exact"/>
              <w:ind w:left="5"/>
              <w:rPr>
                <w:sz w:val="28"/>
              </w:rPr>
            </w:pPr>
            <w:r>
              <w:rPr>
                <w:sz w:val="28"/>
              </w:rPr>
              <w:t>Denver, CO 80201</w:t>
            </w:r>
          </w:p>
          <w:p>
            <w:pPr>
              <w:pStyle w:val="TableParagraph"/>
              <w:spacing w:line="269" w:lineRule="exact"/>
              <w:ind w:left="5"/>
              <w:rPr>
                <w:sz w:val="28"/>
              </w:rPr>
            </w:pPr>
            <w:r>
              <w:rPr>
                <w:sz w:val="28"/>
              </w:rPr>
              <w:t>Ph. 303.747.6898</w:t>
            </w:r>
          </w:p>
          <w:p>
            <w:pPr>
              <w:pStyle w:val="TableParagraph"/>
              <w:spacing w:line="269" w:lineRule="exact"/>
              <w:ind w:left="5"/>
              <w:rPr>
                <w:sz w:val="28"/>
              </w:rPr>
            </w:pPr>
            <w:r>
              <w:rPr>
                <w:sz w:val="28"/>
              </w:rPr>
              <w:t>Fax. 800.243.2691</w:t>
            </w:r>
          </w:p>
          <w:p>
            <w:pPr>
              <w:pStyle w:val="TableParagraph"/>
              <w:spacing w:line="292" w:lineRule="exact"/>
              <w:ind w:left="5"/>
              <w:rPr>
                <w:sz w:val="28"/>
              </w:rPr>
            </w:pPr>
            <w:hyperlink r:id="rId7">
              <w:r>
                <w:rPr>
                  <w:sz w:val="28"/>
                </w:rPr>
                <w:t>Jen@jlongtinlaw.com</w:t>
              </w:r>
            </w:hyperlink>
          </w:p>
        </w:tc>
        <w:tc>
          <w:tcPr>
            <w:tcW w:w="3517" w:type="dxa"/>
          </w:tcPr>
          <w:p>
            <w:pPr>
              <w:pStyle w:val="TableParagraph"/>
              <w:spacing w:before="7"/>
              <w:rPr>
                <w:rFonts w:ascii="Times New Roman"/>
                <w:sz w:val="25"/>
              </w:rPr>
            </w:pPr>
          </w:p>
          <w:p>
            <w:pPr>
              <w:pStyle w:val="TableParagraph"/>
              <w:ind w:left="152"/>
              <w:rPr>
                <w:sz w:val="28"/>
              </w:rPr>
            </w:pPr>
            <w:r>
              <w:rPr>
                <w:b/>
                <w:sz w:val="28"/>
              </w:rPr>
              <w:t>Case No. </w:t>
            </w:r>
            <w:r>
              <w:rPr>
                <w:sz w:val="28"/>
              </w:rPr>
              <w:t>16CR001463</w:t>
            </w: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rPr>
                <w:rFonts w:ascii="Times New Roman"/>
                <w:sz w:val="30"/>
              </w:rPr>
            </w:pPr>
          </w:p>
          <w:p>
            <w:pPr>
              <w:pStyle w:val="TableParagraph"/>
              <w:spacing w:before="4"/>
              <w:rPr>
                <w:rFonts w:ascii="Times New Roman"/>
                <w:sz w:val="30"/>
              </w:rPr>
            </w:pPr>
          </w:p>
          <w:p>
            <w:pPr>
              <w:pStyle w:val="TableParagraph"/>
              <w:spacing w:before="1"/>
              <w:ind w:left="152"/>
              <w:rPr>
                <w:sz w:val="28"/>
              </w:rPr>
            </w:pPr>
            <w:r>
              <w:rPr>
                <w:b/>
                <w:sz w:val="28"/>
              </w:rPr>
              <w:t>Division: </w:t>
            </w:r>
            <w:r>
              <w:rPr>
                <w:sz w:val="28"/>
              </w:rPr>
              <w:t>12</w:t>
            </w:r>
          </w:p>
        </w:tc>
      </w:tr>
      <w:tr>
        <w:trPr>
          <w:trHeight w:val="621" w:hRule="atLeast"/>
        </w:trPr>
        <w:tc>
          <w:tcPr>
            <w:tcW w:w="9351" w:type="dxa"/>
            <w:gridSpan w:val="2"/>
          </w:tcPr>
          <w:p>
            <w:pPr>
              <w:pStyle w:val="TableParagraph"/>
              <w:spacing w:before="81"/>
              <w:ind w:left="2289"/>
              <w:rPr>
                <w:b/>
                <w:sz w:val="28"/>
              </w:rPr>
            </w:pPr>
            <w:r>
              <w:rPr>
                <w:b/>
                <w:sz w:val="28"/>
              </w:rPr>
              <w:t>MOTION FOR FREE TRANSCRIPTS</w:t>
            </w:r>
          </w:p>
        </w:tc>
      </w:tr>
    </w:tbl>
    <w:p>
      <w:pPr>
        <w:pStyle w:val="BodyText"/>
        <w:spacing w:before="8"/>
        <w:rPr>
          <w:rFonts w:ascii="Times New Roman"/>
          <w:sz w:val="18"/>
        </w:rPr>
      </w:pPr>
    </w:p>
    <w:p>
      <w:pPr>
        <w:pStyle w:val="BodyText"/>
        <w:spacing w:line="480" w:lineRule="auto" w:before="100"/>
        <w:ind w:left="120" w:right="216" w:firstLine="719"/>
        <w:jc w:val="both"/>
      </w:pPr>
      <w:r>
        <w:rPr/>
        <w:t>Gary Nickal, by and through counsel, respectfully requests that this Honorable Court authorize free transcripts as necessary for this matter, and that such transcripts be prepared for Mr. Nickal. As grounds, Mr. Nickal states the following:</w:t>
      </w:r>
    </w:p>
    <w:p>
      <w:pPr>
        <w:pStyle w:val="ListParagraph"/>
        <w:numPr>
          <w:ilvl w:val="0"/>
          <w:numId w:val="1"/>
        </w:numPr>
        <w:tabs>
          <w:tab w:pos="1559" w:val="left" w:leader="none"/>
          <w:tab w:pos="1560" w:val="left" w:leader="none"/>
        </w:tabs>
        <w:spacing w:line="240" w:lineRule="auto" w:before="0" w:after="0"/>
        <w:ind w:left="1559" w:right="0" w:hanging="720"/>
        <w:jc w:val="left"/>
        <w:rPr>
          <w:sz w:val="28"/>
        </w:rPr>
      </w:pPr>
      <w:r>
        <w:rPr>
          <w:sz w:val="28"/>
        </w:rPr>
        <w:t>Undersigned</w:t>
      </w:r>
      <w:r>
        <w:rPr>
          <w:spacing w:val="15"/>
          <w:sz w:val="28"/>
        </w:rPr>
        <w:t> </w:t>
      </w:r>
      <w:r>
        <w:rPr>
          <w:sz w:val="28"/>
        </w:rPr>
        <w:t>counsel</w:t>
      </w:r>
      <w:r>
        <w:rPr>
          <w:spacing w:val="16"/>
          <w:sz w:val="28"/>
        </w:rPr>
        <w:t> </w:t>
      </w:r>
      <w:r>
        <w:rPr>
          <w:sz w:val="28"/>
        </w:rPr>
        <w:t>entered</w:t>
      </w:r>
      <w:r>
        <w:rPr>
          <w:spacing w:val="16"/>
          <w:sz w:val="28"/>
        </w:rPr>
        <w:t> </w:t>
      </w:r>
      <w:r>
        <w:rPr>
          <w:sz w:val="28"/>
        </w:rPr>
        <w:t>their</w:t>
      </w:r>
      <w:r>
        <w:rPr>
          <w:spacing w:val="14"/>
          <w:sz w:val="28"/>
        </w:rPr>
        <w:t> </w:t>
      </w:r>
      <w:r>
        <w:rPr>
          <w:sz w:val="28"/>
        </w:rPr>
        <w:t>appearance</w:t>
      </w:r>
      <w:r>
        <w:rPr>
          <w:spacing w:val="15"/>
          <w:sz w:val="28"/>
        </w:rPr>
        <w:t> </w:t>
      </w:r>
      <w:r>
        <w:rPr>
          <w:sz w:val="28"/>
        </w:rPr>
        <w:t>on</w:t>
      </w:r>
      <w:r>
        <w:rPr>
          <w:spacing w:val="15"/>
          <w:sz w:val="28"/>
        </w:rPr>
        <w:t> </w:t>
      </w:r>
      <w:r>
        <w:rPr>
          <w:sz w:val="28"/>
        </w:rPr>
        <w:t>this</w:t>
      </w:r>
      <w:r>
        <w:rPr>
          <w:spacing w:val="16"/>
          <w:sz w:val="28"/>
        </w:rPr>
        <w:t> </w:t>
      </w:r>
      <w:r>
        <w:rPr>
          <w:sz w:val="28"/>
        </w:rPr>
        <w:t>matter</w:t>
      </w:r>
      <w:r>
        <w:rPr>
          <w:spacing w:val="14"/>
          <w:sz w:val="28"/>
        </w:rPr>
        <w:t> </w:t>
      </w:r>
      <w:r>
        <w:rPr>
          <w:sz w:val="28"/>
        </w:rPr>
        <w:t>on</w:t>
      </w:r>
      <w:r>
        <w:rPr>
          <w:spacing w:val="15"/>
          <w:sz w:val="28"/>
        </w:rPr>
        <w:t> </w:t>
      </w:r>
      <w:r>
        <w:rPr>
          <w:sz w:val="28"/>
        </w:rPr>
        <w:t>May</w:t>
      </w:r>
      <w:r>
        <w:rPr>
          <w:spacing w:val="15"/>
          <w:sz w:val="28"/>
        </w:rPr>
        <w:t> </w:t>
      </w:r>
      <w:r>
        <w:rPr>
          <w:sz w:val="28"/>
        </w:rPr>
        <w:t>5,</w:t>
      </w:r>
    </w:p>
    <w:p>
      <w:pPr>
        <w:spacing w:after="0" w:line="240" w:lineRule="auto"/>
        <w:jc w:val="left"/>
        <w:rPr>
          <w:sz w:val="28"/>
        </w:rPr>
        <w:sectPr>
          <w:footerReference w:type="default" r:id="rId5"/>
          <w:type w:val="continuous"/>
          <w:pgSz w:w="12240" w:h="15840"/>
          <w:pgMar w:footer="956" w:top="1440" w:bottom="1140" w:left="1320" w:right="1220"/>
          <w:pgNumType w:start="1"/>
        </w:sectPr>
      </w:pPr>
    </w:p>
    <w:p>
      <w:pPr>
        <w:pStyle w:val="BodyText"/>
        <w:spacing w:before="80"/>
        <w:ind w:left="120"/>
      </w:pPr>
      <w:r>
        <w:rPr/>
        <w:t>2016.</w:t>
      </w:r>
    </w:p>
    <w:p>
      <w:pPr>
        <w:pStyle w:val="BodyText"/>
        <w:spacing w:before="1"/>
        <w:rPr>
          <w:sz w:val="19"/>
        </w:rPr>
      </w:pPr>
    </w:p>
    <w:p>
      <w:pPr>
        <w:pStyle w:val="ListParagraph"/>
        <w:numPr>
          <w:ilvl w:val="0"/>
          <w:numId w:val="1"/>
        </w:numPr>
        <w:tabs>
          <w:tab w:pos="1560" w:val="left" w:leader="none"/>
        </w:tabs>
        <w:spacing w:line="480" w:lineRule="auto" w:before="100" w:after="0"/>
        <w:ind w:left="118" w:right="218" w:firstLine="721"/>
        <w:jc w:val="both"/>
        <w:rPr>
          <w:sz w:val="28"/>
        </w:rPr>
      </w:pPr>
      <w:r>
        <w:rPr>
          <w:sz w:val="28"/>
        </w:rPr>
        <w:t>This matter is currently scheduled for Motions Hearing on August 22, 2017. There will be additional appearances before this Honorable Court during the pendency of this</w:t>
      </w:r>
      <w:r>
        <w:rPr>
          <w:spacing w:val="-2"/>
          <w:sz w:val="28"/>
        </w:rPr>
        <w:t> </w:t>
      </w:r>
      <w:r>
        <w:rPr>
          <w:sz w:val="28"/>
        </w:rPr>
        <w:t>case.</w:t>
      </w:r>
    </w:p>
    <w:p>
      <w:pPr>
        <w:pStyle w:val="ListParagraph"/>
        <w:numPr>
          <w:ilvl w:val="0"/>
          <w:numId w:val="1"/>
        </w:numPr>
        <w:tabs>
          <w:tab w:pos="1559" w:val="left" w:leader="none"/>
        </w:tabs>
        <w:spacing w:line="480" w:lineRule="auto" w:before="0" w:after="0"/>
        <w:ind w:left="118" w:right="217" w:firstLine="720"/>
        <w:jc w:val="both"/>
        <w:rPr>
          <w:sz w:val="28"/>
        </w:rPr>
      </w:pPr>
      <w:r>
        <w:rPr>
          <w:sz w:val="28"/>
        </w:rPr>
        <w:t>A critical portion of counsel’s representation in this matter concerns the record that is made before the court over the life of this case. Specifically, transcripts from these appearances are necessary to evaluate any claims going forward and to adequately prepare a defense at trial. Counsel currently has the transcript from the preliminary hearing; however, further transcripts will certainly be necessary prior to trial, and counsel anticipates that these transcripts will be</w:t>
      </w:r>
      <w:r>
        <w:rPr>
          <w:spacing w:val="-11"/>
          <w:sz w:val="28"/>
        </w:rPr>
        <w:t> </w:t>
      </w:r>
      <w:r>
        <w:rPr>
          <w:sz w:val="28"/>
        </w:rPr>
        <w:t>voluminous.</w:t>
      </w:r>
    </w:p>
    <w:p>
      <w:pPr>
        <w:pStyle w:val="Heading1"/>
        <w:ind w:left="3080"/>
      </w:pPr>
      <w:r>
        <w:rPr/>
        <w:t>The Necessity of Transcripts</w:t>
      </w:r>
    </w:p>
    <w:p>
      <w:pPr>
        <w:pStyle w:val="BodyText"/>
        <w:spacing w:before="11"/>
        <w:rPr>
          <w:b/>
          <w:sz w:val="27"/>
        </w:rPr>
      </w:pPr>
    </w:p>
    <w:p>
      <w:pPr>
        <w:pStyle w:val="ListParagraph"/>
        <w:numPr>
          <w:ilvl w:val="0"/>
          <w:numId w:val="1"/>
        </w:numPr>
        <w:tabs>
          <w:tab w:pos="1560" w:val="left" w:leader="none"/>
        </w:tabs>
        <w:spacing w:line="480" w:lineRule="auto" w:before="0" w:after="0"/>
        <w:ind w:left="119" w:right="218" w:firstLine="720"/>
        <w:jc w:val="both"/>
        <w:rPr>
          <w:sz w:val="28"/>
        </w:rPr>
      </w:pPr>
      <w:r>
        <w:rPr>
          <w:sz w:val="28"/>
        </w:rPr>
        <w:t>A critical part of effective representation in cases such as this is the availability of transcripts from the various hearings so that counsel may review what testimony and statements were made before the</w:t>
      </w:r>
      <w:r>
        <w:rPr>
          <w:spacing w:val="-5"/>
          <w:sz w:val="28"/>
        </w:rPr>
        <w:t> </w:t>
      </w:r>
      <w:r>
        <w:rPr>
          <w:sz w:val="28"/>
        </w:rPr>
        <w:t>Court.</w:t>
      </w:r>
    </w:p>
    <w:p>
      <w:pPr>
        <w:pStyle w:val="ListParagraph"/>
        <w:numPr>
          <w:ilvl w:val="0"/>
          <w:numId w:val="1"/>
        </w:numPr>
        <w:tabs>
          <w:tab w:pos="1562" w:val="left" w:leader="none"/>
        </w:tabs>
        <w:spacing w:line="480" w:lineRule="auto" w:before="0" w:after="0"/>
        <w:ind w:left="120" w:right="216" w:firstLine="721"/>
        <w:jc w:val="both"/>
        <w:rPr>
          <w:sz w:val="28"/>
        </w:rPr>
      </w:pPr>
      <w:r>
        <w:rPr>
          <w:sz w:val="28"/>
        </w:rPr>
        <w:t>Colorado courts have previously recognized that a transcript is a vital tool for an attorney at trial, and defense attorneys should not be forced to rely on memory “of the preliminary hearing, or notes prepared at [a] hearing, to establish inconsistencies between testimony at the hearing and at trial</w:t>
      </w:r>
      <w:r>
        <w:rPr>
          <w:i/>
          <w:sz w:val="28"/>
        </w:rPr>
        <w:t>.” Gonzales v. District  </w:t>
      </w:r>
      <w:r>
        <w:rPr>
          <w:i/>
          <w:sz w:val="28"/>
        </w:rPr>
        <w:t>Court</w:t>
      </w:r>
      <w:r>
        <w:rPr>
          <w:sz w:val="28"/>
        </w:rPr>
        <w:t>, 198 Colo. 505, 507 (1979). The Colorado Supreme Court states, “because defendants</w:t>
      </w:r>
      <w:r>
        <w:rPr>
          <w:spacing w:val="7"/>
          <w:sz w:val="28"/>
        </w:rPr>
        <w:t> </w:t>
      </w:r>
      <w:r>
        <w:rPr>
          <w:sz w:val="28"/>
        </w:rPr>
        <w:t>in</w:t>
      </w:r>
      <w:r>
        <w:rPr>
          <w:spacing w:val="7"/>
          <w:sz w:val="28"/>
        </w:rPr>
        <w:t> </w:t>
      </w:r>
      <w:r>
        <w:rPr>
          <w:sz w:val="28"/>
        </w:rPr>
        <w:t>criminal</w:t>
      </w:r>
      <w:r>
        <w:rPr>
          <w:spacing w:val="6"/>
          <w:sz w:val="28"/>
        </w:rPr>
        <w:t> </w:t>
      </w:r>
      <w:r>
        <w:rPr>
          <w:sz w:val="28"/>
        </w:rPr>
        <w:t>cases</w:t>
      </w:r>
      <w:r>
        <w:rPr>
          <w:spacing w:val="8"/>
          <w:sz w:val="28"/>
        </w:rPr>
        <w:t> </w:t>
      </w:r>
      <w:r>
        <w:rPr>
          <w:sz w:val="28"/>
        </w:rPr>
        <w:t>are</w:t>
      </w:r>
      <w:r>
        <w:rPr>
          <w:spacing w:val="7"/>
          <w:sz w:val="28"/>
        </w:rPr>
        <w:t> </w:t>
      </w:r>
      <w:r>
        <w:rPr>
          <w:sz w:val="28"/>
        </w:rPr>
        <w:t>not</w:t>
      </w:r>
      <w:r>
        <w:rPr>
          <w:spacing w:val="7"/>
          <w:sz w:val="28"/>
        </w:rPr>
        <w:t> </w:t>
      </w:r>
      <w:r>
        <w:rPr>
          <w:sz w:val="28"/>
        </w:rPr>
        <w:t>able</w:t>
      </w:r>
      <w:r>
        <w:rPr>
          <w:spacing w:val="7"/>
          <w:sz w:val="28"/>
        </w:rPr>
        <w:t> </w:t>
      </w:r>
      <w:r>
        <w:rPr>
          <w:sz w:val="28"/>
        </w:rPr>
        <w:t>to</w:t>
      </w:r>
      <w:r>
        <w:rPr>
          <w:spacing w:val="8"/>
          <w:sz w:val="28"/>
        </w:rPr>
        <w:t> </w:t>
      </w:r>
      <w:r>
        <w:rPr>
          <w:sz w:val="28"/>
        </w:rPr>
        <w:t>take</w:t>
      </w:r>
      <w:r>
        <w:rPr>
          <w:spacing w:val="7"/>
          <w:sz w:val="28"/>
        </w:rPr>
        <w:t> </w:t>
      </w:r>
      <w:r>
        <w:rPr>
          <w:sz w:val="28"/>
        </w:rPr>
        <w:t>discovery</w:t>
      </w:r>
      <w:r>
        <w:rPr>
          <w:spacing w:val="7"/>
          <w:sz w:val="28"/>
        </w:rPr>
        <w:t> </w:t>
      </w:r>
      <w:r>
        <w:rPr>
          <w:sz w:val="28"/>
        </w:rPr>
        <w:t>depositions</w:t>
      </w:r>
      <w:r>
        <w:rPr>
          <w:spacing w:val="7"/>
          <w:sz w:val="28"/>
        </w:rPr>
        <w:t> </w:t>
      </w:r>
      <w:r>
        <w:rPr>
          <w:sz w:val="28"/>
        </w:rPr>
        <w:t>of</w:t>
      </w:r>
      <w:r>
        <w:rPr>
          <w:spacing w:val="8"/>
          <w:sz w:val="28"/>
        </w:rPr>
        <w:t> </w:t>
      </w:r>
      <w:r>
        <w:rPr>
          <w:sz w:val="28"/>
        </w:rPr>
        <w:t>prosecution</w:t>
      </w:r>
    </w:p>
    <w:p>
      <w:pPr>
        <w:pStyle w:val="BodyText"/>
        <w:spacing w:line="315" w:lineRule="exact"/>
        <w:ind w:left="121" w:right="213"/>
        <w:jc w:val="center"/>
      </w:pPr>
      <w:r>
        <w:rPr/>
        <w:t>witnesses, and prosecution witnesses need not discuss their testimony in advance</w:t>
      </w:r>
      <w:r>
        <w:rPr>
          <w:spacing w:val="16"/>
        </w:rPr>
        <w:t> </w:t>
      </w:r>
      <w:r>
        <w:rPr/>
        <w:t>with</w:t>
      </w:r>
    </w:p>
    <w:p>
      <w:pPr>
        <w:spacing w:after="0" w:line="315" w:lineRule="exact"/>
        <w:jc w:val="center"/>
        <w:sectPr>
          <w:pgSz w:w="12240" w:h="15840"/>
          <w:pgMar w:header="0" w:footer="956" w:top="1360" w:bottom="1220" w:left="1320" w:right="1220"/>
        </w:sectPr>
      </w:pPr>
    </w:p>
    <w:p>
      <w:pPr>
        <w:pStyle w:val="BodyText"/>
        <w:spacing w:line="480" w:lineRule="auto" w:before="80"/>
        <w:ind w:left="119" w:right="213"/>
        <w:jc w:val="both"/>
      </w:pPr>
      <w:r>
        <w:rPr/>
        <w:t>defense counsel, the preliminary hearing takes on added significance in the total spectrum of criminal adjudication.” </w:t>
      </w:r>
      <w:r>
        <w:rPr>
          <w:i/>
        </w:rPr>
        <w:t>Harris v. District Court</w:t>
      </w:r>
      <w:r>
        <w:rPr/>
        <w:t>, 843 P.2d 1316, 1320 (Colo. 1993). In </w:t>
      </w:r>
      <w:r>
        <w:rPr>
          <w:i/>
        </w:rPr>
        <w:t>Harris</w:t>
      </w:r>
      <w:r>
        <w:rPr/>
        <w:t>, a hearing transcript could not be recreated by the transcriber due to muffled audio recording. The Supreme Court mandated that a second hearing be conducted in order to affect the accused’s right to a fair trial and effective cross- examination, because the benefits of a hearing are useless “in the absence of an accurate and compete transcript of the essential portions of a preliminary hearing.”  </w:t>
      </w:r>
      <w:r>
        <w:rPr>
          <w:i/>
        </w:rPr>
        <w:t>Id</w:t>
      </w:r>
      <w:r>
        <w:rPr/>
        <w:t>. at</w:t>
      </w:r>
      <w:r>
        <w:rPr>
          <w:spacing w:val="-3"/>
        </w:rPr>
        <w:t> </w:t>
      </w:r>
      <w:r>
        <w:rPr/>
        <w:t>1319.</w:t>
      </w:r>
    </w:p>
    <w:p>
      <w:pPr>
        <w:pStyle w:val="Heading1"/>
      </w:pPr>
      <w:r>
        <w:rPr/>
        <w:t>The Circumstances of Indigence</w:t>
      </w:r>
    </w:p>
    <w:p>
      <w:pPr>
        <w:pStyle w:val="BodyText"/>
        <w:spacing w:before="11"/>
        <w:rPr>
          <w:b/>
          <w:sz w:val="27"/>
        </w:rPr>
      </w:pPr>
    </w:p>
    <w:p>
      <w:pPr>
        <w:pStyle w:val="ListParagraph"/>
        <w:numPr>
          <w:ilvl w:val="0"/>
          <w:numId w:val="1"/>
        </w:numPr>
        <w:tabs>
          <w:tab w:pos="1565" w:val="left" w:leader="none"/>
        </w:tabs>
        <w:spacing w:line="480" w:lineRule="auto" w:before="0" w:after="0"/>
        <w:ind w:left="125" w:right="212" w:firstLine="720"/>
        <w:jc w:val="both"/>
        <w:rPr>
          <w:sz w:val="28"/>
        </w:rPr>
      </w:pPr>
      <w:r>
        <w:rPr>
          <w:sz w:val="28"/>
        </w:rPr>
        <w:t>To establish that a defendant is indigent, they need not demonstrate complete destitution, merely the inability to retain competent counsel with current financial resources. 15 Colo. Prac., Criminal Practice &amp; Procedure § 22.8 (2</w:t>
      </w:r>
      <w:r>
        <w:rPr>
          <w:sz w:val="28"/>
          <w:vertAlign w:val="superscript"/>
        </w:rPr>
        <w:t>nd</w:t>
      </w:r>
      <w:r>
        <w:rPr>
          <w:spacing w:val="-22"/>
          <w:sz w:val="28"/>
          <w:vertAlign w:val="baseline"/>
        </w:rPr>
        <w:t> </w:t>
      </w:r>
      <w:r>
        <w:rPr>
          <w:sz w:val="28"/>
          <w:vertAlign w:val="baseline"/>
        </w:rPr>
        <w:t>ed.).</w:t>
      </w:r>
    </w:p>
    <w:p>
      <w:pPr>
        <w:pStyle w:val="ListParagraph"/>
        <w:numPr>
          <w:ilvl w:val="0"/>
          <w:numId w:val="1"/>
        </w:numPr>
        <w:tabs>
          <w:tab w:pos="1560" w:val="left" w:leader="none"/>
        </w:tabs>
        <w:spacing w:line="480" w:lineRule="auto" w:before="0" w:after="0"/>
        <w:ind w:left="119" w:right="217" w:firstLine="721"/>
        <w:jc w:val="both"/>
        <w:rPr>
          <w:sz w:val="28"/>
        </w:rPr>
      </w:pPr>
      <w:r>
        <w:rPr>
          <w:sz w:val="28"/>
        </w:rPr>
        <w:t>Mr. Nickal is currently represented by counsel, but this alone should not disqualify him from receiving a free transcript in this case. Mr. Nickal is not able to retain competent counsel with his current financial resources, at the market rate for criminal defense in the metro</w:t>
      </w:r>
      <w:r>
        <w:rPr>
          <w:spacing w:val="-5"/>
          <w:sz w:val="28"/>
        </w:rPr>
        <w:t> </w:t>
      </w:r>
      <w:r>
        <w:rPr>
          <w:sz w:val="28"/>
        </w:rPr>
        <w:t>area.</w:t>
      </w:r>
    </w:p>
    <w:p>
      <w:pPr>
        <w:pStyle w:val="ListParagraph"/>
        <w:numPr>
          <w:ilvl w:val="0"/>
          <w:numId w:val="1"/>
        </w:numPr>
        <w:tabs>
          <w:tab w:pos="1560" w:val="left" w:leader="none"/>
        </w:tabs>
        <w:spacing w:line="480" w:lineRule="auto" w:before="0" w:after="0"/>
        <w:ind w:left="119" w:right="215" w:firstLine="720"/>
        <w:jc w:val="both"/>
        <w:rPr>
          <w:sz w:val="28"/>
        </w:rPr>
      </w:pPr>
      <w:r>
        <w:rPr>
          <w:sz w:val="28"/>
        </w:rPr>
        <w:t>Mr. Mulligan has provided multiple discounts during his representation on this case; Mr. Mulligan has paid some initial expert fees without reimbursement. Ms. Longtin has agreed to work on this case at the rates that she charges for her work with</w:t>
      </w:r>
      <w:r>
        <w:rPr>
          <w:spacing w:val="44"/>
          <w:sz w:val="28"/>
        </w:rPr>
        <w:t> </w:t>
      </w:r>
      <w:r>
        <w:rPr>
          <w:sz w:val="28"/>
        </w:rPr>
        <w:t>Alternate</w:t>
      </w:r>
      <w:r>
        <w:rPr>
          <w:spacing w:val="43"/>
          <w:sz w:val="28"/>
        </w:rPr>
        <w:t> </w:t>
      </w:r>
      <w:r>
        <w:rPr>
          <w:sz w:val="28"/>
        </w:rPr>
        <w:t>Defense</w:t>
      </w:r>
      <w:r>
        <w:rPr>
          <w:spacing w:val="43"/>
          <w:sz w:val="28"/>
        </w:rPr>
        <w:t> </w:t>
      </w:r>
      <w:r>
        <w:rPr>
          <w:sz w:val="28"/>
        </w:rPr>
        <w:t>Counsel;</w:t>
      </w:r>
      <w:r>
        <w:rPr>
          <w:spacing w:val="43"/>
          <w:sz w:val="28"/>
        </w:rPr>
        <w:t> </w:t>
      </w:r>
      <w:r>
        <w:rPr>
          <w:sz w:val="28"/>
        </w:rPr>
        <w:t>the</w:t>
      </w:r>
      <w:r>
        <w:rPr>
          <w:spacing w:val="43"/>
          <w:sz w:val="28"/>
        </w:rPr>
        <w:t> </w:t>
      </w:r>
      <w:r>
        <w:rPr>
          <w:sz w:val="28"/>
        </w:rPr>
        <w:t>corresponding</w:t>
      </w:r>
      <w:r>
        <w:rPr>
          <w:spacing w:val="43"/>
          <w:sz w:val="28"/>
        </w:rPr>
        <w:t> </w:t>
      </w:r>
      <w:r>
        <w:rPr>
          <w:sz w:val="28"/>
        </w:rPr>
        <w:t>rates</w:t>
      </w:r>
      <w:r>
        <w:rPr>
          <w:spacing w:val="42"/>
          <w:sz w:val="28"/>
        </w:rPr>
        <w:t> </w:t>
      </w:r>
      <w:r>
        <w:rPr>
          <w:sz w:val="28"/>
        </w:rPr>
        <w:t>of</w:t>
      </w:r>
      <w:r>
        <w:rPr>
          <w:spacing w:val="46"/>
          <w:sz w:val="28"/>
        </w:rPr>
        <w:t> </w:t>
      </w:r>
      <w:r>
        <w:rPr>
          <w:sz w:val="28"/>
        </w:rPr>
        <w:t>other</w:t>
      </w:r>
      <w:r>
        <w:rPr>
          <w:spacing w:val="43"/>
          <w:sz w:val="28"/>
        </w:rPr>
        <w:t> </w:t>
      </w:r>
      <w:r>
        <w:rPr>
          <w:sz w:val="28"/>
        </w:rPr>
        <w:t>attorneys</w:t>
      </w:r>
      <w:r>
        <w:rPr>
          <w:spacing w:val="42"/>
          <w:sz w:val="28"/>
        </w:rPr>
        <w:t> </w:t>
      </w:r>
      <w:r>
        <w:rPr>
          <w:sz w:val="28"/>
        </w:rPr>
        <w:t>at</w:t>
      </w:r>
      <w:r>
        <w:rPr>
          <w:spacing w:val="43"/>
          <w:sz w:val="28"/>
        </w:rPr>
        <w:t> </w:t>
      </w:r>
      <w:r>
        <w:rPr>
          <w:sz w:val="28"/>
        </w:rPr>
        <w:t>her</w:t>
      </w:r>
    </w:p>
    <w:p>
      <w:pPr>
        <w:pStyle w:val="BodyText"/>
        <w:spacing w:line="315" w:lineRule="exact"/>
        <w:ind w:left="120"/>
        <w:jc w:val="both"/>
      </w:pPr>
      <w:r>
        <w:rPr/>
        <w:t>firm have been equally discounted.  Counsel is attempting to secure the assistance of</w:t>
      </w:r>
      <w:r>
        <w:rPr>
          <w:spacing w:val="-3"/>
        </w:rPr>
        <w:t> </w:t>
      </w:r>
      <w:r>
        <w:rPr/>
        <w:t>a</w:t>
      </w:r>
    </w:p>
    <w:p>
      <w:pPr>
        <w:spacing w:after="0" w:line="315" w:lineRule="exact"/>
        <w:jc w:val="both"/>
        <w:sectPr>
          <w:pgSz w:w="12240" w:h="15840"/>
          <w:pgMar w:header="0" w:footer="956" w:top="1360" w:bottom="1220" w:left="1320" w:right="1220"/>
        </w:sectPr>
      </w:pPr>
    </w:p>
    <w:p>
      <w:pPr>
        <w:pStyle w:val="BodyText"/>
        <w:spacing w:line="480" w:lineRule="auto" w:before="80"/>
        <w:ind w:left="120" w:right="216" w:hanging="1"/>
        <w:jc w:val="both"/>
      </w:pPr>
      <w:r>
        <w:rPr/>
        <w:t>paralegal intern, forensic psychologist intern, and law clerk, in order to obtain free assistance throughout this trial. Due to the complexity of this case, and the gravity of the charges, Mr. Nickal’s initial retainer has been exhausted; at this time, no further funds seem forthcoming.</w:t>
      </w:r>
    </w:p>
    <w:p>
      <w:pPr>
        <w:pStyle w:val="ListParagraph"/>
        <w:numPr>
          <w:ilvl w:val="0"/>
          <w:numId w:val="1"/>
        </w:numPr>
        <w:tabs>
          <w:tab w:pos="1562" w:val="left" w:leader="none"/>
        </w:tabs>
        <w:spacing w:line="480" w:lineRule="auto" w:before="0" w:after="0"/>
        <w:ind w:left="119" w:right="217" w:firstLine="722"/>
        <w:jc w:val="both"/>
        <w:rPr>
          <w:sz w:val="28"/>
        </w:rPr>
      </w:pPr>
      <w:r>
        <w:rPr>
          <w:sz w:val="28"/>
        </w:rPr>
        <w:t>Pursuant to Colorado Rule of Professional Conduct 6.1(b)(2), providing legal services at a reduced rate to those of limited means is still considered to be </w:t>
      </w:r>
      <w:r>
        <w:rPr>
          <w:i/>
          <w:sz w:val="28"/>
        </w:rPr>
        <w:t>pro </w:t>
      </w:r>
      <w:r>
        <w:rPr>
          <w:i/>
          <w:sz w:val="28"/>
        </w:rPr>
        <w:t>bono </w:t>
      </w:r>
      <w:r>
        <w:rPr>
          <w:sz w:val="28"/>
        </w:rPr>
        <w:t>representation under the recommended Voluntarily Pro Bono Publico Service requirement set forth by the Supreme Court. Thus, Mr. Nickal’s reduced rate legal representation is considered to be </w:t>
      </w:r>
      <w:r>
        <w:rPr>
          <w:i/>
          <w:sz w:val="28"/>
        </w:rPr>
        <w:t>pro bono </w:t>
      </w:r>
      <w:r>
        <w:rPr>
          <w:sz w:val="28"/>
        </w:rPr>
        <w:t>representation by the Colorado Supreme Court.</w:t>
      </w:r>
    </w:p>
    <w:p>
      <w:pPr>
        <w:pStyle w:val="ListParagraph"/>
        <w:numPr>
          <w:ilvl w:val="0"/>
          <w:numId w:val="1"/>
        </w:numPr>
        <w:tabs>
          <w:tab w:pos="1630" w:val="left" w:leader="none"/>
        </w:tabs>
        <w:spacing w:line="480" w:lineRule="auto" w:before="0" w:after="0"/>
        <w:ind w:left="120" w:right="216" w:firstLine="720"/>
        <w:jc w:val="both"/>
        <w:rPr>
          <w:sz w:val="28"/>
        </w:rPr>
      </w:pPr>
      <w:r>
        <w:rPr>
          <w:sz w:val="28"/>
        </w:rPr>
        <w:t>Pursuant to Chief Justice Directive 04-04(V)(D), the court may grant payment of certain expenses, (including transcript fees, investigators, experts, and court costs), even though a defendant is not represented  by  state  appointed  counsel. Under this directive, one such instance is when the defendant is represented by </w:t>
      </w:r>
      <w:r>
        <w:rPr>
          <w:i/>
          <w:sz w:val="28"/>
        </w:rPr>
        <w:t>pro bono </w:t>
      </w:r>
      <w:r>
        <w:rPr>
          <w:sz w:val="28"/>
        </w:rPr>
        <w:t>counsel, another is when a defendant becomes indigent during the course of the proceedings and it would be disruptive to the case to appoint the Public Defender. Mr. Nickal arguably falls under both such</w:t>
      </w:r>
      <w:r>
        <w:rPr>
          <w:spacing w:val="-10"/>
          <w:sz w:val="28"/>
        </w:rPr>
        <w:t> </w:t>
      </w:r>
      <w:r>
        <w:rPr>
          <w:sz w:val="28"/>
        </w:rPr>
        <w:t>categories.</w:t>
      </w:r>
    </w:p>
    <w:p>
      <w:pPr>
        <w:pStyle w:val="ListParagraph"/>
        <w:numPr>
          <w:ilvl w:val="0"/>
          <w:numId w:val="1"/>
        </w:numPr>
        <w:tabs>
          <w:tab w:pos="1560" w:val="left" w:leader="none"/>
        </w:tabs>
        <w:spacing w:line="480" w:lineRule="auto" w:before="0" w:after="0"/>
        <w:ind w:left="120" w:right="216" w:firstLine="720"/>
        <w:jc w:val="both"/>
        <w:rPr>
          <w:sz w:val="28"/>
        </w:rPr>
      </w:pPr>
      <w:r>
        <w:rPr>
          <w:sz w:val="28"/>
        </w:rPr>
        <w:t>Because both counsel are willing to remain on this case, should the Court grant Mr. Nickal the benefit of free transcripts, there are savings to the state in allowing</w:t>
      </w:r>
      <w:r>
        <w:rPr>
          <w:spacing w:val="42"/>
          <w:sz w:val="28"/>
        </w:rPr>
        <w:t> </w:t>
      </w:r>
      <w:r>
        <w:rPr>
          <w:sz w:val="28"/>
        </w:rPr>
        <w:t>Mr.</w:t>
      </w:r>
      <w:r>
        <w:rPr>
          <w:spacing w:val="41"/>
          <w:sz w:val="28"/>
        </w:rPr>
        <w:t> </w:t>
      </w:r>
      <w:r>
        <w:rPr>
          <w:sz w:val="28"/>
        </w:rPr>
        <w:t>Nickal</w:t>
      </w:r>
      <w:r>
        <w:rPr>
          <w:spacing w:val="42"/>
          <w:sz w:val="28"/>
        </w:rPr>
        <w:t> </w:t>
      </w:r>
      <w:r>
        <w:rPr>
          <w:sz w:val="28"/>
        </w:rPr>
        <w:t>to</w:t>
      </w:r>
      <w:r>
        <w:rPr>
          <w:spacing w:val="42"/>
          <w:sz w:val="28"/>
        </w:rPr>
        <w:t> </w:t>
      </w:r>
      <w:r>
        <w:rPr>
          <w:sz w:val="28"/>
        </w:rPr>
        <w:t>proceed</w:t>
      </w:r>
      <w:r>
        <w:rPr>
          <w:spacing w:val="42"/>
          <w:sz w:val="28"/>
        </w:rPr>
        <w:t> </w:t>
      </w:r>
      <w:r>
        <w:rPr>
          <w:sz w:val="28"/>
        </w:rPr>
        <w:t>with</w:t>
      </w:r>
      <w:r>
        <w:rPr>
          <w:spacing w:val="43"/>
          <w:sz w:val="28"/>
        </w:rPr>
        <w:t> </w:t>
      </w:r>
      <w:r>
        <w:rPr>
          <w:sz w:val="28"/>
        </w:rPr>
        <w:t>current</w:t>
      </w:r>
      <w:r>
        <w:rPr>
          <w:spacing w:val="41"/>
          <w:sz w:val="28"/>
        </w:rPr>
        <w:t> </w:t>
      </w:r>
      <w:r>
        <w:rPr>
          <w:sz w:val="28"/>
        </w:rPr>
        <w:t>counsel,</w:t>
      </w:r>
      <w:r>
        <w:rPr>
          <w:spacing w:val="42"/>
          <w:sz w:val="28"/>
        </w:rPr>
        <w:t> </w:t>
      </w:r>
      <w:r>
        <w:rPr>
          <w:sz w:val="28"/>
        </w:rPr>
        <w:t>as</w:t>
      </w:r>
      <w:r>
        <w:rPr>
          <w:spacing w:val="42"/>
          <w:sz w:val="28"/>
        </w:rPr>
        <w:t> </w:t>
      </w:r>
      <w:r>
        <w:rPr>
          <w:sz w:val="28"/>
        </w:rPr>
        <w:t>the</w:t>
      </w:r>
      <w:r>
        <w:rPr>
          <w:spacing w:val="43"/>
          <w:sz w:val="28"/>
        </w:rPr>
        <w:t> </w:t>
      </w:r>
      <w:r>
        <w:rPr>
          <w:sz w:val="28"/>
        </w:rPr>
        <w:t>state</w:t>
      </w:r>
      <w:r>
        <w:rPr>
          <w:spacing w:val="41"/>
          <w:sz w:val="28"/>
        </w:rPr>
        <w:t> </w:t>
      </w:r>
      <w:r>
        <w:rPr>
          <w:sz w:val="28"/>
        </w:rPr>
        <w:t>will</w:t>
      </w:r>
      <w:r>
        <w:rPr>
          <w:spacing w:val="43"/>
          <w:sz w:val="28"/>
        </w:rPr>
        <w:t> </w:t>
      </w:r>
      <w:r>
        <w:rPr>
          <w:sz w:val="28"/>
        </w:rPr>
        <w:t>not</w:t>
      </w:r>
      <w:r>
        <w:rPr>
          <w:spacing w:val="41"/>
          <w:sz w:val="28"/>
        </w:rPr>
        <w:t> </w:t>
      </w:r>
      <w:r>
        <w:rPr>
          <w:sz w:val="28"/>
        </w:rPr>
        <w:t>have</w:t>
      </w:r>
      <w:r>
        <w:rPr>
          <w:spacing w:val="41"/>
          <w:sz w:val="28"/>
        </w:rPr>
        <w:t> </w:t>
      </w:r>
      <w:r>
        <w:rPr>
          <w:sz w:val="28"/>
        </w:rPr>
        <w:t>to</w:t>
      </w:r>
    </w:p>
    <w:p>
      <w:pPr>
        <w:pStyle w:val="BodyText"/>
        <w:ind w:left="122"/>
        <w:jc w:val="both"/>
      </w:pPr>
      <w:r>
        <w:rPr/>
        <w:t>incur both the cost of free transcripts, and representation by the Office of the Public</w:t>
      </w:r>
    </w:p>
    <w:p>
      <w:pPr>
        <w:spacing w:after="0"/>
        <w:jc w:val="both"/>
        <w:sectPr>
          <w:pgSz w:w="12240" w:h="15840"/>
          <w:pgMar w:header="0" w:footer="956" w:top="1360" w:bottom="1220" w:left="1320" w:right="1220"/>
        </w:sectPr>
      </w:pPr>
    </w:p>
    <w:p>
      <w:pPr>
        <w:pStyle w:val="BodyText"/>
        <w:spacing w:before="80"/>
        <w:ind w:left="120"/>
      </w:pPr>
      <w:r>
        <w:rPr/>
        <w:t>Defender.</w:t>
      </w:r>
    </w:p>
    <w:p>
      <w:pPr>
        <w:pStyle w:val="BodyText"/>
        <w:rPr>
          <w:sz w:val="30"/>
        </w:rPr>
      </w:pPr>
    </w:p>
    <w:p>
      <w:pPr>
        <w:pStyle w:val="BodyText"/>
        <w:rPr>
          <w:sz w:val="30"/>
        </w:rPr>
      </w:pPr>
    </w:p>
    <w:p>
      <w:pPr>
        <w:pStyle w:val="BodyText"/>
        <w:spacing w:line="480" w:lineRule="auto" w:before="269"/>
        <w:ind w:left="120" w:right="3" w:firstLine="719"/>
      </w:pPr>
      <w:r>
        <w:rPr/>
        <w:t>WHEREFORE undersigned counsel respectfully requests this Court authorize the preparation of transcripts as necessary from hearings conducted in this matter.</w:t>
      </w:r>
    </w:p>
    <w:p>
      <w:pPr>
        <w:pStyle w:val="BodyText"/>
        <w:spacing w:line="720" w:lineRule="auto"/>
        <w:ind w:left="120" w:right="6990"/>
      </w:pPr>
      <w:r>
        <w:rPr/>
        <w:t>Dated: July 27, 2017 Respectfully Submitted,</w:t>
      </w:r>
    </w:p>
    <w:p>
      <w:pPr>
        <w:pStyle w:val="BodyText"/>
        <w:ind w:left="113"/>
        <w:rPr>
          <w:sz w:val="20"/>
        </w:rPr>
      </w:pPr>
      <w:r>
        <w:rPr>
          <w:sz w:val="20"/>
        </w:rPr>
        <w:pict>
          <v:group style="width:230.9pt;height:47.15pt;mso-position-horizontal-relative:char;mso-position-vertical-relative:line" coordorigin="0,0" coordsize="4618,943">
            <v:shape style="position:absolute;left:2;top:0;width:3351;height:943" type="#_x0000_t75" stroked="false">
              <v:imagedata r:id="rId8" o:title=""/>
            </v:shape>
            <v:line style="position:absolute" from="0,892" to="4618,892" stroked="true" strokeweight=".699pt" strokecolor="#000000">
              <v:stroke dashstyle="solid"/>
            </v:line>
          </v:group>
        </w:pict>
      </w:r>
      <w:r>
        <w:rPr>
          <w:sz w:val="20"/>
        </w:rPr>
      </w:r>
    </w:p>
    <w:p>
      <w:pPr>
        <w:pStyle w:val="BodyText"/>
        <w:spacing w:line="265" w:lineRule="exact"/>
        <w:ind w:left="120"/>
      </w:pPr>
      <w:r>
        <w:rPr/>
        <w:t>Jennifer E. Longtin, Esq., #43509</w:t>
      </w:r>
    </w:p>
    <w:p>
      <w:pPr>
        <w:pStyle w:val="BodyText"/>
        <w:spacing w:line="315" w:lineRule="exact"/>
        <w:ind w:left="120"/>
      </w:pPr>
      <w:r>
        <w:rPr/>
        <w:t>The Law Office of Jennifer E. Longtin, LLC</w:t>
      </w:r>
    </w:p>
    <w:p>
      <w:pPr>
        <w:pStyle w:val="BodyText"/>
        <w:rPr>
          <w:sz w:val="30"/>
        </w:rPr>
      </w:pPr>
    </w:p>
    <w:p>
      <w:pPr>
        <w:pStyle w:val="BodyText"/>
        <w:rPr>
          <w:sz w:val="30"/>
        </w:rPr>
      </w:pPr>
    </w:p>
    <w:p>
      <w:pPr>
        <w:pStyle w:val="BodyText"/>
        <w:rPr>
          <w:sz w:val="30"/>
        </w:rPr>
      </w:pPr>
    </w:p>
    <w:p>
      <w:pPr>
        <w:pStyle w:val="BodyText"/>
        <w:rPr>
          <w:sz w:val="30"/>
        </w:rPr>
      </w:pPr>
    </w:p>
    <w:p>
      <w:pPr>
        <w:pStyle w:val="BodyText"/>
        <w:spacing w:before="225"/>
        <w:ind w:left="120"/>
      </w:pPr>
      <w:r>
        <w:rPr/>
        <w:t>/s/ Patrick Mulligan</w:t>
      </w:r>
    </w:p>
    <w:p>
      <w:pPr>
        <w:pStyle w:val="BodyText"/>
        <w:spacing w:before="10"/>
        <w:rPr>
          <w:sz w:val="19"/>
        </w:rPr>
      </w:pPr>
      <w:r>
        <w:rPr/>
        <w:pict>
          <v:line style="position:absolute;mso-position-horizontal-relative:page;mso-position-vertical-relative:paragraph;z-index:-1000;mso-wrap-distance-left:0;mso-wrap-distance-right:0" from="72.027962pt,13.48766pt" to="302.921653pt,13.48766pt" stroked="true" strokeweight=".699pt" strokecolor="#000000">
            <v:stroke dashstyle="solid"/>
            <w10:wrap type="topAndBottom"/>
          </v:line>
        </w:pict>
      </w:r>
    </w:p>
    <w:p>
      <w:pPr>
        <w:pStyle w:val="BodyText"/>
        <w:spacing w:before="9"/>
        <w:ind w:left="120"/>
      </w:pPr>
      <w:r>
        <w:rPr/>
        <w:t>Patrick Mulligan, Esq. #</w:t>
      </w:r>
    </w:p>
    <w:p>
      <w:pPr>
        <w:pStyle w:val="BodyText"/>
        <w:rPr>
          <w:sz w:val="30"/>
        </w:rPr>
      </w:pPr>
    </w:p>
    <w:p>
      <w:pPr>
        <w:pStyle w:val="BodyText"/>
        <w:rPr>
          <w:sz w:val="30"/>
        </w:rPr>
      </w:pPr>
    </w:p>
    <w:p>
      <w:pPr>
        <w:pStyle w:val="BodyText"/>
        <w:rPr>
          <w:sz w:val="30"/>
        </w:rPr>
      </w:pPr>
    </w:p>
    <w:p>
      <w:pPr>
        <w:pStyle w:val="Heading1"/>
        <w:spacing w:line="240" w:lineRule="auto" w:before="249"/>
        <w:ind w:left="3579"/>
      </w:pPr>
      <w:bookmarkStart w:name="UCertificate of Service" w:id="1"/>
      <w:bookmarkEnd w:id="1"/>
      <w:r>
        <w:rPr>
          <w:b w:val="0"/>
        </w:rPr>
      </w:r>
      <w:r>
        <w:rPr>
          <w:u w:val="single"/>
        </w:rPr>
        <w:t>Certificate of Service</w:t>
      </w:r>
    </w:p>
    <w:p>
      <w:pPr>
        <w:pStyle w:val="BodyText"/>
        <w:spacing w:before="8"/>
        <w:rPr>
          <w:b/>
          <w:sz w:val="24"/>
        </w:rPr>
      </w:pPr>
    </w:p>
    <w:p>
      <w:pPr>
        <w:pStyle w:val="BodyText"/>
        <w:spacing w:before="1"/>
        <w:ind w:left="120" w:right="555" w:firstLine="719"/>
      </w:pPr>
      <w:r>
        <w:rPr/>
        <w:t>The undersigned does hereby certify that on July 27, 2017 s/he did serve the foregoing MOTION via U.S. Mail to opposing counsel.</w:t>
      </w:r>
    </w:p>
    <w:p>
      <w:pPr>
        <w:pStyle w:val="BodyText"/>
        <w:spacing w:before="8"/>
        <w:rPr>
          <w:sz w:val="21"/>
        </w:rPr>
      </w:pPr>
      <w:r>
        <w:rPr/>
        <w:drawing>
          <wp:anchor distT="0" distB="0" distL="0" distR="0" allowOverlap="1" layoutInCell="1" locked="0" behindDoc="0" simplePos="0" relativeHeight="2">
            <wp:simplePos x="0" y="0"/>
            <wp:positionH relativeFrom="page">
              <wp:posOffset>916470</wp:posOffset>
            </wp:positionH>
            <wp:positionV relativeFrom="paragraph">
              <wp:posOffset>180134</wp:posOffset>
            </wp:positionV>
            <wp:extent cx="2195174" cy="544734"/>
            <wp:effectExtent l="0" t="0" r="0" b="0"/>
            <wp:wrapTopAndBottom/>
            <wp:docPr id="1" name="image2.jpeg" descr=""/>
            <wp:cNvGraphicFramePr>
              <a:graphicFrameLocks noChangeAspect="1"/>
            </wp:cNvGraphicFramePr>
            <a:graphic>
              <a:graphicData uri="http://schemas.openxmlformats.org/drawingml/2006/picture">
                <pic:pic>
                  <pic:nvPicPr>
                    <pic:cNvPr id="2" name="image2.jpeg"/>
                    <pic:cNvPicPr/>
                  </pic:nvPicPr>
                  <pic:blipFill>
                    <a:blip r:embed="rId9" cstate="print"/>
                    <a:stretch>
                      <a:fillRect/>
                    </a:stretch>
                  </pic:blipFill>
                  <pic:spPr>
                    <a:xfrm>
                      <a:off x="0" y="0"/>
                      <a:ext cx="2195174" cy="544734"/>
                    </a:xfrm>
                    <a:prstGeom prst="rect">
                      <a:avLst/>
                    </a:prstGeom>
                  </pic:spPr>
                </pic:pic>
              </a:graphicData>
            </a:graphic>
          </wp:anchor>
        </w:drawing>
      </w:r>
      <w:r>
        <w:rPr/>
        <w:pict>
          <v:line style="position:absolute;mso-position-horizontal-relative:page;mso-position-vertical-relative:paragraph;z-index:-952;mso-wrap-distance-left:0;mso-wrap-distance-right:0" from="72.001503pt,71.010895pt" to="239.957229pt,71.010895pt" stroked="true" strokeweight=".699pt" strokecolor="#000000">
            <v:stroke dashstyle="solid"/>
            <w10:wrap type="topAndBottom"/>
          </v:line>
        </w:pict>
      </w:r>
    </w:p>
    <w:p>
      <w:pPr>
        <w:pStyle w:val="BodyText"/>
        <w:spacing w:before="1"/>
        <w:rPr>
          <w:sz w:val="18"/>
        </w:rPr>
      </w:pPr>
    </w:p>
    <w:p>
      <w:pPr>
        <w:spacing w:after="0"/>
        <w:rPr>
          <w:sz w:val="18"/>
        </w:rPr>
        <w:sectPr>
          <w:pgSz w:w="12240" w:h="15840"/>
          <w:pgMar w:header="0" w:footer="956" w:top="1360" w:bottom="1220" w:left="1320" w:right="1220"/>
        </w:sectPr>
      </w:pPr>
    </w:p>
    <w:p>
      <w:pPr>
        <w:pStyle w:val="BodyText"/>
        <w:spacing w:before="4"/>
        <w:rPr>
          <w:rFonts w:ascii="Times New Roman"/>
          <w:sz w:val="17"/>
        </w:rPr>
      </w:pPr>
    </w:p>
    <w:sectPr>
      <w:pgSz w:w="12240" w:h="15840"/>
      <w:pgMar w:header="0" w:footer="956" w:top="1500" w:bottom="1140" w:left="13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Garamond">
    <w:altName w:val="Garamond"/>
    <w:charset w:val="0"/>
    <w:family w:val="roman"/>
    <w:pitch w:val="variable"/>
  </w:font>
  <w:font w:name="PMingLiU-ExtB">
    <w:altName w:val="PMingLiU-ExtB"/>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7"/>
      </w:rPr>
    </w:pPr>
    <w:r>
      <w:rPr/>
      <w:pict>
        <v:shapetype id="_x0000_t202" o:spt="202" coordsize="21600,21600" path="m,l,21600r21600,l21600,xe">
          <v:stroke joinstyle="miter"/>
          <v:path gradientshapeok="t" o:connecttype="rect"/>
        </v:shapetype>
        <v:shape style="position:absolute;margin-left:301.420013pt;margin-top:729.217285pt;width:9.15pt;height:14.4pt;mso-position-horizontal-relative:page;mso-position-vertical-relative:page;z-index:-5176" type="#_x0000_t202" filled="false" stroked="false">
          <v:textbox inset="0,0,0,0">
            <w:txbxContent>
              <w:p>
                <w:pPr>
                  <w:spacing w:before="19"/>
                  <w:ind w:left="40" w:right="0" w:firstLine="0"/>
                  <w:jc w:val="left"/>
                  <w:rPr>
                    <w:sz w:val="22"/>
                  </w:rPr>
                </w:pPr>
                <w:r>
                  <w:rPr/>
                  <w:fldChar w:fldCharType="begin"/>
                </w:r>
                <w:r>
                  <w:rPr>
                    <w:w w:val="99"/>
                    <w:sz w:val="22"/>
                  </w:rPr>
                  <w:instrText> PAGE </w:instrText>
                </w:r>
                <w:r>
                  <w:rPr/>
                  <w:fldChar w:fldCharType="separate"/>
                </w:r>
                <w:r>
                  <w:rPr/>
                  <w:t>6</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59" w:hanging="720"/>
        <w:jc w:val="left"/>
      </w:pPr>
      <w:rPr>
        <w:rFonts w:hint="default" w:ascii="Garamond" w:hAnsi="Garamond" w:eastAsia="Garamond" w:cs="Garamond"/>
        <w:spacing w:val="-1"/>
        <w:w w:val="99"/>
        <w:sz w:val="28"/>
        <w:szCs w:val="28"/>
      </w:rPr>
    </w:lvl>
    <w:lvl w:ilvl="1">
      <w:start w:val="0"/>
      <w:numFmt w:val="bullet"/>
      <w:lvlText w:val="•"/>
      <w:lvlJc w:val="left"/>
      <w:pPr>
        <w:ind w:left="2374" w:hanging="720"/>
      </w:pPr>
      <w:rPr>
        <w:rFonts w:hint="default"/>
      </w:rPr>
    </w:lvl>
    <w:lvl w:ilvl="2">
      <w:start w:val="0"/>
      <w:numFmt w:val="bullet"/>
      <w:lvlText w:val="•"/>
      <w:lvlJc w:val="left"/>
      <w:pPr>
        <w:ind w:left="3188" w:hanging="720"/>
      </w:pPr>
      <w:rPr>
        <w:rFonts w:hint="default"/>
      </w:rPr>
    </w:lvl>
    <w:lvl w:ilvl="3">
      <w:start w:val="0"/>
      <w:numFmt w:val="bullet"/>
      <w:lvlText w:val="•"/>
      <w:lvlJc w:val="left"/>
      <w:pPr>
        <w:ind w:left="4002" w:hanging="720"/>
      </w:pPr>
      <w:rPr>
        <w:rFonts w:hint="default"/>
      </w:rPr>
    </w:lvl>
    <w:lvl w:ilvl="4">
      <w:start w:val="0"/>
      <w:numFmt w:val="bullet"/>
      <w:lvlText w:val="•"/>
      <w:lvlJc w:val="left"/>
      <w:pPr>
        <w:ind w:left="4816" w:hanging="720"/>
      </w:pPr>
      <w:rPr>
        <w:rFonts w:hint="default"/>
      </w:rPr>
    </w:lvl>
    <w:lvl w:ilvl="5">
      <w:start w:val="0"/>
      <w:numFmt w:val="bullet"/>
      <w:lvlText w:val="•"/>
      <w:lvlJc w:val="left"/>
      <w:pPr>
        <w:ind w:left="5630" w:hanging="720"/>
      </w:pPr>
      <w:rPr>
        <w:rFonts w:hint="default"/>
      </w:rPr>
    </w:lvl>
    <w:lvl w:ilvl="6">
      <w:start w:val="0"/>
      <w:numFmt w:val="bullet"/>
      <w:lvlText w:val="•"/>
      <w:lvlJc w:val="left"/>
      <w:pPr>
        <w:ind w:left="6444" w:hanging="720"/>
      </w:pPr>
      <w:rPr>
        <w:rFonts w:hint="default"/>
      </w:rPr>
    </w:lvl>
    <w:lvl w:ilvl="7">
      <w:start w:val="0"/>
      <w:numFmt w:val="bullet"/>
      <w:lvlText w:val="•"/>
      <w:lvlJc w:val="left"/>
      <w:pPr>
        <w:ind w:left="7258" w:hanging="720"/>
      </w:pPr>
      <w:rPr>
        <w:rFonts w:hint="default"/>
      </w:rPr>
    </w:lvl>
    <w:lvl w:ilvl="8">
      <w:start w:val="0"/>
      <w:numFmt w:val="bullet"/>
      <w:lvlText w:val="•"/>
      <w:lvlJc w:val="left"/>
      <w:pPr>
        <w:ind w:left="8072" w:hanging="72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Garamond" w:hAnsi="Garamond" w:eastAsia="Garamond" w:cs="Garamond"/>
    </w:rPr>
  </w:style>
  <w:style w:styleId="BodyText" w:type="paragraph">
    <w:name w:val="Body Text"/>
    <w:basedOn w:val="Normal"/>
    <w:uiPriority w:val="1"/>
    <w:qFormat/>
    <w:pPr/>
    <w:rPr>
      <w:rFonts w:ascii="Garamond" w:hAnsi="Garamond" w:eastAsia="Garamond" w:cs="Garamond"/>
      <w:sz w:val="28"/>
      <w:szCs w:val="28"/>
    </w:rPr>
  </w:style>
  <w:style w:styleId="Heading1" w:type="paragraph">
    <w:name w:val="Heading 1"/>
    <w:basedOn w:val="Normal"/>
    <w:uiPriority w:val="1"/>
    <w:qFormat/>
    <w:pPr>
      <w:spacing w:line="315" w:lineRule="exact"/>
      <w:ind w:left="2867"/>
      <w:outlineLvl w:val="1"/>
    </w:pPr>
    <w:rPr>
      <w:rFonts w:ascii="Garamond" w:hAnsi="Garamond" w:eastAsia="Garamond" w:cs="Garamond"/>
      <w:b/>
      <w:bCs/>
      <w:sz w:val="28"/>
      <w:szCs w:val="28"/>
    </w:rPr>
  </w:style>
  <w:style w:styleId="ListParagraph" w:type="paragraph">
    <w:name w:val="List Paragraph"/>
    <w:basedOn w:val="Normal"/>
    <w:uiPriority w:val="1"/>
    <w:qFormat/>
    <w:pPr>
      <w:ind w:left="119" w:right="216" w:firstLine="720"/>
      <w:jc w:val="both"/>
    </w:pPr>
    <w:rPr>
      <w:rFonts w:ascii="Garamond" w:hAnsi="Garamond" w:eastAsia="Garamond" w:cs="Garamond"/>
    </w:rPr>
  </w:style>
  <w:style w:styleId="TableParagraph" w:type="paragraph">
    <w:name w:val="Table Paragraph"/>
    <w:basedOn w:val="Normal"/>
    <w:uiPriority w:val="1"/>
    <w:qFormat/>
    <w:pPr/>
    <w:rPr>
      <w:rFonts w:ascii="Garamond" w:hAnsi="Garamond" w:eastAsia="Garamond" w:cs="Garamond"/>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hyperlink" Target="mailto:Patrick@MulliganBriet.com" TargetMode="External"/><Relationship Id="rId7" Type="http://schemas.openxmlformats.org/officeDocument/2006/relationships/hyperlink" Target="mailto:Jen@jlongtinlaw.com" TargetMode="Externa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2019-03-20T18:34:35Z</dcterms:created>
  <dcterms:modified xsi:type="dcterms:W3CDTF">2019-03-20T18:34:35Z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2017-10-27T00:00:00Z</vt:filetime>
  </property>
  <property fmtid="{D5CDD505-2E9C-101B-9397-08002B2CF9AE}" pid="3" name="LastSaved">
    <vt:filetime>2019-03-20T00:00:00Z</vt:filetime>
  </property>
</Properties>
</file>