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60"/>
        <w:gridCol w:w="3420"/>
      </w:tblGrid>
      <w:tr>
        <w:trPr>
          <w:trHeight w:val="811" w:hRule="atLeast"/>
        </w:trPr>
        <w:tc>
          <w:tcPr>
            <w:tcW w:w="5960" w:type="dxa"/>
          </w:tcPr>
          <w:p>
            <w:pPr>
              <w:pStyle w:val="TableParagraph"/>
              <w:spacing w:before="1"/>
              <w:ind w:left="107" w:right="1771"/>
              <w:rPr>
                <w:sz w:val="24"/>
              </w:rPr>
            </w:pPr>
            <w:r>
              <w:rPr>
                <w:sz w:val="24"/>
              </w:rPr>
              <w:t>District Court, Arapahoe County, Colorado Arapahoe County Courthouse</w:t>
            </w:r>
          </w:p>
          <w:p>
            <w:pPr>
              <w:pStyle w:val="TableParagraph"/>
              <w:tabs>
                <w:tab w:pos="5418" w:val="left" w:leader="none"/>
              </w:tabs>
              <w:spacing w:line="249" w:lineRule="exact" w:before="1"/>
              <w:ind w:left="107" w:right="-15"/>
              <w:rPr>
                <w:rFonts w:ascii="Times New Roman"/>
                <w:sz w:val="20"/>
              </w:rPr>
            </w:pPr>
            <w:r>
              <w:rPr>
                <w:sz w:val="24"/>
              </w:rPr>
              <w:t>7325 S. Potomac St., Englewood,</w:t>
            </w:r>
            <w:r>
              <w:rPr>
                <w:spacing w:val="-7"/>
                <w:sz w:val="24"/>
              </w:rPr>
              <w:t> </w:t>
            </w:r>
            <w:r>
              <w:rPr>
                <w:sz w:val="24"/>
              </w:rPr>
              <w:t>CO</w:t>
            </w:r>
            <w:r>
              <w:rPr>
                <w:spacing w:val="-3"/>
                <w:sz w:val="24"/>
              </w:rPr>
              <w:t> </w:t>
            </w:r>
            <w:r>
              <w:rPr>
                <w:sz w:val="24"/>
              </w:rPr>
              <w:t>80112</w:t>
              <w:tab/>
            </w:r>
            <w:r>
              <w:rPr>
                <w:rFonts w:ascii="Times New Roman"/>
                <w:color w:val="0000FF"/>
                <w:position w:val="-6"/>
                <w:sz w:val="20"/>
              </w:rPr>
              <w:t>DATE</w:t>
            </w:r>
          </w:p>
        </w:tc>
        <w:tc>
          <w:tcPr>
            <w:tcW w:w="3420" w:type="dxa"/>
            <w:vMerge w:val="restart"/>
          </w:tcPr>
          <w:p>
            <w:pPr>
              <w:pStyle w:val="TableParagraph"/>
              <w:rPr>
                <w:rFonts w:ascii="Times New Roman"/>
                <w:sz w:val="22"/>
              </w:rPr>
            </w:pPr>
          </w:p>
          <w:p>
            <w:pPr>
              <w:pStyle w:val="TableParagraph"/>
              <w:rPr>
                <w:rFonts w:ascii="Times New Roman"/>
                <w:sz w:val="22"/>
              </w:rPr>
            </w:pPr>
          </w:p>
          <w:p>
            <w:pPr>
              <w:pStyle w:val="TableParagraph"/>
              <w:spacing w:line="225" w:lineRule="auto" w:before="132"/>
              <w:ind w:left="-167" w:right="77" w:firstLine="242"/>
              <w:rPr>
                <w:rFonts w:ascii="Times New Roman"/>
                <w:sz w:val="20"/>
              </w:rPr>
            </w:pPr>
            <w:r>
              <w:rPr>
                <w:rFonts w:ascii="Times New Roman"/>
                <w:color w:val="0000FF"/>
                <w:sz w:val="20"/>
              </w:rPr>
              <w:t>FILED: December 28, 2017 4:37 PM NG ID: E415466B950A1</w:t>
            </w:r>
          </w:p>
          <w:p>
            <w:pPr>
              <w:pStyle w:val="TableParagraph"/>
              <w:spacing w:line="218" w:lineRule="exact"/>
              <w:ind w:left="53"/>
              <w:rPr>
                <w:rFonts w:ascii="Times New Roman"/>
                <w:sz w:val="20"/>
              </w:rPr>
            </w:pPr>
            <w:r>
              <w:rPr>
                <w:rFonts w:ascii="Times New Roman"/>
                <w:color w:val="0000FF"/>
                <w:sz w:val="20"/>
              </w:rPr>
              <w:t>NUMBER: 2017CR988</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31"/>
              </w:rPr>
            </w:pPr>
          </w:p>
          <w:p>
            <w:pPr>
              <w:pStyle w:val="TableParagraph"/>
              <w:spacing w:line="283" w:lineRule="exact" w:before="1"/>
              <w:ind w:left="482"/>
              <w:rPr>
                <w:rFonts w:ascii="Symbol" w:hAnsi="Symbol"/>
                <w:sz w:val="24"/>
              </w:rPr>
            </w:pPr>
            <w:r>
              <w:rPr>
                <w:rFonts w:ascii="Symbol" w:hAnsi="Symbol"/>
                <w:sz w:val="24"/>
              </w:rPr>
              <w:t></w:t>
            </w:r>
            <w:r>
              <w:rPr>
                <w:rFonts w:ascii="Times New Roman" w:hAnsi="Times New Roman"/>
                <w:sz w:val="24"/>
              </w:rPr>
              <w:t> </w:t>
            </w:r>
            <w:r>
              <w:rPr>
                <w:sz w:val="24"/>
              </w:rPr>
              <w:t>COURT USE ONLY </w:t>
            </w:r>
            <w:r>
              <w:rPr>
                <w:rFonts w:ascii="Symbol" w:hAnsi="Symbol"/>
                <w:sz w:val="24"/>
              </w:rPr>
              <w:t></w:t>
            </w:r>
          </w:p>
        </w:tc>
      </w:tr>
      <w:tr>
        <w:trPr>
          <w:trHeight w:val="1888" w:hRule="atLeast"/>
        </w:trPr>
        <w:tc>
          <w:tcPr>
            <w:tcW w:w="5960" w:type="dxa"/>
          </w:tcPr>
          <w:p>
            <w:pPr>
              <w:pStyle w:val="TableParagraph"/>
              <w:spacing w:line="254" w:lineRule="exact" w:before="2"/>
              <w:ind w:left="107"/>
              <w:rPr>
                <w:rFonts w:ascii="Times New Roman"/>
                <w:sz w:val="20"/>
              </w:rPr>
            </w:pPr>
            <w:r>
              <w:rPr>
                <w:b/>
                <w:sz w:val="24"/>
              </w:rPr>
              <w:t>THE PEOPLE OF THE STATE OF COLORADO</w:t>
            </w:r>
            <w:r>
              <w:rPr>
                <w:sz w:val="24"/>
              </w:rPr>
              <w:t>,</w:t>
            </w:r>
            <w:r>
              <w:rPr>
                <w:rFonts w:ascii="Times New Roman"/>
                <w:color w:val="0000FF"/>
                <w:sz w:val="20"/>
              </w:rPr>
              <w:t>FILI</w:t>
            </w:r>
          </w:p>
          <w:p>
            <w:pPr>
              <w:pStyle w:val="TableParagraph"/>
              <w:tabs>
                <w:tab w:pos="5418" w:val="left" w:leader="none"/>
              </w:tabs>
              <w:spacing w:line="284" w:lineRule="exact"/>
              <w:ind w:left="107"/>
              <w:rPr>
                <w:rFonts w:ascii="Times New Roman"/>
                <w:sz w:val="20"/>
              </w:rPr>
            </w:pPr>
            <w:r>
              <w:rPr>
                <w:sz w:val="24"/>
              </w:rPr>
              <w:t>Plaintiff</w:t>
              <w:tab/>
            </w:r>
            <w:r>
              <w:rPr>
                <w:rFonts w:ascii="Times New Roman"/>
                <w:color w:val="0000FF"/>
                <w:position w:val="5"/>
                <w:sz w:val="20"/>
              </w:rPr>
              <w:t>CASE</w:t>
            </w:r>
          </w:p>
          <w:p>
            <w:pPr>
              <w:pStyle w:val="TableParagraph"/>
              <w:spacing w:before="5"/>
              <w:rPr>
                <w:rFonts w:ascii="Times New Roman"/>
                <w:sz w:val="23"/>
              </w:rPr>
            </w:pPr>
          </w:p>
          <w:p>
            <w:pPr>
              <w:pStyle w:val="TableParagraph"/>
              <w:ind w:left="107"/>
              <w:rPr>
                <w:sz w:val="24"/>
              </w:rPr>
            </w:pPr>
            <w:r>
              <w:rPr>
                <w:sz w:val="24"/>
              </w:rPr>
              <w:t>v.</w:t>
            </w:r>
          </w:p>
          <w:p>
            <w:pPr>
              <w:pStyle w:val="TableParagraph"/>
              <w:spacing w:before="6"/>
              <w:rPr>
                <w:rFonts w:ascii="Times New Roman"/>
                <w:sz w:val="23"/>
              </w:rPr>
            </w:pPr>
          </w:p>
          <w:p>
            <w:pPr>
              <w:pStyle w:val="TableParagraph"/>
              <w:spacing w:line="269" w:lineRule="exact"/>
              <w:ind w:left="107"/>
              <w:rPr>
                <w:sz w:val="24"/>
              </w:rPr>
            </w:pPr>
            <w:r>
              <w:rPr>
                <w:b/>
                <w:sz w:val="24"/>
              </w:rPr>
              <w:t>ANGELA INGA</w:t>
            </w:r>
            <w:r>
              <w:rPr>
                <w:sz w:val="24"/>
              </w:rPr>
              <w:t>,</w:t>
            </w:r>
          </w:p>
          <w:p>
            <w:pPr>
              <w:pStyle w:val="TableParagraph"/>
              <w:spacing w:line="248" w:lineRule="exact"/>
              <w:ind w:left="107"/>
              <w:rPr>
                <w:sz w:val="24"/>
              </w:rPr>
            </w:pPr>
            <w:r>
              <w:rPr>
                <w:sz w:val="24"/>
              </w:rPr>
              <w:t>Defendant.</w:t>
            </w:r>
          </w:p>
        </w:tc>
        <w:tc>
          <w:tcPr>
            <w:tcW w:w="3420" w:type="dxa"/>
            <w:vMerge/>
            <w:tcBorders>
              <w:top w:val="nil"/>
            </w:tcBorders>
          </w:tcPr>
          <w:p>
            <w:pPr>
              <w:rPr>
                <w:sz w:val="2"/>
                <w:szCs w:val="2"/>
              </w:rPr>
            </w:pPr>
          </w:p>
        </w:tc>
      </w:tr>
      <w:tr>
        <w:trPr>
          <w:trHeight w:val="2431" w:hRule="atLeast"/>
        </w:trPr>
        <w:tc>
          <w:tcPr>
            <w:tcW w:w="5960" w:type="dxa"/>
          </w:tcPr>
          <w:p>
            <w:pPr>
              <w:pStyle w:val="TableParagraph"/>
              <w:spacing w:before="1"/>
              <w:ind w:left="107" w:right="2010"/>
              <w:rPr>
                <w:sz w:val="24"/>
              </w:rPr>
            </w:pPr>
            <w:r>
              <w:rPr>
                <w:sz w:val="24"/>
              </w:rPr>
              <w:t>Sara S. Hildebrand, Att’y Reg. No. 45268 Deputy State Public Defender</w:t>
            </w:r>
          </w:p>
          <w:p>
            <w:pPr>
              <w:pStyle w:val="TableParagraph"/>
              <w:ind w:left="107" w:right="958"/>
              <w:rPr>
                <w:sz w:val="24"/>
              </w:rPr>
            </w:pPr>
            <w:r>
              <w:rPr>
                <w:sz w:val="24"/>
              </w:rPr>
              <w:t>Douglas K. Wilson, Colorado State Public Defender Arapahoe County Public Defenders</w:t>
            </w:r>
          </w:p>
          <w:p>
            <w:pPr>
              <w:pStyle w:val="TableParagraph"/>
              <w:spacing w:before="1"/>
              <w:ind w:left="107" w:right="2683"/>
              <w:rPr>
                <w:sz w:val="24"/>
              </w:rPr>
            </w:pPr>
            <w:r>
              <w:rPr>
                <w:sz w:val="24"/>
              </w:rPr>
              <w:t>12350 E. Arapahoe Road, Suite A Centennial, CO</w:t>
            </w:r>
            <w:r>
              <w:rPr>
                <w:spacing w:val="58"/>
                <w:sz w:val="24"/>
              </w:rPr>
              <w:t> </w:t>
            </w:r>
            <w:r>
              <w:rPr>
                <w:sz w:val="24"/>
              </w:rPr>
              <w:t>80112</w:t>
            </w:r>
          </w:p>
          <w:p>
            <w:pPr>
              <w:pStyle w:val="TableParagraph"/>
              <w:ind w:left="107"/>
              <w:rPr>
                <w:sz w:val="24"/>
              </w:rPr>
            </w:pPr>
            <w:r>
              <w:rPr>
                <w:sz w:val="24"/>
              </w:rPr>
              <w:t>Phone (303)</w:t>
            </w:r>
            <w:r>
              <w:rPr>
                <w:spacing w:val="-6"/>
                <w:sz w:val="24"/>
              </w:rPr>
              <w:t> </w:t>
            </w:r>
            <w:r>
              <w:rPr>
                <w:sz w:val="24"/>
              </w:rPr>
              <w:t>799-9001</w:t>
            </w:r>
          </w:p>
          <w:p>
            <w:pPr>
              <w:pStyle w:val="TableParagraph"/>
              <w:tabs>
                <w:tab w:pos="750" w:val="left" w:leader="none"/>
              </w:tabs>
              <w:spacing w:line="269" w:lineRule="exact" w:before="1"/>
              <w:ind w:left="107"/>
              <w:rPr>
                <w:sz w:val="24"/>
              </w:rPr>
            </w:pPr>
            <w:r>
              <w:rPr>
                <w:sz w:val="24"/>
              </w:rPr>
              <w:t>Fax</w:t>
              <w:tab/>
              <w:t>(303)</w:t>
            </w:r>
            <w:r>
              <w:rPr>
                <w:spacing w:val="-1"/>
                <w:sz w:val="24"/>
              </w:rPr>
              <w:t> </w:t>
            </w:r>
            <w:r>
              <w:rPr>
                <w:sz w:val="24"/>
              </w:rPr>
              <w:t>792-0822</w:t>
            </w:r>
          </w:p>
          <w:p>
            <w:pPr>
              <w:pStyle w:val="TableParagraph"/>
              <w:spacing w:line="248" w:lineRule="exact"/>
              <w:ind w:left="107"/>
              <w:rPr>
                <w:sz w:val="24"/>
              </w:rPr>
            </w:pPr>
            <w:r>
              <w:rPr>
                <w:sz w:val="24"/>
              </w:rPr>
              <w:t>E-</w:t>
            </w:r>
            <w:hyperlink r:id="rId6">
              <w:r>
                <w:rPr>
                  <w:sz w:val="24"/>
                </w:rPr>
                <w:t>mail:</w:t>
              </w:r>
              <w:r>
                <w:rPr>
                  <w:spacing w:val="58"/>
                  <w:sz w:val="24"/>
                </w:rPr>
                <w:t> </w:t>
              </w:r>
              <w:r>
                <w:rPr>
                  <w:sz w:val="24"/>
                </w:rPr>
                <w:t>sara.hildebrand@coloradodefenders.us</w:t>
              </w:r>
            </w:hyperlink>
          </w:p>
        </w:tc>
        <w:tc>
          <w:tcPr>
            <w:tcW w:w="3420" w:type="dxa"/>
          </w:tcPr>
          <w:p>
            <w:pPr>
              <w:pStyle w:val="TableParagraph"/>
              <w:spacing w:before="1"/>
              <w:ind w:left="105"/>
              <w:rPr>
                <w:b/>
                <w:sz w:val="24"/>
              </w:rPr>
            </w:pPr>
            <w:r>
              <w:rPr>
                <w:sz w:val="24"/>
              </w:rPr>
              <w:t>Case No.: </w:t>
            </w:r>
            <w:r>
              <w:rPr>
                <w:b/>
                <w:sz w:val="24"/>
              </w:rPr>
              <w:t>2017CR988</w:t>
            </w: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155"/>
              <w:ind w:left="105"/>
              <w:rPr>
                <w:b/>
                <w:sz w:val="24"/>
              </w:rPr>
            </w:pPr>
            <w:r>
              <w:rPr>
                <w:sz w:val="24"/>
              </w:rPr>
              <w:t>Division:</w:t>
            </w:r>
            <w:r>
              <w:rPr>
                <w:spacing w:val="59"/>
                <w:sz w:val="24"/>
              </w:rPr>
              <w:t> </w:t>
            </w:r>
            <w:r>
              <w:rPr>
                <w:b/>
                <w:sz w:val="24"/>
              </w:rPr>
              <w:t>309</w:t>
            </w:r>
          </w:p>
        </w:tc>
      </w:tr>
      <w:tr>
        <w:trPr>
          <w:trHeight w:val="1619" w:hRule="atLeast"/>
        </w:trPr>
        <w:tc>
          <w:tcPr>
            <w:tcW w:w="9380" w:type="dxa"/>
            <w:gridSpan w:val="2"/>
          </w:tcPr>
          <w:p>
            <w:pPr>
              <w:pStyle w:val="TableParagraph"/>
              <w:spacing w:before="6"/>
              <w:rPr>
                <w:rFonts w:ascii="Times New Roman"/>
                <w:sz w:val="23"/>
              </w:rPr>
            </w:pPr>
          </w:p>
          <w:p>
            <w:pPr>
              <w:pStyle w:val="TableParagraph"/>
              <w:ind w:left="1046" w:right="1038"/>
              <w:jc w:val="center"/>
              <w:rPr>
                <w:b/>
                <w:sz w:val="24"/>
              </w:rPr>
            </w:pPr>
            <w:r>
              <w:rPr>
                <w:b/>
                <w:sz w:val="24"/>
              </w:rPr>
              <w:t>DEFENSE #8</w:t>
            </w:r>
          </w:p>
          <w:p>
            <w:pPr>
              <w:pStyle w:val="TableParagraph"/>
              <w:spacing w:before="5"/>
              <w:rPr>
                <w:rFonts w:ascii="Times New Roman"/>
                <w:sz w:val="23"/>
              </w:rPr>
            </w:pPr>
          </w:p>
          <w:p>
            <w:pPr>
              <w:pStyle w:val="TableParagraph"/>
              <w:ind w:left="1048" w:right="1038"/>
              <w:jc w:val="center"/>
              <w:rPr>
                <w:b/>
                <w:sz w:val="24"/>
              </w:rPr>
            </w:pPr>
            <w:r>
              <w:rPr>
                <w:b/>
                <w:sz w:val="24"/>
              </w:rPr>
              <w:t>MOTION FOR ORDER THAT PROSECUTION DISCLOSE U VISA INFORMATION</w:t>
            </w:r>
          </w:p>
        </w:tc>
      </w:tr>
    </w:tbl>
    <w:p>
      <w:pPr>
        <w:pStyle w:val="BodyText"/>
        <w:spacing w:before="7"/>
        <w:rPr>
          <w:rFonts w:ascii="Times New Roman"/>
          <w:sz w:val="13"/>
        </w:rPr>
      </w:pPr>
    </w:p>
    <w:p>
      <w:pPr>
        <w:pStyle w:val="BodyText"/>
        <w:spacing w:line="213" w:lineRule="auto" w:before="123"/>
        <w:ind w:left="300" w:right="112" w:firstLine="719"/>
        <w:jc w:val="both"/>
      </w:pPr>
      <w:r>
        <w:rPr/>
        <w:t>Ms. Inga, through counsel, respectfully moves this Honorable Court to order the prosecution to disclose to her counsel any and all information about any witness in this case who has inquired about, petitioned for or expressed interest in petitioning for “U” nonimmigrant status under 8 U.S.C. §§ 1367 and 1154 and 8 C.F.R. § 214.14(e)(1) . The grounds for this motion are as follows:</w:t>
      </w:r>
    </w:p>
    <w:p>
      <w:pPr>
        <w:pStyle w:val="BodyText"/>
        <w:rPr>
          <w:sz w:val="26"/>
        </w:rPr>
      </w:pPr>
    </w:p>
    <w:p>
      <w:pPr>
        <w:pStyle w:val="ListParagraph"/>
        <w:numPr>
          <w:ilvl w:val="0"/>
          <w:numId w:val="1"/>
        </w:numPr>
        <w:tabs>
          <w:tab w:pos="1381" w:val="left" w:leader="none"/>
        </w:tabs>
        <w:spacing w:line="213" w:lineRule="auto" w:before="215" w:after="0"/>
        <w:ind w:left="300" w:right="113" w:firstLine="720"/>
        <w:jc w:val="both"/>
        <w:rPr>
          <w:sz w:val="24"/>
        </w:rPr>
      </w:pPr>
      <w:r>
        <w:rPr/>
        <w:pict>
          <v:shape style="position:absolute;margin-left:72.024002pt;margin-top:33.634182pt;width:468.1pt;height:37.450pt;mso-position-horizontal-relative:page;mso-position-vertical-relative:paragraph;z-index:-4696" coordorigin="1440,673" coordsize="9362,749" path="m10802,673l5202,673,5202,913,1440,913,1440,1153,1440,1181,1440,1421,7686,1421,7686,1181,10802,1181,10802,913,10802,673e" filled="true" fillcolor="#ffffff" stroked="false">
            <v:path arrowok="t"/>
            <v:fill type="solid"/>
            <w10:wrap type="none"/>
          </v:shape>
        </w:pict>
      </w:r>
      <w:r>
        <w:rPr>
          <w:sz w:val="24"/>
        </w:rPr>
        <w:t>Gaining a “U-Visa” or U nonimmigrant status permits a crime victim and, in some cases their relatives, legal status to enter or remain in the United States when that person may not otherwise have legal authority to do so. U visas can be granted to eligible victims if they show they are willing to help law enforcement in the investigation or prosecution of the crime. Victims of domestic violence are eligible to qualify for U nonimmigrant</w:t>
      </w:r>
      <w:r>
        <w:rPr>
          <w:spacing w:val="-9"/>
          <w:sz w:val="24"/>
        </w:rPr>
        <w:t> </w:t>
      </w:r>
      <w:r>
        <w:rPr>
          <w:sz w:val="24"/>
        </w:rPr>
        <w:t>status.</w:t>
      </w:r>
    </w:p>
    <w:p>
      <w:pPr>
        <w:pStyle w:val="BodyText"/>
        <w:spacing w:before="2"/>
        <w:rPr>
          <w:sz w:val="21"/>
        </w:rPr>
      </w:pPr>
    </w:p>
    <w:p>
      <w:pPr>
        <w:pStyle w:val="ListParagraph"/>
        <w:numPr>
          <w:ilvl w:val="0"/>
          <w:numId w:val="1"/>
        </w:numPr>
        <w:tabs>
          <w:tab w:pos="1381" w:val="left" w:leader="none"/>
        </w:tabs>
        <w:spacing w:line="213" w:lineRule="auto" w:before="0" w:after="0"/>
        <w:ind w:left="300" w:right="113" w:firstLine="720"/>
        <w:jc w:val="both"/>
        <w:rPr>
          <w:sz w:val="24"/>
        </w:rPr>
      </w:pPr>
      <w:r>
        <w:rPr/>
        <w:pict>
          <v:shape style="position:absolute;margin-left:72.024002pt;margin-top:10.884186pt;width:468.1pt;height:61.45pt;mso-position-horizontal-relative:page;mso-position-vertical-relative:paragraph;z-index:-4672" coordorigin="1440,218" coordsize="9362,1229" path="m10802,218l1440,218,1440,458,1440,698,1440,938,1440,1178,1440,1206,1440,1446,3966,1446,3966,1206,10802,1206,10802,938,10802,698,10802,458,10802,218e" filled="true" fillcolor="#ffffff" stroked="false">
            <v:path arrowok="t"/>
            <v:fill type="solid"/>
            <w10:wrap type="none"/>
          </v:shape>
        </w:pict>
      </w:r>
      <w:r>
        <w:rPr>
          <w:color w:val="212121"/>
          <w:sz w:val="24"/>
        </w:rPr>
        <w:t>A petition for U nonimmigrant status must also contain a </w:t>
      </w:r>
      <w:r>
        <w:rPr>
          <w:i/>
          <w:color w:val="212121"/>
          <w:sz w:val="24"/>
        </w:rPr>
        <w:t>certification of helpfulness </w:t>
      </w:r>
      <w:r>
        <w:rPr>
          <w:color w:val="212121"/>
          <w:sz w:val="24"/>
        </w:rPr>
        <w:t>in the form of a U Nonimmigrant Status Certification (Form I-918, Supplement B) from a certifying law enforcement agency. This document demonstrates the petitioner "has been helpful, is being helpful, or is likely to be helpful" in the investigation or prosecution of the criminal activity. State and local law enforcement agencies, prosecutors and judges are valid certifying entities for purposes of a certification of</w:t>
      </w:r>
      <w:r>
        <w:rPr>
          <w:color w:val="212121"/>
          <w:spacing w:val="-3"/>
          <w:sz w:val="24"/>
        </w:rPr>
        <w:t> </w:t>
      </w:r>
      <w:r>
        <w:rPr>
          <w:color w:val="212121"/>
          <w:sz w:val="24"/>
        </w:rPr>
        <w:t>helpfulness.</w:t>
      </w:r>
    </w:p>
    <w:p>
      <w:pPr>
        <w:pStyle w:val="BodyText"/>
        <w:spacing w:before="2"/>
        <w:rPr>
          <w:sz w:val="21"/>
        </w:rPr>
      </w:pPr>
    </w:p>
    <w:p>
      <w:pPr>
        <w:pStyle w:val="ListParagraph"/>
        <w:numPr>
          <w:ilvl w:val="0"/>
          <w:numId w:val="1"/>
        </w:numPr>
        <w:tabs>
          <w:tab w:pos="1381" w:val="left" w:leader="none"/>
        </w:tabs>
        <w:spacing w:line="213" w:lineRule="auto" w:before="0" w:after="0"/>
        <w:ind w:left="300" w:right="113" w:firstLine="720"/>
        <w:jc w:val="both"/>
        <w:rPr>
          <w:i/>
          <w:sz w:val="24"/>
        </w:rPr>
      </w:pPr>
      <w:r>
        <w:rPr>
          <w:sz w:val="24"/>
        </w:rPr>
        <w:t>The prosecution is constitutionally compelled to disclose any material evidence which is favorable to the accused and relates to either the guilt or punishment of the accused, otherwise the accused</w:t>
      </w:r>
      <w:r>
        <w:rPr>
          <w:spacing w:val="13"/>
          <w:sz w:val="24"/>
        </w:rPr>
        <w:t> </w:t>
      </w:r>
      <w:r>
        <w:rPr>
          <w:sz w:val="24"/>
        </w:rPr>
        <w:t>person’s</w:t>
      </w:r>
      <w:r>
        <w:rPr>
          <w:spacing w:val="12"/>
          <w:sz w:val="24"/>
        </w:rPr>
        <w:t> </w:t>
      </w:r>
      <w:r>
        <w:rPr>
          <w:sz w:val="24"/>
        </w:rPr>
        <w:t>due</w:t>
      </w:r>
      <w:r>
        <w:rPr>
          <w:spacing w:val="13"/>
          <w:sz w:val="24"/>
        </w:rPr>
        <w:t> </w:t>
      </w:r>
      <w:r>
        <w:rPr>
          <w:sz w:val="24"/>
        </w:rPr>
        <w:t>process</w:t>
      </w:r>
      <w:r>
        <w:rPr>
          <w:spacing w:val="12"/>
          <w:sz w:val="24"/>
        </w:rPr>
        <w:t> </w:t>
      </w:r>
      <w:r>
        <w:rPr>
          <w:sz w:val="24"/>
        </w:rPr>
        <w:t>rights</w:t>
      </w:r>
      <w:r>
        <w:rPr>
          <w:spacing w:val="13"/>
          <w:sz w:val="24"/>
        </w:rPr>
        <w:t> </w:t>
      </w:r>
      <w:r>
        <w:rPr>
          <w:sz w:val="24"/>
        </w:rPr>
        <w:t>are</w:t>
      </w:r>
      <w:r>
        <w:rPr>
          <w:spacing w:val="14"/>
          <w:sz w:val="24"/>
        </w:rPr>
        <w:t> </w:t>
      </w:r>
      <w:r>
        <w:rPr>
          <w:sz w:val="24"/>
        </w:rPr>
        <w:t>violated.</w:t>
      </w:r>
      <w:r>
        <w:rPr>
          <w:spacing w:val="28"/>
          <w:sz w:val="24"/>
        </w:rPr>
        <w:t> </w:t>
      </w:r>
      <w:r>
        <w:rPr>
          <w:i/>
          <w:sz w:val="24"/>
        </w:rPr>
        <w:t>See</w:t>
      </w:r>
      <w:r>
        <w:rPr>
          <w:i/>
          <w:spacing w:val="12"/>
          <w:sz w:val="24"/>
        </w:rPr>
        <w:t> </w:t>
      </w:r>
      <w:r>
        <w:rPr>
          <w:i/>
          <w:sz w:val="24"/>
        </w:rPr>
        <w:t>Brady</w:t>
      </w:r>
      <w:r>
        <w:rPr>
          <w:i/>
          <w:spacing w:val="13"/>
          <w:sz w:val="24"/>
        </w:rPr>
        <w:t> </w:t>
      </w:r>
      <w:r>
        <w:rPr>
          <w:i/>
          <w:sz w:val="24"/>
        </w:rPr>
        <w:t>v.</w:t>
      </w:r>
      <w:r>
        <w:rPr>
          <w:i/>
          <w:spacing w:val="13"/>
          <w:sz w:val="24"/>
        </w:rPr>
        <w:t> </w:t>
      </w:r>
      <w:r>
        <w:rPr>
          <w:i/>
          <w:sz w:val="24"/>
        </w:rPr>
        <w:t>Maryland</w:t>
      </w:r>
      <w:r>
        <w:rPr>
          <w:sz w:val="24"/>
        </w:rPr>
        <w:t>,</w:t>
      </w:r>
      <w:r>
        <w:rPr>
          <w:spacing w:val="12"/>
          <w:sz w:val="24"/>
        </w:rPr>
        <w:t> </w:t>
      </w:r>
      <w:r>
        <w:rPr>
          <w:sz w:val="24"/>
        </w:rPr>
        <w:t>373</w:t>
      </w:r>
      <w:r>
        <w:rPr>
          <w:spacing w:val="14"/>
          <w:sz w:val="24"/>
        </w:rPr>
        <w:t> </w:t>
      </w:r>
      <w:r>
        <w:rPr>
          <w:sz w:val="24"/>
        </w:rPr>
        <w:t>U.S.</w:t>
      </w:r>
      <w:r>
        <w:rPr>
          <w:spacing w:val="12"/>
          <w:sz w:val="24"/>
        </w:rPr>
        <w:t> </w:t>
      </w:r>
      <w:r>
        <w:rPr>
          <w:sz w:val="24"/>
        </w:rPr>
        <w:t>83</w:t>
      </w:r>
      <w:r>
        <w:rPr>
          <w:spacing w:val="13"/>
          <w:sz w:val="24"/>
        </w:rPr>
        <w:t> </w:t>
      </w:r>
      <w:r>
        <w:rPr>
          <w:sz w:val="24"/>
        </w:rPr>
        <w:t>(1963);</w:t>
      </w:r>
      <w:r>
        <w:rPr>
          <w:spacing w:val="13"/>
          <w:sz w:val="24"/>
        </w:rPr>
        <w:t> </w:t>
      </w:r>
      <w:r>
        <w:rPr>
          <w:i/>
          <w:sz w:val="24"/>
        </w:rPr>
        <w:t>People</w:t>
      </w:r>
      <w:r>
        <w:rPr>
          <w:i/>
          <w:spacing w:val="13"/>
          <w:sz w:val="24"/>
        </w:rPr>
        <w:t> </w:t>
      </w:r>
      <w:r>
        <w:rPr>
          <w:i/>
          <w:sz w:val="24"/>
        </w:rPr>
        <w:t>v.</w:t>
      </w:r>
    </w:p>
    <w:p>
      <w:pPr>
        <w:spacing w:after="0" w:line="213" w:lineRule="auto"/>
        <w:jc w:val="both"/>
        <w:rPr>
          <w:sz w:val="24"/>
        </w:rPr>
        <w:sectPr>
          <w:footerReference w:type="default" r:id="rId5"/>
          <w:type w:val="continuous"/>
          <w:pgSz w:w="12240" w:h="15840"/>
          <w:pgMar w:footer="1066" w:top="1440" w:bottom="1260" w:left="1140" w:right="1320"/>
          <w:pgNumType w:start="1"/>
        </w:sectPr>
      </w:pPr>
    </w:p>
    <w:p>
      <w:pPr>
        <w:pStyle w:val="BodyText"/>
        <w:spacing w:line="213" w:lineRule="auto" w:before="108"/>
        <w:ind w:left="300" w:right="117"/>
        <w:jc w:val="both"/>
      </w:pPr>
      <w:r>
        <w:rPr/>
        <w:pict>
          <v:rect style="position:absolute;margin-left:313.489990pt;margin-top:15.564214pt;width:2.64pt;height:.600010pt;mso-position-horizontal-relative:page;mso-position-vertical-relative:paragraph;z-index:-4648" filled="true" fillcolor="#000000" stroked="false">
            <v:fill type="solid"/>
            <w10:wrap type="none"/>
          </v:rect>
        </w:pict>
      </w:r>
      <w:r>
        <w:rPr>
          <w:i/>
        </w:rPr>
        <w:t>Greathouse</w:t>
      </w:r>
      <w:r>
        <w:rPr/>
        <w:t>, 742 P.2d 334 (Colo. 1987); U.S. Const. Amends. V, XIV; Colo. Const, Art. II, § 25; C</w:t>
      </w:r>
      <w:r>
        <w:rPr>
          <w:sz w:val="19"/>
        </w:rPr>
        <w:t>OLO</w:t>
      </w:r>
      <w:r>
        <w:rPr/>
        <w:t>. R. C</w:t>
      </w:r>
      <w:r>
        <w:rPr>
          <w:sz w:val="19"/>
        </w:rPr>
        <w:t>RIM</w:t>
      </w:r>
      <w:r>
        <w:rPr/>
        <w:t>. P. 16(I)(a)(2), 16(I)(d)(1); C.R.P.C.</w:t>
      </w:r>
      <w:r>
        <w:rPr>
          <w:spacing w:val="-28"/>
        </w:rPr>
        <w:t> </w:t>
      </w:r>
      <w:r>
        <w:rPr/>
        <w:t>3.8(d).</w:t>
      </w:r>
    </w:p>
    <w:p>
      <w:pPr>
        <w:pStyle w:val="BodyText"/>
        <w:spacing w:before="3"/>
        <w:rPr>
          <w:sz w:val="21"/>
        </w:rPr>
      </w:pPr>
    </w:p>
    <w:p>
      <w:pPr>
        <w:pStyle w:val="ListParagraph"/>
        <w:numPr>
          <w:ilvl w:val="0"/>
          <w:numId w:val="1"/>
        </w:numPr>
        <w:tabs>
          <w:tab w:pos="1381" w:val="left" w:leader="none"/>
        </w:tabs>
        <w:spacing w:line="213" w:lineRule="auto" w:before="0" w:after="0"/>
        <w:ind w:left="300" w:right="115" w:firstLine="720"/>
        <w:jc w:val="both"/>
        <w:rPr>
          <w:sz w:val="24"/>
        </w:rPr>
      </w:pPr>
      <w:r>
        <w:rPr>
          <w:sz w:val="24"/>
        </w:rPr>
        <w:t>Evidence is relevant, and must be disclosed under the standard, which tends to negate the guilt of the accused or would tend to reduce the punishment thereof, regardless of the whether the evidence is admissible at trial. </w:t>
      </w:r>
      <w:r>
        <w:rPr>
          <w:i/>
          <w:sz w:val="24"/>
        </w:rPr>
        <w:t>People v. District Court</w:t>
      </w:r>
      <w:r>
        <w:rPr>
          <w:sz w:val="24"/>
        </w:rPr>
        <w:t>, 790 P.2d 332 at 338 (Colo.</w:t>
      </w:r>
      <w:r>
        <w:rPr>
          <w:spacing w:val="-13"/>
          <w:sz w:val="24"/>
        </w:rPr>
        <w:t> </w:t>
      </w:r>
      <w:r>
        <w:rPr>
          <w:sz w:val="24"/>
        </w:rPr>
        <w:t>1990).</w:t>
      </w:r>
    </w:p>
    <w:p>
      <w:pPr>
        <w:pStyle w:val="BodyText"/>
        <w:spacing w:before="3"/>
        <w:rPr>
          <w:sz w:val="21"/>
        </w:rPr>
      </w:pPr>
    </w:p>
    <w:p>
      <w:pPr>
        <w:pStyle w:val="ListParagraph"/>
        <w:numPr>
          <w:ilvl w:val="0"/>
          <w:numId w:val="1"/>
        </w:numPr>
        <w:tabs>
          <w:tab w:pos="1381" w:val="left" w:leader="none"/>
        </w:tabs>
        <w:spacing w:line="213" w:lineRule="auto" w:before="0" w:after="0"/>
        <w:ind w:left="300" w:right="115" w:firstLine="720"/>
        <w:jc w:val="both"/>
        <w:rPr>
          <w:sz w:val="24"/>
        </w:rPr>
      </w:pPr>
      <w:r>
        <w:rPr>
          <w:sz w:val="24"/>
        </w:rPr>
        <w:t>Generally, defense counsel is the appropriate party to make the determination that a statement or piece of evidence is relevant to the defense. </w:t>
      </w:r>
      <w:r>
        <w:rPr>
          <w:i/>
          <w:sz w:val="24"/>
        </w:rPr>
        <w:t>People v. Gallegos</w:t>
      </w:r>
      <w:r>
        <w:rPr>
          <w:sz w:val="24"/>
        </w:rPr>
        <w:t>, 644 P.2d 920 (Colo.  1992). Determination of its usefulness under C</w:t>
      </w:r>
      <w:r>
        <w:rPr>
          <w:sz w:val="19"/>
        </w:rPr>
        <w:t>OLO</w:t>
      </w:r>
      <w:r>
        <w:rPr>
          <w:sz w:val="24"/>
        </w:rPr>
        <w:t>. R. C</w:t>
      </w:r>
      <w:r>
        <w:rPr>
          <w:sz w:val="19"/>
        </w:rPr>
        <w:t>RIM</w:t>
      </w:r>
      <w:r>
        <w:rPr>
          <w:sz w:val="24"/>
        </w:rPr>
        <w:t>. P. 16 is a defense function, not a prosecutorial function, as only the defense can determine what will be material and helpful to its case. </w:t>
      </w:r>
      <w:r>
        <w:rPr>
          <w:i/>
          <w:sz w:val="24"/>
        </w:rPr>
        <w:t>People v. Smith</w:t>
      </w:r>
      <w:r>
        <w:rPr>
          <w:sz w:val="24"/>
        </w:rPr>
        <w:t>, 524 P.2d 607 (Colo.</w:t>
      </w:r>
      <w:r>
        <w:rPr>
          <w:spacing w:val="-1"/>
          <w:sz w:val="24"/>
        </w:rPr>
        <w:t> </w:t>
      </w:r>
      <w:r>
        <w:rPr>
          <w:sz w:val="24"/>
        </w:rPr>
        <w:t>1974).</w:t>
      </w:r>
    </w:p>
    <w:p>
      <w:pPr>
        <w:pStyle w:val="BodyText"/>
        <w:spacing w:before="2"/>
        <w:rPr>
          <w:sz w:val="21"/>
        </w:rPr>
      </w:pPr>
    </w:p>
    <w:p>
      <w:pPr>
        <w:pStyle w:val="ListParagraph"/>
        <w:numPr>
          <w:ilvl w:val="0"/>
          <w:numId w:val="1"/>
        </w:numPr>
        <w:tabs>
          <w:tab w:pos="1381" w:val="left" w:leader="none"/>
        </w:tabs>
        <w:spacing w:line="213" w:lineRule="auto" w:before="0" w:after="0"/>
        <w:ind w:left="300" w:right="114" w:firstLine="720"/>
        <w:jc w:val="both"/>
        <w:rPr>
          <w:sz w:val="24"/>
        </w:rPr>
      </w:pPr>
      <w:r>
        <w:rPr>
          <w:sz w:val="24"/>
        </w:rPr>
        <w:t>Any evidence of material importance to the defense is subject to disclosure in Colorado under the </w:t>
      </w:r>
      <w:r>
        <w:rPr>
          <w:i/>
          <w:sz w:val="24"/>
        </w:rPr>
        <w:t>Brady </w:t>
      </w:r>
      <w:r>
        <w:rPr>
          <w:sz w:val="24"/>
        </w:rPr>
        <w:t>doctrine, whether it is substantive, </w:t>
      </w:r>
      <w:r>
        <w:rPr>
          <w:i/>
          <w:sz w:val="24"/>
        </w:rPr>
        <w:t>impeachment </w:t>
      </w:r>
      <w:r>
        <w:rPr>
          <w:sz w:val="24"/>
        </w:rPr>
        <w:t>or exculpatory, regardless of whether it is ultimately admissible at trial, or whether the prosecution intends to offer the evidence at all. </w:t>
      </w:r>
      <w:r>
        <w:rPr>
          <w:i/>
          <w:sz w:val="24"/>
        </w:rPr>
        <w:t>People v. Shaw</w:t>
      </w:r>
      <w:r>
        <w:rPr>
          <w:sz w:val="24"/>
        </w:rPr>
        <w:t>, 646 P.2d 375 (Colo. 1982); </w:t>
      </w:r>
      <w:r>
        <w:rPr>
          <w:i/>
          <w:sz w:val="24"/>
        </w:rPr>
        <w:t>People v. District Court</w:t>
      </w:r>
      <w:r>
        <w:rPr>
          <w:sz w:val="24"/>
        </w:rPr>
        <w:t>, 790 P.2d 332 (Colo. 1990). Consequently, the prosecution is </w:t>
      </w:r>
      <w:r>
        <w:rPr>
          <w:i/>
          <w:sz w:val="24"/>
        </w:rPr>
        <w:t>required </w:t>
      </w:r>
      <w:r>
        <w:rPr>
          <w:sz w:val="24"/>
        </w:rPr>
        <w:t>to disclose evidence that might enable the defense to impeach prosecution witnesses. </w:t>
      </w:r>
      <w:r>
        <w:rPr>
          <w:i/>
          <w:sz w:val="24"/>
        </w:rPr>
        <w:t>United States v. Bagley</w:t>
      </w:r>
      <w:r>
        <w:rPr>
          <w:sz w:val="24"/>
        </w:rPr>
        <w:t>, 473 U.S. 667 (1985); </w:t>
      </w:r>
      <w:r>
        <w:rPr>
          <w:i/>
          <w:sz w:val="24"/>
        </w:rPr>
        <w:t>People v. District Court</w:t>
      </w:r>
      <w:r>
        <w:rPr>
          <w:sz w:val="24"/>
        </w:rPr>
        <w:t>, 790 P.2d 332 (Colo. 1990) (impeachment evidence is material under the </w:t>
      </w:r>
      <w:r>
        <w:rPr>
          <w:i/>
          <w:sz w:val="24"/>
        </w:rPr>
        <w:t>Brady </w:t>
      </w:r>
      <w:r>
        <w:rPr>
          <w:sz w:val="24"/>
        </w:rPr>
        <w:t>doctrine); </w:t>
      </w:r>
      <w:r>
        <w:rPr>
          <w:i/>
          <w:sz w:val="24"/>
        </w:rPr>
        <w:t>People v. Thatcher</w:t>
      </w:r>
      <w:r>
        <w:rPr>
          <w:sz w:val="24"/>
        </w:rPr>
        <w:t>, 638 P.2d 760 (Colo.1981) (use of discovery material for impeachment purposes implicates a defendant’s due process</w:t>
      </w:r>
      <w:r>
        <w:rPr>
          <w:spacing w:val="-5"/>
          <w:sz w:val="24"/>
        </w:rPr>
        <w:t> </w:t>
      </w:r>
      <w:r>
        <w:rPr>
          <w:sz w:val="24"/>
        </w:rPr>
        <w:t>rights).</w:t>
      </w:r>
    </w:p>
    <w:p>
      <w:pPr>
        <w:pStyle w:val="BodyText"/>
        <w:spacing w:before="10"/>
        <w:rPr>
          <w:sz w:val="23"/>
        </w:rPr>
      </w:pPr>
    </w:p>
    <w:p>
      <w:pPr>
        <w:pStyle w:val="ListParagraph"/>
        <w:numPr>
          <w:ilvl w:val="0"/>
          <w:numId w:val="1"/>
        </w:numPr>
        <w:tabs>
          <w:tab w:pos="1381" w:val="left" w:leader="none"/>
        </w:tabs>
        <w:spacing w:line="213" w:lineRule="auto" w:before="1" w:after="0"/>
        <w:ind w:left="300" w:right="113" w:firstLine="720"/>
        <w:jc w:val="both"/>
        <w:rPr>
          <w:sz w:val="24"/>
        </w:rPr>
      </w:pPr>
      <w:r>
        <w:rPr>
          <w:sz w:val="24"/>
        </w:rPr>
        <w:t>The individual prosecutor who is prosecuting a given case has a duty to learn of any favorable evidence known to the others acting on the government’s behalf in the case, including the police. </w:t>
      </w:r>
      <w:r>
        <w:rPr>
          <w:i/>
          <w:sz w:val="24"/>
        </w:rPr>
        <w:t>Kyles v. Whitley</w:t>
      </w:r>
      <w:r>
        <w:rPr>
          <w:sz w:val="24"/>
        </w:rPr>
        <w:t>, 514 U.S. 419, 437-38 (1995). Prosecutors’ offices must establish procedures and regulations to ensure communication of all favorable evidence to the defense and to each prosecutor on a given case. </w:t>
      </w:r>
      <w:r>
        <w:rPr>
          <w:i/>
          <w:sz w:val="24"/>
        </w:rPr>
        <w:t>Id. </w:t>
      </w:r>
      <w:r>
        <w:rPr>
          <w:sz w:val="24"/>
        </w:rPr>
        <w:t>(quoting </w:t>
      </w:r>
      <w:r>
        <w:rPr>
          <w:i/>
          <w:sz w:val="24"/>
        </w:rPr>
        <w:t>Giglio v. U.S.</w:t>
      </w:r>
      <w:r>
        <w:rPr>
          <w:sz w:val="24"/>
        </w:rPr>
        <w:t>, 405 U.S. 150, 154 (1972)); C</w:t>
      </w:r>
      <w:r>
        <w:rPr>
          <w:sz w:val="19"/>
        </w:rPr>
        <w:t>OLO</w:t>
      </w:r>
      <w:r>
        <w:rPr>
          <w:sz w:val="24"/>
        </w:rPr>
        <w:t>. R. C</w:t>
      </w:r>
      <w:r>
        <w:rPr>
          <w:sz w:val="19"/>
        </w:rPr>
        <w:t>RIM</w:t>
      </w:r>
      <w:r>
        <w:rPr>
          <w:sz w:val="24"/>
        </w:rPr>
        <w:t>. P. 16(I)(b)(4).</w:t>
      </w:r>
    </w:p>
    <w:p>
      <w:pPr>
        <w:pStyle w:val="BodyText"/>
        <w:spacing w:before="8"/>
        <w:rPr>
          <w:sz w:val="23"/>
        </w:rPr>
      </w:pPr>
    </w:p>
    <w:p>
      <w:pPr>
        <w:pStyle w:val="ListParagraph"/>
        <w:numPr>
          <w:ilvl w:val="0"/>
          <w:numId w:val="1"/>
        </w:numPr>
        <w:tabs>
          <w:tab w:pos="1381" w:val="left" w:leader="none"/>
        </w:tabs>
        <w:spacing w:line="213" w:lineRule="auto" w:before="0" w:after="0"/>
        <w:ind w:left="300" w:right="113" w:firstLine="720"/>
        <w:jc w:val="both"/>
        <w:rPr>
          <w:sz w:val="24"/>
        </w:rPr>
      </w:pPr>
      <w:r>
        <w:rPr>
          <w:sz w:val="24"/>
        </w:rPr>
        <w:t>Courts and police officers cannot discharge the prosecution’s obligation to conduct a </w:t>
      </w:r>
      <w:r>
        <w:rPr>
          <w:i/>
          <w:sz w:val="24"/>
        </w:rPr>
        <w:t>Brady </w:t>
      </w:r>
      <w:r>
        <w:rPr>
          <w:sz w:val="24"/>
        </w:rPr>
        <w:t>review to determine what disclosure if any must be made to the defense.  </w:t>
      </w:r>
      <w:r>
        <w:rPr>
          <w:i/>
          <w:sz w:val="24"/>
        </w:rPr>
        <w:t>See Id. </w:t>
      </w:r>
      <w:r>
        <w:rPr>
          <w:sz w:val="24"/>
        </w:rPr>
        <w:t>at 438-39.  The prosecuting attorney has the obligation to conduct a timely search for </w:t>
      </w:r>
      <w:r>
        <w:rPr>
          <w:i/>
          <w:sz w:val="24"/>
        </w:rPr>
        <w:t>Brady </w:t>
      </w:r>
      <w:r>
        <w:rPr>
          <w:sz w:val="24"/>
        </w:rPr>
        <w:t>material, a thoughtful review of that material and to make timely disclosure of it, and cannot keep itself ignorant or compartmentalize information to avoid this obligation. </w:t>
      </w:r>
      <w:r>
        <w:rPr>
          <w:i/>
          <w:sz w:val="24"/>
        </w:rPr>
        <w:t>Cf. In re Sealed Case No. </w:t>
      </w:r>
      <w:r>
        <w:rPr>
          <w:sz w:val="24"/>
        </w:rPr>
        <w:t>99-3096, 185 F.3d 887, 892 (D.C. Cir. 1999); </w:t>
      </w:r>
      <w:r>
        <w:rPr>
          <w:i/>
          <w:sz w:val="24"/>
        </w:rPr>
        <w:t>Banks v. Reynolds</w:t>
      </w:r>
      <w:r>
        <w:rPr>
          <w:sz w:val="24"/>
        </w:rPr>
        <w:t>, 54 F.3d 1508, 1517 (10th Cir. 1995); </w:t>
      </w:r>
      <w:r>
        <w:rPr>
          <w:i/>
          <w:sz w:val="24"/>
        </w:rPr>
        <w:t>Carey v. </w:t>
      </w:r>
      <w:r>
        <w:rPr>
          <w:i/>
          <w:sz w:val="24"/>
        </w:rPr>
        <w:t>Duckworth</w:t>
      </w:r>
      <w:r>
        <w:rPr>
          <w:sz w:val="24"/>
        </w:rPr>
        <w:t>, 738 F.2d 875, 878 (7th Cir. 1984); </w:t>
      </w:r>
      <w:r>
        <w:rPr>
          <w:i/>
          <w:sz w:val="24"/>
        </w:rPr>
        <w:t>People v. Anderson</w:t>
      </w:r>
      <w:r>
        <w:rPr>
          <w:sz w:val="24"/>
        </w:rPr>
        <w:t>, 837 P.2d 293, 299 (Colo. App.</w:t>
      </w:r>
      <w:r>
        <w:rPr>
          <w:spacing w:val="-26"/>
          <w:sz w:val="24"/>
        </w:rPr>
        <w:t> </w:t>
      </w:r>
      <w:r>
        <w:rPr>
          <w:sz w:val="24"/>
        </w:rPr>
        <w:t>1992).</w:t>
      </w:r>
    </w:p>
    <w:p>
      <w:pPr>
        <w:pStyle w:val="BodyText"/>
        <w:spacing w:before="10"/>
        <w:rPr>
          <w:sz w:val="23"/>
        </w:rPr>
      </w:pPr>
    </w:p>
    <w:p>
      <w:pPr>
        <w:pStyle w:val="ListParagraph"/>
        <w:numPr>
          <w:ilvl w:val="0"/>
          <w:numId w:val="1"/>
        </w:numPr>
        <w:tabs>
          <w:tab w:pos="1381" w:val="left" w:leader="none"/>
        </w:tabs>
        <w:spacing w:line="213" w:lineRule="auto" w:before="1" w:after="0"/>
        <w:ind w:left="300" w:right="114" w:firstLine="720"/>
        <w:jc w:val="both"/>
        <w:rPr>
          <w:sz w:val="24"/>
        </w:rPr>
      </w:pPr>
      <w:r>
        <w:rPr>
          <w:sz w:val="24"/>
        </w:rPr>
        <w:t>Furthermore, the prosecution must disclose not only the existence of exculpatory material, but the contents of any such material to the defense, regardless of whether the defense knew or should have known of its existence. </w:t>
      </w:r>
      <w:r>
        <w:rPr>
          <w:i/>
          <w:sz w:val="24"/>
        </w:rPr>
        <w:t>See People v. Lucero</w:t>
      </w:r>
      <w:r>
        <w:rPr>
          <w:sz w:val="24"/>
        </w:rPr>
        <w:t>, 623 P.2d 424, 429-430 (Colo. App. 1980); </w:t>
      </w:r>
      <w:r>
        <w:rPr>
          <w:i/>
          <w:sz w:val="24"/>
        </w:rPr>
        <w:t>cf. Banks</w:t>
      </w:r>
      <w:r>
        <w:rPr>
          <w:sz w:val="24"/>
        </w:rPr>
        <w:t>, 54 F.3d at</w:t>
      </w:r>
      <w:r>
        <w:rPr>
          <w:spacing w:val="-4"/>
          <w:sz w:val="24"/>
        </w:rPr>
        <w:t> </w:t>
      </w:r>
      <w:r>
        <w:rPr>
          <w:sz w:val="24"/>
        </w:rPr>
        <w:t>1517.</w:t>
      </w:r>
    </w:p>
    <w:p>
      <w:pPr>
        <w:pStyle w:val="BodyText"/>
        <w:spacing w:before="3"/>
        <w:rPr>
          <w:sz w:val="21"/>
        </w:rPr>
      </w:pPr>
    </w:p>
    <w:p>
      <w:pPr>
        <w:pStyle w:val="ListParagraph"/>
        <w:numPr>
          <w:ilvl w:val="0"/>
          <w:numId w:val="1"/>
        </w:numPr>
        <w:tabs>
          <w:tab w:pos="1381" w:val="left" w:leader="none"/>
        </w:tabs>
        <w:spacing w:line="213" w:lineRule="auto" w:before="0" w:after="0"/>
        <w:ind w:left="300" w:right="113" w:firstLine="720"/>
        <w:jc w:val="both"/>
        <w:rPr>
          <w:sz w:val="24"/>
        </w:rPr>
      </w:pPr>
      <w:r>
        <w:rPr>
          <w:sz w:val="24"/>
        </w:rPr>
        <w:t>In </w:t>
      </w:r>
      <w:r>
        <w:rPr>
          <w:i/>
          <w:sz w:val="24"/>
        </w:rPr>
        <w:t>Kyles</w:t>
      </w:r>
      <w:r>
        <w:rPr>
          <w:sz w:val="24"/>
        </w:rPr>
        <w:t>, the United States Supreme Court reviewed whether a defendant was denied due process of law when the prosecution failed to disclose exculpatory information prior to a trial at which he was convicted. 524 U.S at 422-33. The prosecution argued that it should not be held accountable</w:t>
      </w:r>
      <w:r>
        <w:rPr>
          <w:spacing w:val="6"/>
          <w:sz w:val="24"/>
        </w:rPr>
        <w:t> </w:t>
      </w:r>
      <w:r>
        <w:rPr>
          <w:sz w:val="24"/>
        </w:rPr>
        <w:t>for</w:t>
      </w:r>
      <w:r>
        <w:rPr>
          <w:spacing w:val="4"/>
          <w:sz w:val="24"/>
        </w:rPr>
        <w:t> </w:t>
      </w:r>
      <w:r>
        <w:rPr>
          <w:sz w:val="24"/>
        </w:rPr>
        <w:t>evidence</w:t>
      </w:r>
      <w:r>
        <w:rPr>
          <w:spacing w:val="1"/>
          <w:sz w:val="24"/>
        </w:rPr>
        <w:t> </w:t>
      </w:r>
      <w:r>
        <w:rPr>
          <w:sz w:val="24"/>
        </w:rPr>
        <w:t>known</w:t>
      </w:r>
      <w:r>
        <w:rPr>
          <w:spacing w:val="5"/>
          <w:sz w:val="24"/>
        </w:rPr>
        <w:t> </w:t>
      </w:r>
      <w:r>
        <w:rPr>
          <w:sz w:val="24"/>
        </w:rPr>
        <w:t>only</w:t>
      </w:r>
      <w:r>
        <w:rPr>
          <w:spacing w:val="6"/>
          <w:sz w:val="24"/>
        </w:rPr>
        <w:t> </w:t>
      </w:r>
      <w:r>
        <w:rPr>
          <w:sz w:val="24"/>
        </w:rPr>
        <w:t>to</w:t>
      </w:r>
      <w:r>
        <w:rPr>
          <w:spacing w:val="2"/>
          <w:sz w:val="24"/>
        </w:rPr>
        <w:t> </w:t>
      </w:r>
      <w:r>
        <w:rPr>
          <w:sz w:val="24"/>
        </w:rPr>
        <w:t>the</w:t>
      </w:r>
      <w:r>
        <w:rPr>
          <w:spacing w:val="6"/>
          <w:sz w:val="24"/>
        </w:rPr>
        <w:t> </w:t>
      </w:r>
      <w:r>
        <w:rPr>
          <w:sz w:val="24"/>
        </w:rPr>
        <w:t>police</w:t>
      </w:r>
      <w:r>
        <w:rPr>
          <w:spacing w:val="4"/>
          <w:sz w:val="24"/>
        </w:rPr>
        <w:t> </w:t>
      </w:r>
      <w:r>
        <w:rPr>
          <w:sz w:val="24"/>
        </w:rPr>
        <w:t>and</w:t>
      </w:r>
      <w:r>
        <w:rPr>
          <w:spacing w:val="4"/>
          <w:sz w:val="24"/>
        </w:rPr>
        <w:t> </w:t>
      </w:r>
      <w:r>
        <w:rPr>
          <w:sz w:val="24"/>
        </w:rPr>
        <w:t>not</w:t>
      </w:r>
      <w:r>
        <w:rPr>
          <w:spacing w:val="5"/>
          <w:sz w:val="24"/>
        </w:rPr>
        <w:t> </w:t>
      </w:r>
      <w:r>
        <w:rPr>
          <w:sz w:val="24"/>
        </w:rPr>
        <w:t>the</w:t>
      </w:r>
      <w:r>
        <w:rPr>
          <w:spacing w:val="5"/>
          <w:sz w:val="24"/>
        </w:rPr>
        <w:t> </w:t>
      </w:r>
      <w:r>
        <w:rPr>
          <w:sz w:val="24"/>
        </w:rPr>
        <w:t>prosecutor</w:t>
      </w:r>
      <w:r>
        <w:rPr>
          <w:spacing w:val="4"/>
          <w:sz w:val="24"/>
        </w:rPr>
        <w:t> </w:t>
      </w:r>
      <w:r>
        <w:rPr>
          <w:sz w:val="24"/>
        </w:rPr>
        <w:t>at</w:t>
      </w:r>
      <w:r>
        <w:rPr>
          <w:spacing w:val="3"/>
          <w:sz w:val="24"/>
        </w:rPr>
        <w:t> </w:t>
      </w:r>
      <w:r>
        <w:rPr>
          <w:sz w:val="24"/>
        </w:rPr>
        <w:t>the</w:t>
      </w:r>
      <w:r>
        <w:rPr>
          <w:spacing w:val="5"/>
          <w:sz w:val="24"/>
        </w:rPr>
        <w:t> </w:t>
      </w:r>
      <w:r>
        <w:rPr>
          <w:sz w:val="24"/>
        </w:rPr>
        <w:t>time</w:t>
      </w:r>
      <w:r>
        <w:rPr>
          <w:spacing w:val="6"/>
          <w:sz w:val="24"/>
        </w:rPr>
        <w:t> </w:t>
      </w:r>
      <w:r>
        <w:rPr>
          <w:sz w:val="24"/>
        </w:rPr>
        <w:t>of</w:t>
      </w:r>
      <w:r>
        <w:rPr>
          <w:spacing w:val="5"/>
          <w:sz w:val="24"/>
        </w:rPr>
        <w:t> </w:t>
      </w:r>
      <w:r>
        <w:rPr>
          <w:sz w:val="24"/>
        </w:rPr>
        <w:t>trial.</w:t>
      </w:r>
      <w:r>
        <w:rPr>
          <w:spacing w:val="14"/>
          <w:sz w:val="24"/>
        </w:rPr>
        <w:t> </w:t>
      </w:r>
      <w:r>
        <w:rPr>
          <w:i/>
          <w:sz w:val="24"/>
        </w:rPr>
        <w:t>Id.</w:t>
      </w:r>
      <w:r>
        <w:rPr>
          <w:i/>
          <w:spacing w:val="3"/>
          <w:sz w:val="24"/>
        </w:rPr>
        <w:t> </w:t>
      </w:r>
      <w:r>
        <w:rPr>
          <w:sz w:val="24"/>
        </w:rPr>
        <w:t>at</w:t>
      </w:r>
    </w:p>
    <w:p>
      <w:pPr>
        <w:pStyle w:val="BodyText"/>
        <w:spacing w:line="213" w:lineRule="auto"/>
        <w:ind w:left="300" w:right="117"/>
        <w:jc w:val="both"/>
      </w:pPr>
      <w:r>
        <w:rPr/>
        <w:t>438. The Court held that “the prosecutor remains responsible for gauging the effect [of </w:t>
      </w:r>
      <w:r>
        <w:rPr>
          <w:i/>
        </w:rPr>
        <w:t>Brady </w:t>
      </w:r>
      <w:r>
        <w:rPr/>
        <w:t>evidence suppressed by the government] regardless of any failure by the police to bring favorable evidence to the prosecutor’s attention.” </w:t>
      </w:r>
      <w:r>
        <w:rPr>
          <w:i/>
        </w:rPr>
        <w:t>Id. </w:t>
      </w:r>
      <w:r>
        <w:rPr/>
        <w:t>at 421. The Court reasoned that the  individual prosecutor has a duty to learn of any favorable evidence known to others acting on the government’s behalf in the case. </w:t>
      </w:r>
      <w:r>
        <w:rPr>
          <w:i/>
        </w:rPr>
        <w:t>Id. </w:t>
      </w:r>
      <w:r>
        <w:rPr/>
        <w:t>at</w:t>
      </w:r>
      <w:r>
        <w:rPr>
          <w:spacing w:val="-4"/>
        </w:rPr>
        <w:t> </w:t>
      </w:r>
      <w:r>
        <w:rPr/>
        <w:t>437.</w:t>
      </w:r>
    </w:p>
    <w:p>
      <w:pPr>
        <w:spacing w:after="0" w:line="213" w:lineRule="auto"/>
        <w:jc w:val="both"/>
        <w:sectPr>
          <w:pgSz w:w="12240" w:h="15840"/>
          <w:pgMar w:header="0" w:footer="1066" w:top="1340" w:bottom="1260" w:left="1140" w:right="1320"/>
        </w:sectPr>
      </w:pPr>
    </w:p>
    <w:p>
      <w:pPr>
        <w:pStyle w:val="ListParagraph"/>
        <w:numPr>
          <w:ilvl w:val="0"/>
          <w:numId w:val="2"/>
        </w:numPr>
        <w:tabs>
          <w:tab w:pos="1381" w:val="left" w:leader="none"/>
        </w:tabs>
        <w:spacing w:line="213" w:lineRule="auto" w:before="108" w:after="0"/>
        <w:ind w:left="300" w:right="114" w:firstLine="720"/>
        <w:jc w:val="both"/>
        <w:rPr>
          <w:sz w:val="24"/>
        </w:rPr>
      </w:pPr>
      <w:r>
        <w:rPr>
          <w:sz w:val="24"/>
        </w:rPr>
        <w:t>Several United States Circuit Courts of Appeals have further clarified the prosecution’s </w:t>
      </w:r>
      <w:r>
        <w:rPr>
          <w:i/>
          <w:sz w:val="24"/>
        </w:rPr>
        <w:t>Brady </w:t>
      </w:r>
      <w:r>
        <w:rPr>
          <w:sz w:val="24"/>
        </w:rPr>
        <w:t>obligations. The United States Seventh Circuit Court of Appeals stated, when discussing the prosecution’s </w:t>
      </w:r>
      <w:r>
        <w:rPr>
          <w:i/>
          <w:sz w:val="24"/>
        </w:rPr>
        <w:t>Brady </w:t>
      </w:r>
      <w:r>
        <w:rPr>
          <w:sz w:val="24"/>
        </w:rPr>
        <w:t>obligations that “a prosecutor’s office cannot get around </w:t>
      </w:r>
      <w:r>
        <w:rPr>
          <w:i/>
          <w:sz w:val="24"/>
        </w:rPr>
        <w:t>Brady </w:t>
      </w:r>
      <w:r>
        <w:rPr>
          <w:sz w:val="24"/>
        </w:rPr>
        <w:t>by keeping itself in ignorance, or compartmentalizing information about different aspects of a case.” </w:t>
      </w:r>
      <w:r>
        <w:rPr>
          <w:i/>
          <w:sz w:val="24"/>
        </w:rPr>
        <w:t>Carey</w:t>
      </w:r>
      <w:r>
        <w:rPr>
          <w:sz w:val="24"/>
        </w:rPr>
        <w:t>, 738 F.2d at 878 (followed by discussion of </w:t>
      </w:r>
      <w:r>
        <w:rPr>
          <w:i/>
          <w:sz w:val="24"/>
        </w:rPr>
        <w:t>Giglio</w:t>
      </w:r>
      <w:r>
        <w:rPr>
          <w:sz w:val="24"/>
        </w:rPr>
        <w:t>, 405 U.S. 150</w:t>
      </w:r>
      <w:r>
        <w:rPr>
          <w:spacing w:val="-2"/>
          <w:sz w:val="24"/>
        </w:rPr>
        <w:t> </w:t>
      </w:r>
      <w:r>
        <w:rPr>
          <w:sz w:val="24"/>
        </w:rPr>
        <w:t>(1972)).</w:t>
      </w:r>
    </w:p>
    <w:p>
      <w:pPr>
        <w:pStyle w:val="BodyText"/>
      </w:pPr>
    </w:p>
    <w:p>
      <w:pPr>
        <w:pStyle w:val="ListParagraph"/>
        <w:numPr>
          <w:ilvl w:val="0"/>
          <w:numId w:val="2"/>
        </w:numPr>
        <w:tabs>
          <w:tab w:pos="1381" w:val="left" w:leader="none"/>
        </w:tabs>
        <w:spacing w:line="213" w:lineRule="auto" w:before="0" w:after="0"/>
        <w:ind w:left="300" w:right="115" w:firstLine="720"/>
        <w:jc w:val="both"/>
        <w:rPr>
          <w:sz w:val="24"/>
        </w:rPr>
      </w:pPr>
      <w:r>
        <w:rPr>
          <w:sz w:val="24"/>
        </w:rPr>
        <w:t>The District of Columbia Circuit Court of Appeals held that the United States Supreme Court’s language in </w:t>
      </w:r>
      <w:r>
        <w:rPr>
          <w:i/>
          <w:sz w:val="24"/>
        </w:rPr>
        <w:t>Strickler</w:t>
      </w:r>
      <w:r>
        <w:rPr>
          <w:sz w:val="24"/>
        </w:rPr>
        <w:t>, 527 U.S. 263 (1999), demonstrates that “both the failure to search for </w:t>
      </w:r>
      <w:r>
        <w:rPr>
          <w:i/>
          <w:sz w:val="24"/>
        </w:rPr>
        <w:t>Brady </w:t>
      </w:r>
      <w:r>
        <w:rPr>
          <w:sz w:val="24"/>
        </w:rPr>
        <w:t>material and the failure to produce it” are </w:t>
      </w:r>
      <w:r>
        <w:rPr>
          <w:i/>
          <w:sz w:val="24"/>
        </w:rPr>
        <w:t>Brady </w:t>
      </w:r>
      <w:r>
        <w:rPr>
          <w:sz w:val="24"/>
        </w:rPr>
        <w:t>violations. </w:t>
      </w:r>
      <w:r>
        <w:rPr>
          <w:i/>
          <w:sz w:val="24"/>
        </w:rPr>
        <w:t>In re. Sealed Case</w:t>
      </w:r>
      <w:r>
        <w:rPr>
          <w:sz w:val="24"/>
        </w:rPr>
        <w:t>, 185 F.3d at</w:t>
      </w:r>
      <w:r>
        <w:rPr>
          <w:spacing w:val="-25"/>
          <w:sz w:val="24"/>
        </w:rPr>
        <w:t> </w:t>
      </w:r>
      <w:r>
        <w:rPr>
          <w:sz w:val="24"/>
        </w:rPr>
        <w:t>892.</w:t>
      </w:r>
    </w:p>
    <w:p>
      <w:pPr>
        <w:pStyle w:val="BodyText"/>
        <w:spacing w:before="9"/>
        <w:rPr>
          <w:sz w:val="23"/>
        </w:rPr>
      </w:pPr>
    </w:p>
    <w:p>
      <w:pPr>
        <w:pStyle w:val="ListParagraph"/>
        <w:numPr>
          <w:ilvl w:val="0"/>
          <w:numId w:val="2"/>
        </w:numPr>
        <w:tabs>
          <w:tab w:pos="1381" w:val="left" w:leader="none"/>
        </w:tabs>
        <w:spacing w:line="213" w:lineRule="auto" w:before="0" w:after="0"/>
        <w:ind w:left="300" w:right="115" w:firstLine="720"/>
        <w:jc w:val="both"/>
        <w:rPr>
          <w:sz w:val="24"/>
        </w:rPr>
      </w:pPr>
      <w:r>
        <w:rPr>
          <w:sz w:val="24"/>
        </w:rPr>
        <w:t>The Tenth Circuit Court of Appeals held the prosecution’s obligation to turn over </w:t>
      </w:r>
      <w:r>
        <w:rPr>
          <w:i/>
          <w:sz w:val="24"/>
        </w:rPr>
        <w:t>Brady </w:t>
      </w:r>
      <w:r>
        <w:rPr>
          <w:sz w:val="24"/>
        </w:rPr>
        <w:t>material stands independent of a defendant’s knowledge of the exculpatory evidence. </w:t>
      </w:r>
      <w:r>
        <w:rPr>
          <w:i/>
          <w:sz w:val="24"/>
        </w:rPr>
        <w:t>Banks</w:t>
      </w:r>
      <w:r>
        <w:rPr>
          <w:sz w:val="24"/>
        </w:rPr>
        <w:t>, 54 F.3d at 1508. Whether defense counsel knows or should know about </w:t>
      </w:r>
      <w:r>
        <w:rPr>
          <w:i/>
          <w:sz w:val="24"/>
        </w:rPr>
        <w:t>Brady </w:t>
      </w:r>
      <w:r>
        <w:rPr>
          <w:sz w:val="24"/>
        </w:rPr>
        <w:t>material is irrelevant to whether the prosecution has an obligation to make a disclosure.</w:t>
      </w:r>
      <w:r>
        <w:rPr>
          <w:spacing w:val="49"/>
          <w:sz w:val="24"/>
        </w:rPr>
        <w:t> </w:t>
      </w:r>
      <w:r>
        <w:rPr>
          <w:i/>
          <w:sz w:val="24"/>
        </w:rPr>
        <w:t>Id</w:t>
      </w:r>
      <w:r>
        <w:rPr>
          <w:sz w:val="24"/>
        </w:rPr>
        <w:t>.</w:t>
      </w:r>
    </w:p>
    <w:p>
      <w:pPr>
        <w:pStyle w:val="BodyText"/>
        <w:spacing w:before="3"/>
        <w:rPr>
          <w:sz w:val="21"/>
        </w:rPr>
      </w:pPr>
    </w:p>
    <w:p>
      <w:pPr>
        <w:pStyle w:val="ListParagraph"/>
        <w:numPr>
          <w:ilvl w:val="0"/>
          <w:numId w:val="2"/>
        </w:numPr>
        <w:tabs>
          <w:tab w:pos="1381" w:val="left" w:leader="none"/>
        </w:tabs>
        <w:spacing w:line="213" w:lineRule="auto" w:before="0" w:after="0"/>
        <w:ind w:left="300" w:right="114" w:firstLine="720"/>
        <w:jc w:val="both"/>
        <w:rPr>
          <w:sz w:val="24"/>
        </w:rPr>
      </w:pPr>
      <w:r>
        <w:rPr>
          <w:sz w:val="24"/>
        </w:rPr>
        <w:t>Two decisions of the Colorado Court of Appeals demonstrate that the prosecution must discharge their discovery obligations, cannot consciously avoid them, and cannot pass their duty to discharge discovery obligations to the defense. When discussing that the prosecution when acting in good faith does not have any duty to reduce oral interviews to writing, the Court held that “the prosecution cannot circumvent an obligation to disclose exculpatory information by deliberately avoiding taking notes or reducing statements to writing.” </w:t>
      </w:r>
      <w:r>
        <w:rPr>
          <w:i/>
          <w:sz w:val="24"/>
        </w:rPr>
        <w:t>Anderson</w:t>
      </w:r>
      <w:r>
        <w:rPr>
          <w:sz w:val="24"/>
        </w:rPr>
        <w:t>, 837 P.2d at 299. In </w:t>
      </w:r>
      <w:r>
        <w:rPr>
          <w:i/>
          <w:sz w:val="24"/>
        </w:rPr>
        <w:t>People v. </w:t>
      </w:r>
      <w:r>
        <w:rPr>
          <w:i/>
          <w:sz w:val="24"/>
        </w:rPr>
        <w:t>Lucero</w:t>
      </w:r>
      <w:r>
        <w:rPr>
          <w:sz w:val="24"/>
        </w:rPr>
        <w:t>, a prosecution witness made a pretrial statement to police during a polygraph that could not be located, so the Court ordered the prosecution to make further efforts to provide this discovery. 623 P.2d at 426-27. It was never provided and the defendant was convicted. </w:t>
      </w:r>
      <w:r>
        <w:rPr>
          <w:i/>
          <w:sz w:val="24"/>
        </w:rPr>
        <w:t>Id. </w:t>
      </w:r>
      <w:r>
        <w:rPr>
          <w:sz w:val="24"/>
        </w:rPr>
        <w:t>In rejecting the argument that defense did not show the statement was material, the Court</w:t>
      </w:r>
      <w:r>
        <w:rPr>
          <w:spacing w:val="-21"/>
          <w:sz w:val="24"/>
        </w:rPr>
        <w:t> </w:t>
      </w:r>
      <w:r>
        <w:rPr>
          <w:sz w:val="24"/>
        </w:rPr>
        <w:t>reasoned:</w:t>
      </w:r>
    </w:p>
    <w:p>
      <w:pPr>
        <w:pStyle w:val="BodyText"/>
        <w:spacing w:before="1"/>
        <w:rPr>
          <w:sz w:val="23"/>
        </w:rPr>
      </w:pPr>
    </w:p>
    <w:p>
      <w:pPr>
        <w:pStyle w:val="BodyText"/>
        <w:tabs>
          <w:tab w:pos="5144" w:val="left" w:leader="dot"/>
        </w:tabs>
        <w:ind w:left="1020" w:right="1150"/>
      </w:pPr>
      <w:r>
        <w:rPr/>
        <w:t>The [prosecution] misconceive[s] the function of discovery. Where, as here, the matter sought to be discovered is in the exclusive knowledge, possession, and control of the prosecution, defense counsel would have to be clairvoyant to know whether exculpatory matter</w:t>
      </w:r>
      <w:r>
        <w:rPr>
          <w:spacing w:val="-7"/>
        </w:rPr>
        <w:t> </w:t>
      </w:r>
      <w:r>
        <w:rPr/>
        <w:t>is</w:t>
      </w:r>
      <w:r>
        <w:rPr>
          <w:spacing w:val="-3"/>
        </w:rPr>
        <w:t> </w:t>
      </w:r>
      <w:r>
        <w:rPr/>
        <w:t>involved</w:t>
        <w:tab/>
        <w:t>Accordingly, it was incumbent on</w:t>
      </w:r>
      <w:r>
        <w:rPr>
          <w:spacing w:val="-4"/>
        </w:rPr>
        <w:t> </w:t>
      </w:r>
      <w:r>
        <w:rPr/>
        <w:t>the</w:t>
      </w:r>
    </w:p>
    <w:p>
      <w:pPr>
        <w:pStyle w:val="BodyText"/>
        <w:spacing w:before="1"/>
        <w:ind w:left="1020" w:right="1481"/>
      </w:pPr>
      <w:r>
        <w:rPr/>
        <w:t>prosecution to provide the defendant with information as to the existence and contents of the purported statement. The trial’s court failure to enforce the prosecution’s obligation in this regard constituted error.</w:t>
      </w:r>
    </w:p>
    <w:p>
      <w:pPr>
        <w:pStyle w:val="BodyText"/>
        <w:spacing w:before="11"/>
        <w:rPr>
          <w:sz w:val="23"/>
        </w:rPr>
      </w:pPr>
    </w:p>
    <w:p>
      <w:pPr>
        <w:spacing w:before="0"/>
        <w:ind w:left="300" w:right="0" w:firstLine="0"/>
        <w:jc w:val="left"/>
        <w:rPr>
          <w:sz w:val="24"/>
        </w:rPr>
      </w:pPr>
      <w:r>
        <w:rPr>
          <w:i/>
          <w:sz w:val="24"/>
        </w:rPr>
        <w:t>Id. </w:t>
      </w:r>
      <w:r>
        <w:rPr>
          <w:sz w:val="24"/>
        </w:rPr>
        <w:t>at 429-430.</w:t>
      </w:r>
    </w:p>
    <w:p>
      <w:pPr>
        <w:pStyle w:val="BodyText"/>
        <w:spacing w:before="8"/>
      </w:pPr>
    </w:p>
    <w:p>
      <w:pPr>
        <w:pStyle w:val="ListParagraph"/>
        <w:numPr>
          <w:ilvl w:val="0"/>
          <w:numId w:val="2"/>
        </w:numPr>
        <w:tabs>
          <w:tab w:pos="1381" w:val="left" w:leader="none"/>
        </w:tabs>
        <w:spacing w:line="213" w:lineRule="auto" w:before="0" w:after="0"/>
        <w:ind w:left="300" w:right="117" w:firstLine="720"/>
        <w:jc w:val="both"/>
        <w:rPr>
          <w:sz w:val="24"/>
        </w:rPr>
      </w:pPr>
      <w:r>
        <w:rPr>
          <w:sz w:val="24"/>
        </w:rPr>
        <w:t>It is proper to cross-examine a witness about immigration status as a motive to lie as demonstrated by the reasoning of the Colorado Court of Appeals in </w:t>
      </w:r>
      <w:r>
        <w:rPr>
          <w:i/>
          <w:sz w:val="24"/>
        </w:rPr>
        <w:t>Doumbouya v. County Court of City </w:t>
      </w:r>
      <w:r>
        <w:rPr>
          <w:i/>
          <w:sz w:val="24"/>
        </w:rPr>
        <w:t>&amp; County of Denver</w:t>
      </w:r>
      <w:r>
        <w:rPr>
          <w:sz w:val="24"/>
        </w:rPr>
        <w:t>, 224 P.3d 425 (Colo. App.</w:t>
      </w:r>
      <w:r>
        <w:rPr>
          <w:spacing w:val="-4"/>
          <w:sz w:val="24"/>
        </w:rPr>
        <w:t> </w:t>
      </w:r>
      <w:r>
        <w:rPr>
          <w:sz w:val="24"/>
        </w:rPr>
        <w:t>2009).</w:t>
      </w:r>
    </w:p>
    <w:p>
      <w:pPr>
        <w:pStyle w:val="BodyText"/>
        <w:spacing w:before="3"/>
        <w:rPr>
          <w:sz w:val="21"/>
        </w:rPr>
      </w:pPr>
    </w:p>
    <w:p>
      <w:pPr>
        <w:pStyle w:val="ListParagraph"/>
        <w:numPr>
          <w:ilvl w:val="0"/>
          <w:numId w:val="2"/>
        </w:numPr>
        <w:tabs>
          <w:tab w:pos="1381" w:val="left" w:leader="none"/>
        </w:tabs>
        <w:spacing w:line="213" w:lineRule="auto" w:before="0" w:after="0"/>
        <w:ind w:left="300" w:right="114" w:firstLine="720"/>
        <w:jc w:val="both"/>
        <w:rPr>
          <w:sz w:val="24"/>
        </w:rPr>
      </w:pPr>
      <w:r>
        <w:rPr>
          <w:sz w:val="24"/>
        </w:rPr>
        <w:t>While U-Visa information is protected and confidential subject to exceptions, 8 C.F.R. § 214.14(e)(1)(ix) demonstrates that U Visa application and information is subject to constitutional </w:t>
      </w:r>
      <w:r>
        <w:rPr>
          <w:i/>
          <w:sz w:val="24"/>
        </w:rPr>
        <w:t>Brady </w:t>
      </w:r>
      <w:r>
        <w:rPr>
          <w:sz w:val="24"/>
        </w:rPr>
        <w:t>provisions. C.F.R. § 214.14(e)(1)(ix) allows disclosure to “federal prosecutors to comply with constitutional obligations to provide statements by witnesses and certain other documents to defendants in pending federal criminal proceedings.” It is clear, however, that </w:t>
      </w:r>
      <w:r>
        <w:rPr>
          <w:i/>
          <w:sz w:val="24"/>
        </w:rPr>
        <w:t>Brady </w:t>
      </w:r>
      <w:r>
        <w:rPr>
          <w:sz w:val="24"/>
        </w:rPr>
        <w:t>obligations apply to state prosecutors as they do to federal</w:t>
      </w:r>
      <w:r>
        <w:rPr>
          <w:spacing w:val="-4"/>
          <w:sz w:val="24"/>
        </w:rPr>
        <w:t> </w:t>
      </w:r>
      <w:r>
        <w:rPr>
          <w:sz w:val="24"/>
        </w:rPr>
        <w:t>prosecutors.</w:t>
      </w:r>
    </w:p>
    <w:p>
      <w:pPr>
        <w:pStyle w:val="BodyText"/>
        <w:spacing w:before="2"/>
        <w:rPr>
          <w:sz w:val="21"/>
        </w:rPr>
      </w:pPr>
    </w:p>
    <w:p>
      <w:pPr>
        <w:pStyle w:val="ListParagraph"/>
        <w:numPr>
          <w:ilvl w:val="0"/>
          <w:numId w:val="2"/>
        </w:numPr>
        <w:tabs>
          <w:tab w:pos="1381" w:val="left" w:leader="none"/>
        </w:tabs>
        <w:spacing w:line="213" w:lineRule="auto" w:before="1" w:after="0"/>
        <w:ind w:left="300" w:right="114" w:firstLine="720"/>
        <w:jc w:val="both"/>
        <w:rPr>
          <w:sz w:val="24"/>
        </w:rPr>
      </w:pPr>
      <w:r>
        <w:rPr>
          <w:sz w:val="24"/>
        </w:rPr>
        <w:t>A witness may apply for the U-Visa even after the criminal case is closed if they provided assistance to law enforcement and/or the prosecution in the case. A witness may also apply while a case is</w:t>
      </w:r>
      <w:r>
        <w:rPr>
          <w:spacing w:val="-3"/>
          <w:sz w:val="24"/>
        </w:rPr>
        <w:t> </w:t>
      </w:r>
      <w:r>
        <w:rPr>
          <w:sz w:val="24"/>
        </w:rPr>
        <w:t>pending.</w:t>
      </w:r>
    </w:p>
    <w:p>
      <w:pPr>
        <w:spacing w:after="0" w:line="213" w:lineRule="auto"/>
        <w:jc w:val="both"/>
        <w:rPr>
          <w:sz w:val="24"/>
        </w:rPr>
        <w:sectPr>
          <w:pgSz w:w="12240" w:h="15840"/>
          <w:pgMar w:header="0" w:footer="1066" w:top="1340" w:bottom="1260" w:left="1140" w:right="1320"/>
        </w:sectPr>
      </w:pPr>
    </w:p>
    <w:p>
      <w:pPr>
        <w:pStyle w:val="ListParagraph"/>
        <w:numPr>
          <w:ilvl w:val="0"/>
          <w:numId w:val="2"/>
        </w:numPr>
        <w:tabs>
          <w:tab w:pos="1381" w:val="left" w:leader="none"/>
        </w:tabs>
        <w:spacing w:line="213" w:lineRule="auto" w:before="108" w:after="0"/>
        <w:ind w:left="300" w:right="115" w:firstLine="720"/>
        <w:jc w:val="both"/>
        <w:rPr>
          <w:sz w:val="24"/>
        </w:rPr>
      </w:pPr>
      <w:r>
        <w:rPr>
          <w:sz w:val="24"/>
        </w:rPr>
        <w:t>An application for a U-visa and inquiry by a witness about the possibility of gaining lawful immigration status both constitute clearly exculpatory information, as does the content of conversations that law enforcement, district attorneys, or agents of either agency have had with any witness in this case regarding the ability to apply for a U-visa during or after a case has concluded. Accordingly, Ms. Inga, through counsel, respectfully moves the Court to order the prosecution to provide her with notice of any such information that may exist in relation to any witness in this case. She makes this motion pursuant to her rights to due process under U.S. CONST. Amends. V, XIV; COLO.CONST.</w:t>
      </w:r>
      <w:r>
        <w:rPr>
          <w:spacing w:val="-1"/>
          <w:sz w:val="24"/>
        </w:rPr>
        <w:t> </w:t>
      </w:r>
      <w:r>
        <w:rPr>
          <w:sz w:val="24"/>
        </w:rPr>
        <w:t>Art.</w:t>
      </w:r>
      <w:r>
        <w:rPr>
          <w:spacing w:val="-1"/>
          <w:sz w:val="24"/>
        </w:rPr>
        <w:t> </w:t>
      </w:r>
      <w:r>
        <w:rPr>
          <w:sz w:val="24"/>
        </w:rPr>
        <w:t>II</w:t>
      </w:r>
      <w:r>
        <w:rPr>
          <w:spacing w:val="-1"/>
          <w:sz w:val="24"/>
        </w:rPr>
        <w:t> </w:t>
      </w:r>
      <w:r>
        <w:rPr>
          <w:sz w:val="24"/>
        </w:rPr>
        <w:t>§25;</w:t>
      </w:r>
      <w:r>
        <w:rPr>
          <w:spacing w:val="-1"/>
          <w:sz w:val="24"/>
        </w:rPr>
        <w:t> </w:t>
      </w:r>
      <w:r>
        <w:rPr>
          <w:sz w:val="24"/>
        </w:rPr>
        <w:t>and</w:t>
      </w:r>
      <w:r>
        <w:rPr>
          <w:spacing w:val="1"/>
          <w:sz w:val="24"/>
        </w:rPr>
        <w:t> </w:t>
      </w:r>
      <w:r>
        <w:rPr>
          <w:sz w:val="24"/>
        </w:rPr>
        <w:t>C</w:t>
      </w:r>
      <w:r>
        <w:rPr>
          <w:sz w:val="19"/>
        </w:rPr>
        <w:t>OLO</w:t>
      </w:r>
      <w:r>
        <w:rPr>
          <w:sz w:val="24"/>
        </w:rPr>
        <w:t>.</w:t>
      </w:r>
      <w:r>
        <w:rPr>
          <w:spacing w:val="-15"/>
          <w:sz w:val="24"/>
        </w:rPr>
        <w:t> </w:t>
      </w:r>
      <w:r>
        <w:rPr>
          <w:sz w:val="24"/>
        </w:rPr>
        <w:t>R.</w:t>
      </w:r>
      <w:r>
        <w:rPr>
          <w:spacing w:val="-16"/>
          <w:sz w:val="24"/>
        </w:rPr>
        <w:t> </w:t>
      </w:r>
      <w:r>
        <w:rPr>
          <w:sz w:val="24"/>
        </w:rPr>
        <w:t>C</w:t>
      </w:r>
      <w:r>
        <w:rPr>
          <w:sz w:val="19"/>
        </w:rPr>
        <w:t>RIM</w:t>
      </w:r>
      <w:r>
        <w:rPr>
          <w:sz w:val="24"/>
        </w:rPr>
        <w:t>.</w:t>
      </w:r>
      <w:r>
        <w:rPr>
          <w:spacing w:val="-12"/>
          <w:sz w:val="24"/>
        </w:rPr>
        <w:t> </w:t>
      </w:r>
      <w:r>
        <w:rPr>
          <w:sz w:val="24"/>
        </w:rPr>
        <w:t>P.</w:t>
      </w:r>
      <w:r>
        <w:rPr>
          <w:spacing w:val="-1"/>
          <w:sz w:val="24"/>
        </w:rPr>
        <w:t> </w:t>
      </w:r>
      <w:r>
        <w:rPr>
          <w:sz w:val="24"/>
        </w:rPr>
        <w:t>16(I)(a)(2);</w:t>
      </w:r>
      <w:r>
        <w:rPr>
          <w:spacing w:val="-1"/>
          <w:sz w:val="24"/>
        </w:rPr>
        <w:t> </w:t>
      </w:r>
      <w:r>
        <w:rPr>
          <w:sz w:val="24"/>
        </w:rPr>
        <w:t>16(I)(d)1); C.R.P.C.</w:t>
      </w:r>
      <w:r>
        <w:rPr>
          <w:spacing w:val="-1"/>
          <w:sz w:val="24"/>
        </w:rPr>
        <w:t> </w:t>
      </w:r>
      <w:r>
        <w:rPr>
          <w:sz w:val="24"/>
        </w:rPr>
        <w:t>3.8(d).</w:t>
      </w:r>
    </w:p>
    <w:p>
      <w:pPr>
        <w:pStyle w:val="BodyText"/>
        <w:rPr>
          <w:sz w:val="26"/>
        </w:rPr>
      </w:pPr>
    </w:p>
    <w:p>
      <w:pPr>
        <w:pStyle w:val="BodyText"/>
        <w:spacing w:before="8"/>
        <w:rPr>
          <w:sz w:val="35"/>
        </w:rPr>
      </w:pPr>
    </w:p>
    <w:p>
      <w:pPr>
        <w:pStyle w:val="BodyText"/>
        <w:spacing w:before="1"/>
        <w:ind w:left="300"/>
      </w:pPr>
      <w:r>
        <w:rPr/>
        <w:t>/s/ Sara S. Hildebrand</w: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76"/>
        <w:gridCol w:w="4955"/>
      </w:tblGrid>
      <w:tr>
        <w:trPr>
          <w:trHeight w:val="1619" w:hRule="atLeast"/>
        </w:trPr>
        <w:tc>
          <w:tcPr>
            <w:tcW w:w="4576" w:type="dxa"/>
          </w:tcPr>
          <w:p>
            <w:pPr>
              <w:pStyle w:val="TableParagraph"/>
              <w:spacing w:line="480" w:lineRule="auto"/>
              <w:ind w:left="200" w:right="974"/>
              <w:rPr>
                <w:sz w:val="24"/>
              </w:rPr>
            </w:pPr>
            <w:r>
              <w:rPr>
                <w:sz w:val="24"/>
              </w:rPr>
              <w:t>Deputy State Public Defender Dated: December 28, 2017</w:t>
            </w:r>
          </w:p>
        </w:tc>
        <w:tc>
          <w:tcPr>
            <w:tcW w:w="4955" w:type="dxa"/>
          </w:tcPr>
          <w:p>
            <w:pPr>
              <w:pStyle w:val="TableParagraph"/>
              <w:spacing w:line="256" w:lineRule="exact"/>
              <w:ind w:left="2236"/>
              <w:rPr>
                <w:b/>
                <w:sz w:val="24"/>
              </w:rPr>
            </w:pPr>
            <w:r>
              <w:rPr>
                <w:b/>
                <w:sz w:val="24"/>
                <w:u w:val="single"/>
              </w:rPr>
              <w:t>Certificate of Service</w:t>
            </w:r>
          </w:p>
          <w:p>
            <w:pPr>
              <w:pStyle w:val="TableParagraph"/>
              <w:ind w:left="1581" w:right="184"/>
              <w:rPr>
                <w:sz w:val="24"/>
              </w:rPr>
            </w:pPr>
            <w:r>
              <w:rPr>
                <w:sz w:val="24"/>
              </w:rPr>
              <w:t>I hereby certify that on December 28, 2017, I served the foregoing document via ICCES to all opposing counsel of record.</w:t>
            </w:r>
          </w:p>
          <w:p>
            <w:pPr>
              <w:pStyle w:val="TableParagraph"/>
              <w:spacing w:line="263" w:lineRule="exact"/>
              <w:ind w:left="1581"/>
              <w:rPr>
                <w:sz w:val="24"/>
              </w:rPr>
            </w:pPr>
            <w:r>
              <w:rPr>
                <w:sz w:val="24"/>
              </w:rPr>
              <w:t>/s/ Sara Hildebrand.</w:t>
            </w:r>
          </w:p>
        </w:tc>
      </w:tr>
    </w:tbl>
    <w:sectPr>
      <w:pgSz w:w="12240" w:h="15840"/>
      <w:pgMar w:header="0" w:footer="1066" w:top="1340" w:bottom="1260" w:left="11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049988pt;margin-top:727.722656pt;width:10pt;height:15.3pt;mso-position-horizontal-relative:page;mso-position-vertical-relative:page;z-index:-4696" type="#_x0000_t202" filled="false" stroked="false">
          <v:textbox inset="0,0,0,0">
            <w:txbxContent>
              <w:p>
                <w:pPr>
                  <w:pStyle w:val="BodyText"/>
                  <w:spacing w:before="10"/>
                  <w:ind w:left="40"/>
                  <w:rPr>
                    <w:rFonts w:ascii="Times New Roman"/>
                  </w:rPr>
                </w:pPr>
                <w:r>
                  <w:rPr/>
                  <w:fldChar w:fldCharType="begin"/>
                </w:r>
                <w:r>
                  <w:rPr>
                    <w:rFonts w:ascii="Times New Roman"/>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1"/>
      <w:numFmt w:val="decimal"/>
      <w:lvlText w:val="%1."/>
      <w:lvlJc w:val="left"/>
      <w:pPr>
        <w:ind w:left="300" w:hanging="360"/>
        <w:jc w:val="left"/>
      </w:pPr>
      <w:rPr>
        <w:rFonts w:hint="default" w:ascii="Garamond" w:hAnsi="Garamond" w:eastAsia="Garamond" w:cs="Garamond"/>
        <w:w w:val="100"/>
        <w:sz w:val="24"/>
        <w:szCs w:val="24"/>
      </w:rPr>
    </w:lvl>
    <w:lvl w:ilvl="1">
      <w:start w:val="0"/>
      <w:numFmt w:val="bullet"/>
      <w:lvlText w:val="•"/>
      <w:lvlJc w:val="left"/>
      <w:pPr>
        <w:ind w:left="1248" w:hanging="360"/>
      </w:pPr>
      <w:rPr>
        <w:rFonts w:hint="default"/>
      </w:rPr>
    </w:lvl>
    <w:lvl w:ilvl="2">
      <w:start w:val="0"/>
      <w:numFmt w:val="bullet"/>
      <w:lvlText w:val="•"/>
      <w:lvlJc w:val="left"/>
      <w:pPr>
        <w:ind w:left="2196" w:hanging="360"/>
      </w:pPr>
      <w:rPr>
        <w:rFonts w:hint="default"/>
      </w:rPr>
    </w:lvl>
    <w:lvl w:ilvl="3">
      <w:start w:val="0"/>
      <w:numFmt w:val="bullet"/>
      <w:lvlText w:val="•"/>
      <w:lvlJc w:val="left"/>
      <w:pPr>
        <w:ind w:left="3144" w:hanging="360"/>
      </w:pPr>
      <w:rPr>
        <w:rFonts w:hint="default"/>
      </w:rPr>
    </w:lvl>
    <w:lvl w:ilvl="4">
      <w:start w:val="0"/>
      <w:numFmt w:val="bullet"/>
      <w:lvlText w:val="•"/>
      <w:lvlJc w:val="left"/>
      <w:pPr>
        <w:ind w:left="4092" w:hanging="360"/>
      </w:pPr>
      <w:rPr>
        <w:rFonts w:hint="default"/>
      </w:rPr>
    </w:lvl>
    <w:lvl w:ilvl="5">
      <w:start w:val="0"/>
      <w:numFmt w:val="bullet"/>
      <w:lvlText w:val="•"/>
      <w:lvlJc w:val="left"/>
      <w:pPr>
        <w:ind w:left="5040" w:hanging="360"/>
      </w:pPr>
      <w:rPr>
        <w:rFonts w:hint="default"/>
      </w:rPr>
    </w:lvl>
    <w:lvl w:ilvl="6">
      <w:start w:val="0"/>
      <w:numFmt w:val="bullet"/>
      <w:lvlText w:val="•"/>
      <w:lvlJc w:val="left"/>
      <w:pPr>
        <w:ind w:left="5988" w:hanging="360"/>
      </w:pPr>
      <w:rPr>
        <w:rFonts w:hint="default"/>
      </w:rPr>
    </w:lvl>
    <w:lvl w:ilvl="7">
      <w:start w:val="0"/>
      <w:numFmt w:val="bullet"/>
      <w:lvlText w:val="•"/>
      <w:lvlJc w:val="left"/>
      <w:pPr>
        <w:ind w:left="6936" w:hanging="360"/>
      </w:pPr>
      <w:rPr>
        <w:rFonts w:hint="default"/>
      </w:rPr>
    </w:lvl>
    <w:lvl w:ilvl="8">
      <w:start w:val="0"/>
      <w:numFmt w:val="bullet"/>
      <w:lvlText w:val="•"/>
      <w:lvlJc w:val="left"/>
      <w:pPr>
        <w:ind w:left="7884" w:hanging="360"/>
      </w:pPr>
      <w:rPr>
        <w:rFonts w:hint="default"/>
      </w:rPr>
    </w:lvl>
  </w:abstractNum>
  <w:abstractNum w:abstractNumId="0">
    <w:multiLevelType w:val="hybridMultilevel"/>
    <w:lvl w:ilvl="0">
      <w:start w:val="1"/>
      <w:numFmt w:val="decimal"/>
      <w:lvlText w:val="%1."/>
      <w:lvlJc w:val="left"/>
      <w:pPr>
        <w:ind w:left="300" w:hanging="360"/>
        <w:jc w:val="left"/>
      </w:pPr>
      <w:rPr>
        <w:rFonts w:hint="default" w:ascii="Garamond" w:hAnsi="Garamond" w:eastAsia="Garamond" w:cs="Garamond"/>
        <w:spacing w:val="-26"/>
        <w:w w:val="100"/>
        <w:sz w:val="24"/>
        <w:szCs w:val="24"/>
      </w:rPr>
    </w:lvl>
    <w:lvl w:ilvl="1">
      <w:start w:val="0"/>
      <w:numFmt w:val="bullet"/>
      <w:lvlText w:val="•"/>
      <w:lvlJc w:val="left"/>
      <w:pPr>
        <w:ind w:left="1248" w:hanging="360"/>
      </w:pPr>
      <w:rPr>
        <w:rFonts w:hint="default"/>
      </w:rPr>
    </w:lvl>
    <w:lvl w:ilvl="2">
      <w:start w:val="0"/>
      <w:numFmt w:val="bullet"/>
      <w:lvlText w:val="•"/>
      <w:lvlJc w:val="left"/>
      <w:pPr>
        <w:ind w:left="2196" w:hanging="360"/>
      </w:pPr>
      <w:rPr>
        <w:rFonts w:hint="default"/>
      </w:rPr>
    </w:lvl>
    <w:lvl w:ilvl="3">
      <w:start w:val="0"/>
      <w:numFmt w:val="bullet"/>
      <w:lvlText w:val="•"/>
      <w:lvlJc w:val="left"/>
      <w:pPr>
        <w:ind w:left="3144" w:hanging="360"/>
      </w:pPr>
      <w:rPr>
        <w:rFonts w:hint="default"/>
      </w:rPr>
    </w:lvl>
    <w:lvl w:ilvl="4">
      <w:start w:val="0"/>
      <w:numFmt w:val="bullet"/>
      <w:lvlText w:val="•"/>
      <w:lvlJc w:val="left"/>
      <w:pPr>
        <w:ind w:left="4092" w:hanging="360"/>
      </w:pPr>
      <w:rPr>
        <w:rFonts w:hint="default"/>
      </w:rPr>
    </w:lvl>
    <w:lvl w:ilvl="5">
      <w:start w:val="0"/>
      <w:numFmt w:val="bullet"/>
      <w:lvlText w:val="•"/>
      <w:lvlJc w:val="left"/>
      <w:pPr>
        <w:ind w:left="5040" w:hanging="360"/>
      </w:pPr>
      <w:rPr>
        <w:rFonts w:hint="default"/>
      </w:rPr>
    </w:lvl>
    <w:lvl w:ilvl="6">
      <w:start w:val="0"/>
      <w:numFmt w:val="bullet"/>
      <w:lvlText w:val="•"/>
      <w:lvlJc w:val="left"/>
      <w:pPr>
        <w:ind w:left="5988" w:hanging="360"/>
      </w:pPr>
      <w:rPr>
        <w:rFonts w:hint="default"/>
      </w:rPr>
    </w:lvl>
    <w:lvl w:ilvl="7">
      <w:start w:val="0"/>
      <w:numFmt w:val="bullet"/>
      <w:lvlText w:val="•"/>
      <w:lvlJc w:val="left"/>
      <w:pPr>
        <w:ind w:left="6936" w:hanging="360"/>
      </w:pPr>
      <w:rPr>
        <w:rFonts w:hint="default"/>
      </w:rPr>
    </w:lvl>
    <w:lvl w:ilvl="8">
      <w:start w:val="0"/>
      <w:numFmt w:val="bullet"/>
      <w:lvlText w:val="•"/>
      <w:lvlJc w:val="left"/>
      <w:pPr>
        <w:ind w:left="7884"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rPr>
      <w:rFonts w:ascii="Garamond" w:hAnsi="Garamond" w:eastAsia="Garamond" w:cs="Garamond"/>
      <w:sz w:val="24"/>
      <w:szCs w:val="24"/>
    </w:rPr>
  </w:style>
  <w:style w:styleId="ListParagraph" w:type="paragraph">
    <w:name w:val="List Paragraph"/>
    <w:basedOn w:val="Normal"/>
    <w:uiPriority w:val="1"/>
    <w:qFormat/>
    <w:pPr>
      <w:ind w:left="300" w:right="113" w:firstLine="720"/>
      <w:jc w:val="both"/>
    </w:pPr>
    <w:rPr>
      <w:rFonts w:ascii="Garamond" w:hAnsi="Garamond" w:eastAsia="Garamond" w:cs="Garamond"/>
    </w:rPr>
  </w:style>
  <w:style w:styleId="TableParagraph" w:type="paragraph">
    <w:name w:val="Table Paragraph"/>
    <w:basedOn w:val="Normal"/>
    <w:uiPriority w:val="1"/>
    <w:qFormat/>
    <w:pPr/>
    <w:rPr>
      <w:rFonts w:ascii="Garamond" w:hAnsi="Garamond" w:eastAsia="Garamond" w:cs="Garamon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sara.hildebrand@coloradodefenders.us"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2019-03-22T15:38:36Z</dcterms:created>
  <dcterms:modified xsi:type="dcterms:W3CDTF">2019-03-22T15:38:36Z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LastSaved">
    <vt:filetime>2019-03-22T00:00:00Z</vt:filetime>
  </property>
</Properties>
</file>