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25"/>
        </w:rPr>
      </w:pPr>
    </w:p>
    <w:p>
      <w:pPr>
        <w:spacing w:before="107"/>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84.384003pt;margin-top:-17.601049pt;width:469.8pt;height:264.7pt;mso-position-horizontal-relative:page;mso-position-vertical-relative:paragraph;z-index:1024" type="#_x0000_t202" filled="false" stroked="false">
            <v:textbox inset="0,0,0,0">
              <w:txbxContent>
                <w:tbl>
                  <w:tblPr>
                    <w:tblW w:w="0" w:type="auto"/>
                    <w:jc w:val="left"/>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60"/>
                    <w:gridCol w:w="3420"/>
                  </w:tblGrid>
                  <w:tr>
                    <w:trPr>
                      <w:trHeight w:val="825" w:hRule="atLeast"/>
                    </w:trPr>
                    <w:tc>
                      <w:tcPr>
                        <w:tcW w:w="5960" w:type="dxa"/>
                        <w:tcBorders>
                          <w:left w:val="single" w:sz="4" w:space="0" w:color="000000"/>
                          <w:bottom w:val="single" w:sz="4" w:space="0" w:color="000000"/>
                          <w:right w:val="single" w:sz="4" w:space="0" w:color="000000"/>
                        </w:tcBorders>
                      </w:tcPr>
                      <w:p>
                        <w:pPr>
                          <w:pStyle w:val="TableParagraph"/>
                          <w:ind w:right="1049"/>
                          <w:rPr>
                            <w:sz w:val="24"/>
                          </w:rPr>
                        </w:pPr>
                        <w:r>
                          <w:rPr>
                            <w:sz w:val="24"/>
                          </w:rPr>
                          <w:t>DISTRICT Court, Adams County, Colorado Court Address: 1100 Judicial Center Drive</w:t>
                        </w:r>
                      </w:p>
                      <w:p>
                        <w:pPr>
                          <w:pStyle w:val="TableParagraph"/>
                          <w:spacing w:line="264" w:lineRule="exact"/>
                          <w:ind w:left="1607"/>
                          <w:rPr>
                            <w:sz w:val="24"/>
                          </w:rPr>
                        </w:pPr>
                        <w:r>
                          <w:rPr>
                            <w:sz w:val="24"/>
                          </w:rPr>
                          <w:t>Brighton, CO 80601</w:t>
                        </w:r>
                      </w:p>
                    </w:tc>
                    <w:tc>
                      <w:tcPr>
                        <w:tcW w:w="3420" w:type="dxa"/>
                        <w:vMerge w:val="restart"/>
                        <w:tcBorders>
                          <w:left w:val="single" w:sz="4" w:space="0" w:color="000000"/>
                          <w:bottom w:val="single" w:sz="4" w:space="0" w:color="000000"/>
                          <w:right w:val="single" w:sz="4" w:space="0" w:color="000000"/>
                        </w:tcBorders>
                      </w:tcPr>
                      <w:p>
                        <w:pPr>
                          <w:pStyle w:val="TableParagraph"/>
                          <w:ind w:left="0"/>
                          <w:rPr>
                            <w:sz w:val="26"/>
                          </w:rPr>
                        </w:pPr>
                      </w:p>
                      <w:p>
                        <w:pPr>
                          <w:pStyle w:val="TableParagraph"/>
                          <w:spacing w:line="220" w:lineRule="auto" w:before="162"/>
                          <w:ind w:left="583" w:right="-11"/>
                          <w:rPr>
                            <w:rFonts w:ascii="Minion Pro"/>
                            <w:sz w:val="19"/>
                          </w:rPr>
                        </w:pPr>
                        <w:r>
                          <w:rPr>
                            <w:rFonts w:ascii="Minion Pro"/>
                            <w:color w:val="0000FF"/>
                            <w:spacing w:val="-6"/>
                            <w:w w:val="105"/>
                            <w:sz w:val="19"/>
                          </w:rPr>
                          <w:t>DATE </w:t>
                        </w:r>
                        <w:r>
                          <w:rPr>
                            <w:rFonts w:ascii="Minion Pro"/>
                            <w:color w:val="0000FF"/>
                            <w:w w:val="105"/>
                            <w:sz w:val="19"/>
                          </w:rPr>
                          <w:t>FILED: August 25, 2016 </w:t>
                        </w:r>
                        <w:r>
                          <w:rPr>
                            <w:rFonts w:ascii="Minion Pro"/>
                            <w:color w:val="0000FF"/>
                            <w:spacing w:val="-4"/>
                            <w:w w:val="105"/>
                            <w:sz w:val="19"/>
                          </w:rPr>
                          <w:t>2:29 </w:t>
                        </w:r>
                        <w:r>
                          <w:rPr>
                            <w:rFonts w:ascii="Minion Pro"/>
                            <w:color w:val="0000FF"/>
                            <w:w w:val="105"/>
                            <w:sz w:val="19"/>
                          </w:rPr>
                          <w:t>FILING ID: 5DB271E3FAED4 CASE NUMBER: 2014CR2365</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35"/>
                          </w:rPr>
                        </w:pPr>
                      </w:p>
                      <w:p>
                        <w:pPr>
                          <w:pStyle w:val="TableParagraph"/>
                          <w:spacing w:line="279" w:lineRule="exact"/>
                          <w:ind w:left="475"/>
                          <w:rPr>
                            <w:rFonts w:ascii="Symbol" w:hAnsi="Symbol"/>
                            <w:sz w:val="24"/>
                          </w:rPr>
                        </w:pPr>
                        <w:r>
                          <w:rPr>
                            <w:rFonts w:ascii="Symbol" w:hAnsi="Symbol"/>
                            <w:sz w:val="24"/>
                          </w:rPr>
                          <w:t></w:t>
                        </w:r>
                        <w:r>
                          <w:rPr>
                            <w:sz w:val="24"/>
                          </w:rPr>
                          <w:t> COURT USE ONLY </w:t>
                        </w:r>
                        <w:r>
                          <w:rPr>
                            <w:rFonts w:ascii="Symbol" w:hAnsi="Symbol"/>
                            <w:sz w:val="24"/>
                          </w:rPr>
                          <w:t></w:t>
                        </w:r>
                      </w:p>
                    </w:tc>
                  </w:tr>
                  <w:tr>
                    <w:trPr>
                      <w:trHeight w:val="1931" w:hRule="atLeast"/>
                    </w:trPr>
                    <w:tc>
                      <w:tcPr>
                        <w:tcW w:w="596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rPr>
                            <w:sz w:val="24"/>
                          </w:rPr>
                        </w:pPr>
                        <w:r>
                          <w:rPr>
                            <w:sz w:val="24"/>
                          </w:rPr>
                          <w:t>THE PEOPLE OF THE STATE OF COLORADO,</w:t>
                        </w:r>
                      </w:p>
                      <w:p>
                        <w:pPr>
                          <w:pStyle w:val="TableParagraph"/>
                          <w:spacing w:line="480" w:lineRule="auto"/>
                          <w:ind w:right="5036"/>
                          <w:rPr>
                            <w:sz w:val="24"/>
                          </w:rPr>
                        </w:pPr>
                        <w:r>
                          <w:rPr>
                            <w:sz w:val="24"/>
                          </w:rPr>
                          <w:t>Plaintiff v.</w:t>
                        </w:r>
                      </w:p>
                      <w:p>
                        <w:pPr>
                          <w:pStyle w:val="TableParagraph"/>
                          <w:rPr>
                            <w:sz w:val="24"/>
                          </w:rPr>
                        </w:pPr>
                        <w:r>
                          <w:rPr>
                            <w:sz w:val="24"/>
                          </w:rPr>
                          <w:t>PABLO GUTIEREZ,</w:t>
                        </w:r>
                      </w:p>
                      <w:p>
                        <w:pPr>
                          <w:pStyle w:val="TableParagraph"/>
                          <w:spacing w:line="264" w:lineRule="exact"/>
                          <w:rPr>
                            <w:sz w:val="24"/>
                          </w:rPr>
                        </w:pPr>
                        <w:r>
                          <w:rPr>
                            <w:sz w:val="24"/>
                          </w:rPr>
                          <w:t>Defendant</w:t>
                        </w:r>
                      </w:p>
                    </w:tc>
                    <w:tc>
                      <w:tcPr>
                        <w:tcW w:w="3420" w:type="dxa"/>
                        <w:vMerge/>
                        <w:tcBorders>
                          <w:top w:val="nil"/>
                          <w:left w:val="single" w:sz="4" w:space="0" w:color="000000"/>
                          <w:bottom w:val="single" w:sz="4" w:space="0" w:color="000000"/>
                          <w:right w:val="single" w:sz="4" w:space="0" w:color="000000"/>
                        </w:tcBorders>
                      </w:tcPr>
                      <w:p>
                        <w:pPr>
                          <w:rPr>
                            <w:sz w:val="2"/>
                            <w:szCs w:val="2"/>
                          </w:rPr>
                        </w:pPr>
                      </w:p>
                    </w:tc>
                  </w:tr>
                  <w:tr>
                    <w:trPr>
                      <w:trHeight w:val="1656" w:hRule="atLeast"/>
                    </w:trPr>
                    <w:tc>
                      <w:tcPr>
                        <w:tcW w:w="5960" w:type="dxa"/>
                        <w:tcBorders>
                          <w:top w:val="single" w:sz="4" w:space="0" w:color="000000"/>
                          <w:left w:val="single" w:sz="4" w:space="0" w:color="000000"/>
                          <w:bottom w:val="single" w:sz="4" w:space="0" w:color="000000"/>
                          <w:right w:val="single" w:sz="4" w:space="0" w:color="000000"/>
                        </w:tcBorders>
                      </w:tcPr>
                      <w:p>
                        <w:pPr>
                          <w:pStyle w:val="TableParagraph"/>
                          <w:ind w:right="797"/>
                          <w:rPr>
                            <w:sz w:val="24"/>
                          </w:rPr>
                        </w:pPr>
                        <w:r>
                          <w:rPr>
                            <w:sz w:val="24"/>
                          </w:rPr>
                          <w:t>Douglas K. Wilson, Colorado State Public Defender James Beck, No. 46027</w:t>
                        </w:r>
                      </w:p>
                      <w:p>
                        <w:pPr>
                          <w:pStyle w:val="TableParagraph"/>
                          <w:rPr>
                            <w:sz w:val="24"/>
                          </w:rPr>
                        </w:pPr>
                        <w:r>
                          <w:rPr>
                            <w:sz w:val="24"/>
                          </w:rPr>
                          <w:t>Brighton Regional Public Defenders</w:t>
                        </w:r>
                      </w:p>
                      <w:p>
                        <w:pPr>
                          <w:pStyle w:val="TableParagraph"/>
                          <w:rPr>
                            <w:sz w:val="24"/>
                          </w:rPr>
                        </w:pPr>
                        <w:r>
                          <w:rPr>
                            <w:sz w:val="24"/>
                          </w:rPr>
                          <w:t>4710 East Bromley Lane, Brighton CO</w:t>
                        </w:r>
                        <w:r>
                          <w:rPr>
                            <w:spacing w:val="57"/>
                            <w:sz w:val="24"/>
                          </w:rPr>
                          <w:t> </w:t>
                        </w:r>
                        <w:r>
                          <w:rPr>
                            <w:sz w:val="24"/>
                          </w:rPr>
                          <w:t>80601</w:t>
                        </w:r>
                      </w:p>
                      <w:p>
                        <w:pPr>
                          <w:pStyle w:val="TableParagraph"/>
                          <w:tabs>
                            <w:tab w:pos="3354" w:val="left" w:leader="none"/>
                          </w:tabs>
                          <w:rPr>
                            <w:sz w:val="24"/>
                          </w:rPr>
                        </w:pPr>
                        <w:r>
                          <w:rPr>
                            <w:sz w:val="24"/>
                          </w:rPr>
                          <w:t>Phone:</w:t>
                        </w:r>
                        <w:r>
                          <w:rPr>
                            <w:spacing w:val="59"/>
                            <w:sz w:val="24"/>
                          </w:rPr>
                          <w:t> </w:t>
                        </w:r>
                        <w:r>
                          <w:rPr>
                            <w:sz w:val="24"/>
                          </w:rPr>
                          <w:t>(303)</w:t>
                        </w:r>
                        <w:r>
                          <w:rPr>
                            <w:spacing w:val="-2"/>
                            <w:sz w:val="24"/>
                          </w:rPr>
                          <w:t> </w:t>
                        </w:r>
                        <w:r>
                          <w:rPr>
                            <w:sz w:val="24"/>
                          </w:rPr>
                          <w:t>659-4274</w:t>
                          <w:tab/>
                          <w:t>Fax: (303) 659-6935</w:t>
                        </w:r>
                      </w:p>
                      <w:p>
                        <w:pPr>
                          <w:pStyle w:val="TableParagraph"/>
                          <w:spacing w:line="264" w:lineRule="exact"/>
                          <w:rPr>
                            <w:sz w:val="24"/>
                          </w:rPr>
                        </w:pPr>
                        <w:r>
                          <w:rPr>
                            <w:sz w:val="24"/>
                          </w:rPr>
                          <w:t>E-</w:t>
                        </w:r>
                        <w:hyperlink r:id="rId5">
                          <w:r>
                            <w:rPr>
                              <w:sz w:val="24"/>
                            </w:rPr>
                            <w:t>mail:</w:t>
                          </w:r>
                          <w:r>
                            <w:rPr>
                              <w:spacing w:val="59"/>
                              <w:sz w:val="24"/>
                            </w:rPr>
                            <w:t> </w:t>
                          </w:r>
                          <w:r>
                            <w:rPr>
                              <w:sz w:val="24"/>
                            </w:rPr>
                            <w:t>james.beck@coloradodefenders.us</w:t>
                          </w:r>
                        </w:hyperlink>
                      </w:p>
                    </w:tc>
                    <w:tc>
                      <w:tcPr>
                        <w:tcW w:w="3420"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sz w:val="23"/>
                          </w:rPr>
                        </w:pPr>
                      </w:p>
                      <w:p>
                        <w:pPr>
                          <w:pStyle w:val="TableParagraph"/>
                          <w:ind w:left="105"/>
                          <w:rPr>
                            <w:sz w:val="24"/>
                          </w:rPr>
                        </w:pPr>
                        <w:r>
                          <w:rPr>
                            <w:sz w:val="24"/>
                          </w:rPr>
                          <w:t>Case No.</w:t>
                        </w:r>
                        <w:r>
                          <w:rPr>
                            <w:spacing w:val="57"/>
                            <w:sz w:val="24"/>
                          </w:rPr>
                          <w:t> </w:t>
                        </w:r>
                        <w:r>
                          <w:rPr>
                            <w:sz w:val="24"/>
                          </w:rPr>
                          <w:t>14CR2365</w:t>
                        </w:r>
                      </w:p>
                      <w:p>
                        <w:pPr>
                          <w:pStyle w:val="TableParagraph"/>
                          <w:ind w:left="0"/>
                          <w:rPr>
                            <w:sz w:val="26"/>
                          </w:rPr>
                        </w:pPr>
                      </w:p>
                      <w:p>
                        <w:pPr>
                          <w:pStyle w:val="TableParagraph"/>
                          <w:ind w:left="0"/>
                          <w:rPr>
                            <w:sz w:val="26"/>
                          </w:rPr>
                        </w:pPr>
                      </w:p>
                      <w:p>
                        <w:pPr>
                          <w:pStyle w:val="TableParagraph"/>
                          <w:spacing w:line="264" w:lineRule="exact" w:before="231"/>
                          <w:ind w:left="105"/>
                          <w:rPr>
                            <w:sz w:val="24"/>
                          </w:rPr>
                        </w:pPr>
                        <w:r>
                          <w:rPr>
                            <w:sz w:val="24"/>
                          </w:rPr>
                          <w:t>Division Q</w:t>
                        </w:r>
                      </w:p>
                    </w:tc>
                  </w:tr>
                  <w:tr>
                    <w:trPr>
                      <w:trHeight w:val="827" w:hRule="atLeast"/>
                    </w:trPr>
                    <w:tc>
                      <w:tcPr>
                        <w:tcW w:w="938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
                          <w:ind w:left="0"/>
                          <w:rPr>
                            <w:sz w:val="23"/>
                          </w:rPr>
                        </w:pPr>
                      </w:p>
                      <w:p>
                        <w:pPr>
                          <w:pStyle w:val="TableParagraph"/>
                          <w:ind w:left="1785"/>
                          <w:rPr>
                            <w:b/>
                            <w:sz w:val="24"/>
                          </w:rPr>
                        </w:pPr>
                        <w:r>
                          <w:rPr>
                            <w:b/>
                            <w:sz w:val="24"/>
                          </w:rPr>
                          <w:t>MOTION FOR RETURN OF PERSONAL PROPERTY</w:t>
                        </w:r>
                      </w:p>
                    </w:tc>
                  </w:tr>
                </w:tbl>
                <w:p>
                  <w:pPr>
                    <w:pStyle w:val="BodyText"/>
                  </w:pPr>
                </w:p>
              </w:txbxContent>
            </v:textbox>
            <w10:wrap type="none"/>
          </v:shape>
        </w:pict>
      </w:r>
      <w:r>
        <w:rPr>
          <w:rFonts w:ascii="Minion Pro"/>
          <w:color w:val="0000FF"/>
          <w:sz w:val="19"/>
        </w:rPr>
        <w:t>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2"/>
        <w:rPr>
          <w:rFonts w:ascii="Minion Pro"/>
          <w:sz w:val="21"/>
        </w:rPr>
      </w:pPr>
    </w:p>
    <w:p>
      <w:pPr>
        <w:pStyle w:val="BodyText"/>
        <w:ind w:left="220" w:right="1302" w:firstLine="719"/>
      </w:pPr>
      <w:r>
        <w:rPr/>
        <w:t>PABLO GUTIEREZ, by and through counsel, hereby moves this court for an order returning his personal property seized in this case: unknown amount of currency. As grounds, Mr. Gutierez states the following:</w:t>
      </w:r>
    </w:p>
    <w:p>
      <w:pPr>
        <w:pStyle w:val="BodyText"/>
      </w:pPr>
    </w:p>
    <w:p>
      <w:pPr>
        <w:pStyle w:val="ListParagraph"/>
        <w:numPr>
          <w:ilvl w:val="0"/>
          <w:numId w:val="1"/>
        </w:numPr>
        <w:tabs>
          <w:tab w:pos="941" w:val="left" w:leader="none"/>
        </w:tabs>
        <w:spacing w:line="240" w:lineRule="auto" w:before="0" w:after="0"/>
        <w:ind w:left="940" w:right="1025" w:hanging="360"/>
        <w:jc w:val="left"/>
        <w:rPr>
          <w:sz w:val="24"/>
        </w:rPr>
      </w:pPr>
      <w:r>
        <w:rPr>
          <w:sz w:val="24"/>
        </w:rPr>
        <w:t>“It is fundamental to the integrity of the criminal justice system that seized property against which the government has no claim must be returned to its lawful owner.” </w:t>
      </w:r>
      <w:r>
        <w:rPr>
          <w:i/>
          <w:sz w:val="24"/>
        </w:rPr>
        <w:t>People v. Buggs</w:t>
      </w:r>
      <w:r>
        <w:rPr>
          <w:sz w:val="24"/>
        </w:rPr>
        <w:t>, 631 P.2d 1200, 1201 (Colo. App.</w:t>
      </w:r>
      <w:r>
        <w:rPr>
          <w:spacing w:val="-2"/>
          <w:sz w:val="24"/>
        </w:rPr>
        <w:t> </w:t>
      </w:r>
      <w:r>
        <w:rPr>
          <w:sz w:val="24"/>
        </w:rPr>
        <w:t>1981).</w:t>
      </w:r>
    </w:p>
    <w:p>
      <w:pPr>
        <w:pStyle w:val="BodyText"/>
        <w:spacing w:before="1"/>
      </w:pPr>
    </w:p>
    <w:p>
      <w:pPr>
        <w:pStyle w:val="ListParagraph"/>
        <w:numPr>
          <w:ilvl w:val="0"/>
          <w:numId w:val="1"/>
        </w:numPr>
        <w:tabs>
          <w:tab w:pos="941" w:val="left" w:leader="none"/>
        </w:tabs>
        <w:spacing w:line="240" w:lineRule="auto" w:before="0" w:after="0"/>
        <w:ind w:left="940" w:right="1174" w:hanging="360"/>
        <w:jc w:val="left"/>
        <w:rPr>
          <w:sz w:val="24"/>
        </w:rPr>
      </w:pPr>
      <w:r>
        <w:rPr>
          <w:sz w:val="24"/>
        </w:rPr>
        <w:t>Crim. P. 41 authorizes the seizure of property, which is designed, or intended</w:t>
      </w:r>
      <w:r>
        <w:rPr>
          <w:spacing w:val="-10"/>
          <w:sz w:val="24"/>
        </w:rPr>
        <w:t> </w:t>
      </w:r>
      <w:r>
        <w:rPr>
          <w:sz w:val="24"/>
        </w:rPr>
        <w:t>for use or has been used as a means of committing a criminal offense, or the possession of which is illegal. In recognition of the due process requirement, Crim. P. 41(e) provides that an aggrieved person may move the district court for the return of the seized</w:t>
      </w:r>
      <w:r>
        <w:rPr>
          <w:spacing w:val="-3"/>
          <w:sz w:val="24"/>
        </w:rPr>
        <w:t> </w:t>
      </w:r>
      <w:r>
        <w:rPr>
          <w:sz w:val="24"/>
        </w:rPr>
        <w:t>property.</w:t>
      </w:r>
    </w:p>
    <w:p>
      <w:pPr>
        <w:pStyle w:val="BodyText"/>
      </w:pPr>
    </w:p>
    <w:p>
      <w:pPr>
        <w:pStyle w:val="ListParagraph"/>
        <w:numPr>
          <w:ilvl w:val="0"/>
          <w:numId w:val="1"/>
        </w:numPr>
        <w:tabs>
          <w:tab w:pos="941" w:val="left" w:leader="none"/>
        </w:tabs>
        <w:spacing w:line="240" w:lineRule="auto" w:before="0" w:after="0"/>
        <w:ind w:left="940" w:right="1019" w:hanging="360"/>
        <w:jc w:val="left"/>
        <w:rPr>
          <w:sz w:val="24"/>
        </w:rPr>
      </w:pPr>
      <w:r>
        <w:rPr>
          <w:sz w:val="24"/>
        </w:rPr>
        <w:t>The filing of a motion for return of seized property in the same action in which the charges were determined is a proper remedy. </w:t>
      </w:r>
      <w:r>
        <w:rPr>
          <w:i/>
          <w:sz w:val="24"/>
        </w:rPr>
        <w:t>People v. Angerstein</w:t>
      </w:r>
      <w:r>
        <w:rPr>
          <w:sz w:val="24"/>
        </w:rPr>
        <w:t>, 572 P.2d 479 (1977); </w:t>
      </w:r>
      <w:r>
        <w:rPr>
          <w:i/>
          <w:sz w:val="24"/>
        </w:rPr>
        <w:t>People v. Buggs</w:t>
      </w:r>
      <w:r>
        <w:rPr>
          <w:sz w:val="24"/>
        </w:rPr>
        <w:t>, 631 P.2d 1200 (Colo. App. 1981); </w:t>
      </w:r>
      <w:r>
        <w:rPr>
          <w:i/>
          <w:sz w:val="24"/>
        </w:rPr>
        <w:t>see also People v. </w:t>
      </w:r>
      <w:r>
        <w:rPr>
          <w:i/>
          <w:sz w:val="24"/>
        </w:rPr>
        <w:t>Ward</w:t>
      </w:r>
      <w:r>
        <w:rPr>
          <w:sz w:val="24"/>
        </w:rPr>
        <w:t>, 685 P.2d 238 (Colo.,</w:t>
      </w:r>
      <w:r>
        <w:rPr>
          <w:spacing w:val="-1"/>
          <w:sz w:val="24"/>
        </w:rPr>
        <w:t> </w:t>
      </w:r>
      <w:r>
        <w:rPr>
          <w:sz w:val="24"/>
        </w:rPr>
        <w:t>1984).</w:t>
      </w:r>
    </w:p>
    <w:p>
      <w:pPr>
        <w:pStyle w:val="BodyText"/>
        <w:spacing w:before="1"/>
      </w:pPr>
    </w:p>
    <w:p>
      <w:pPr>
        <w:pStyle w:val="ListParagraph"/>
        <w:numPr>
          <w:ilvl w:val="0"/>
          <w:numId w:val="1"/>
        </w:numPr>
        <w:tabs>
          <w:tab w:pos="941" w:val="left" w:leader="none"/>
        </w:tabs>
        <w:spacing w:line="240" w:lineRule="auto" w:before="0" w:after="0"/>
        <w:ind w:left="940" w:right="1037" w:hanging="360"/>
        <w:jc w:val="left"/>
        <w:rPr>
          <w:sz w:val="24"/>
        </w:rPr>
      </w:pPr>
      <w:r>
        <w:rPr>
          <w:sz w:val="24"/>
        </w:rPr>
        <w:t>Once a defendant has made a prima facie showing of ownership of the seized property, the burden shifts to the prosecution to show that the property was the fruit of an illegal activity or to show a connection between the seized property</w:t>
      </w:r>
      <w:r>
        <w:rPr>
          <w:spacing w:val="-16"/>
          <w:sz w:val="24"/>
        </w:rPr>
        <w:t> </w:t>
      </w:r>
      <w:r>
        <w:rPr>
          <w:sz w:val="24"/>
        </w:rPr>
        <w:t>and criminal activity. </w:t>
      </w:r>
      <w:r>
        <w:rPr>
          <w:i/>
          <w:sz w:val="24"/>
        </w:rPr>
        <w:t>Buggs</w:t>
      </w:r>
      <w:r>
        <w:rPr>
          <w:sz w:val="24"/>
        </w:rPr>
        <w:t>, 631 P.2d at 1201; </w:t>
      </w:r>
      <w:r>
        <w:rPr>
          <w:i/>
          <w:sz w:val="24"/>
        </w:rPr>
        <w:t>People v. Bustam</w:t>
      </w:r>
      <w:r>
        <w:rPr>
          <w:sz w:val="24"/>
        </w:rPr>
        <w:t>, 641 P.2d 968 (Colo. 1982). Seizure form a defendant is prima facie evidence of ownership of the property. </w:t>
      </w:r>
      <w:r>
        <w:rPr>
          <w:i/>
          <w:sz w:val="24"/>
        </w:rPr>
        <w:t>Buggs</w:t>
      </w:r>
      <w:r>
        <w:rPr>
          <w:sz w:val="24"/>
        </w:rPr>
        <w:t>, 631 P.2d at</w:t>
      </w:r>
      <w:r>
        <w:rPr>
          <w:spacing w:val="1"/>
          <w:sz w:val="24"/>
        </w:rPr>
        <w:t> </w:t>
      </w:r>
      <w:r>
        <w:rPr>
          <w:sz w:val="24"/>
        </w:rPr>
        <w:t>1201.</w:t>
      </w:r>
    </w:p>
    <w:p>
      <w:pPr>
        <w:spacing w:after="0" w:line="240" w:lineRule="auto"/>
        <w:jc w:val="left"/>
        <w:rPr>
          <w:sz w:val="24"/>
        </w:rPr>
        <w:sectPr>
          <w:type w:val="continuous"/>
          <w:pgSz w:w="12240" w:h="15840"/>
          <w:pgMar w:top="1500" w:bottom="280" w:left="1580" w:right="780"/>
        </w:sectPr>
      </w:pPr>
    </w:p>
    <w:p>
      <w:pPr>
        <w:pStyle w:val="BodyText"/>
        <w:spacing w:before="3"/>
        <w:rPr>
          <w:sz w:val="10"/>
        </w:rPr>
      </w:pPr>
    </w:p>
    <w:p>
      <w:pPr>
        <w:pStyle w:val="ListParagraph"/>
        <w:numPr>
          <w:ilvl w:val="0"/>
          <w:numId w:val="1"/>
        </w:numPr>
        <w:tabs>
          <w:tab w:pos="941" w:val="left" w:leader="none"/>
        </w:tabs>
        <w:spacing w:line="240" w:lineRule="auto" w:before="90" w:after="0"/>
        <w:ind w:left="940" w:right="1028" w:hanging="360"/>
        <w:jc w:val="left"/>
        <w:rPr>
          <w:sz w:val="24"/>
        </w:rPr>
      </w:pPr>
      <w:r>
        <w:rPr>
          <w:sz w:val="24"/>
        </w:rPr>
        <w:t>Crim. P. 41 does not specifically provide for the procedure to be followed where the seizure is a legal one. However, the Colorado Supreme Court held in </w:t>
      </w:r>
      <w:r>
        <w:rPr>
          <w:i/>
          <w:sz w:val="24"/>
        </w:rPr>
        <w:t>People</w:t>
      </w:r>
      <w:r>
        <w:rPr>
          <w:i/>
          <w:spacing w:val="-12"/>
          <w:sz w:val="24"/>
        </w:rPr>
        <w:t> </w:t>
      </w:r>
      <w:r>
        <w:rPr>
          <w:i/>
          <w:sz w:val="24"/>
        </w:rPr>
        <w:t>v. </w:t>
      </w:r>
      <w:r>
        <w:rPr>
          <w:i/>
          <w:sz w:val="24"/>
        </w:rPr>
        <w:t>Angerstein</w:t>
      </w:r>
      <w:r>
        <w:rPr>
          <w:sz w:val="24"/>
        </w:rPr>
        <w:t>, that there is no right to the return of legally seized property that is either: (a) designed or intended for the use as a means of committing a criminal offense, or (b) the possession of which is illegal. 572 P.2d at</w:t>
      </w:r>
      <w:r>
        <w:rPr>
          <w:spacing w:val="-3"/>
          <w:sz w:val="24"/>
        </w:rPr>
        <w:t> </w:t>
      </w:r>
      <w:r>
        <w:rPr>
          <w:sz w:val="24"/>
        </w:rPr>
        <w:t>481.</w:t>
      </w:r>
    </w:p>
    <w:p>
      <w:pPr>
        <w:pStyle w:val="BodyText"/>
      </w:pPr>
    </w:p>
    <w:p>
      <w:pPr>
        <w:pStyle w:val="ListParagraph"/>
        <w:numPr>
          <w:ilvl w:val="0"/>
          <w:numId w:val="1"/>
        </w:numPr>
        <w:tabs>
          <w:tab w:pos="941" w:val="left" w:leader="none"/>
        </w:tabs>
        <w:spacing w:line="240" w:lineRule="auto" w:before="0" w:after="0"/>
        <w:ind w:left="940" w:right="1075" w:hanging="360"/>
        <w:jc w:val="left"/>
        <w:rPr>
          <w:sz w:val="24"/>
        </w:rPr>
      </w:pPr>
      <w:r>
        <w:rPr>
          <w:sz w:val="24"/>
        </w:rPr>
        <w:t>In </w:t>
      </w:r>
      <w:r>
        <w:rPr>
          <w:i/>
          <w:sz w:val="24"/>
        </w:rPr>
        <w:t>Angerstein</w:t>
      </w:r>
      <w:r>
        <w:rPr>
          <w:sz w:val="24"/>
        </w:rPr>
        <w:t>, the defendants were requesting the return of tools that were used</w:t>
      </w:r>
      <w:r>
        <w:rPr>
          <w:spacing w:val="-14"/>
          <w:sz w:val="24"/>
        </w:rPr>
        <w:t> </w:t>
      </w:r>
      <w:r>
        <w:rPr>
          <w:sz w:val="24"/>
        </w:rPr>
        <w:t>in the commission of a burglary, for which they had pled guilty. The court noted that not only were the tools used in the commission of the crime, but the possession of the tools themselves could constitute a crime in and of itself. </w:t>
      </w:r>
      <w:r>
        <w:rPr>
          <w:i/>
          <w:sz w:val="24"/>
        </w:rPr>
        <w:t>See </w:t>
      </w:r>
      <w:r>
        <w:rPr>
          <w:sz w:val="24"/>
        </w:rPr>
        <w:t>C.R.S. §18-4-205</w:t>
      </w:r>
      <w:r>
        <w:rPr>
          <w:spacing w:val="-1"/>
          <w:sz w:val="24"/>
        </w:rPr>
        <w:t> </w:t>
      </w:r>
      <w:r>
        <w:rPr>
          <w:sz w:val="24"/>
        </w:rPr>
        <w:t>(1973).</w:t>
      </w:r>
    </w:p>
    <w:p>
      <w:pPr>
        <w:pStyle w:val="BodyText"/>
        <w:spacing w:before="1"/>
      </w:pPr>
    </w:p>
    <w:p>
      <w:pPr>
        <w:pStyle w:val="ListParagraph"/>
        <w:numPr>
          <w:ilvl w:val="0"/>
          <w:numId w:val="1"/>
        </w:numPr>
        <w:tabs>
          <w:tab w:pos="941" w:val="left" w:leader="none"/>
        </w:tabs>
        <w:spacing w:line="240" w:lineRule="auto" w:before="0" w:after="0"/>
        <w:ind w:left="940" w:right="1042" w:hanging="360"/>
        <w:jc w:val="left"/>
        <w:rPr>
          <w:sz w:val="24"/>
        </w:rPr>
      </w:pPr>
      <w:r>
        <w:rPr>
          <w:sz w:val="24"/>
        </w:rPr>
        <w:t>In the instant case Mr. Gutierez was charged with: bribery, attempt to influence a public servant, forgery, criminal impersonation, and driving under the influence. He was contacted in a parked car and was asked to exit the vehicle in order for</w:t>
      </w:r>
      <w:r>
        <w:rPr>
          <w:spacing w:val="-12"/>
          <w:sz w:val="24"/>
        </w:rPr>
        <w:t> </w:t>
      </w:r>
      <w:r>
        <w:rPr>
          <w:sz w:val="24"/>
        </w:rPr>
        <w:t>the police officer to conduct a driving under the influence investigation. When the officer conducted a pat down search of Mr. Gutierez he discovered a stack of money in Mr. Gutierez’s pocket.  According to the officer, Mr. Gutierez offered to give him the money in exchange for being let</w:t>
      </w:r>
      <w:r>
        <w:rPr>
          <w:spacing w:val="-8"/>
          <w:sz w:val="24"/>
        </w:rPr>
        <w:t> </w:t>
      </w:r>
      <w:r>
        <w:rPr>
          <w:sz w:val="24"/>
        </w:rPr>
        <w:t>go.</w:t>
      </w:r>
    </w:p>
    <w:p>
      <w:pPr>
        <w:pStyle w:val="BodyText"/>
      </w:pPr>
    </w:p>
    <w:p>
      <w:pPr>
        <w:pStyle w:val="ListParagraph"/>
        <w:numPr>
          <w:ilvl w:val="0"/>
          <w:numId w:val="1"/>
        </w:numPr>
        <w:tabs>
          <w:tab w:pos="941" w:val="left" w:leader="none"/>
        </w:tabs>
        <w:spacing w:line="240" w:lineRule="auto" w:before="0" w:after="0"/>
        <w:ind w:left="940" w:right="1235" w:hanging="360"/>
        <w:jc w:val="left"/>
        <w:rPr>
          <w:sz w:val="24"/>
        </w:rPr>
      </w:pPr>
      <w:r>
        <w:rPr>
          <w:sz w:val="24"/>
        </w:rPr>
        <w:t>Mr. Gutierez was also found to be in the possession of various identification documents. A further search of the car revealed a large amount of currency in a black paper bag located in the trunk of the car. The police never counted the money found in the trunk, but classified it as “a large amount of currency.” The money taken from Mr. Gutierez’s pocket was “over $12,000” but no specific amount was</w:t>
      </w:r>
      <w:r>
        <w:rPr>
          <w:spacing w:val="1"/>
          <w:sz w:val="24"/>
        </w:rPr>
        <w:t> </w:t>
      </w:r>
      <w:r>
        <w:rPr>
          <w:sz w:val="24"/>
        </w:rPr>
        <w:t>given.</w:t>
      </w:r>
    </w:p>
    <w:p>
      <w:pPr>
        <w:pStyle w:val="BodyText"/>
      </w:pPr>
    </w:p>
    <w:p>
      <w:pPr>
        <w:pStyle w:val="ListParagraph"/>
        <w:numPr>
          <w:ilvl w:val="0"/>
          <w:numId w:val="1"/>
        </w:numPr>
        <w:tabs>
          <w:tab w:pos="941" w:val="left" w:leader="none"/>
        </w:tabs>
        <w:spacing w:line="240" w:lineRule="auto" w:before="1" w:after="0"/>
        <w:ind w:left="940" w:right="1059" w:hanging="360"/>
        <w:jc w:val="left"/>
        <w:rPr>
          <w:sz w:val="24"/>
        </w:rPr>
      </w:pPr>
      <w:r>
        <w:rPr>
          <w:sz w:val="24"/>
        </w:rPr>
        <w:t>Mr. Gutierez is not requesting the return of the identification documents, but is requesting the return of all of the currency seized by the police in this case. The currency from the trunk has never been connected to any criminal activity. Furthermore, there is nothing inherently criminal about any of the currency seized and it should all be rightfully returned to Mr.</w:t>
      </w:r>
      <w:r>
        <w:rPr>
          <w:spacing w:val="-7"/>
          <w:sz w:val="24"/>
        </w:rPr>
        <w:t> </w:t>
      </w:r>
      <w:r>
        <w:rPr>
          <w:sz w:val="24"/>
        </w:rPr>
        <w:t>Gutierez.</w:t>
      </w:r>
    </w:p>
    <w:p>
      <w:pPr>
        <w:pStyle w:val="BodyText"/>
        <w:rPr>
          <w:sz w:val="26"/>
        </w:rPr>
      </w:pPr>
    </w:p>
    <w:p>
      <w:pPr>
        <w:pStyle w:val="BodyText"/>
        <w:rPr>
          <w:sz w:val="22"/>
        </w:rPr>
      </w:pPr>
    </w:p>
    <w:p>
      <w:pPr>
        <w:pStyle w:val="BodyText"/>
        <w:ind w:left="220" w:right="1283" w:firstLine="719"/>
      </w:pPr>
      <w:r>
        <w:rPr/>
        <w:t>WHEREFORE, Pablo Gutierez respectfully requests that the currency seized in this case be released.</w:t>
      </w:r>
    </w:p>
    <w:p>
      <w:pPr>
        <w:pStyle w:val="BodyText"/>
        <w:spacing w:before="2"/>
      </w:pPr>
    </w:p>
    <w:p>
      <w:pPr>
        <w:pStyle w:val="BodyText"/>
        <w:spacing w:line="550" w:lineRule="atLeast"/>
        <w:ind w:left="220" w:right="7206"/>
      </w:pPr>
      <w:r>
        <w:rPr/>
        <w:t>Respectfully submitted, DOUGLAS K. WILSON</w:t>
      </w:r>
    </w:p>
    <w:p>
      <w:pPr>
        <w:pStyle w:val="BodyText"/>
        <w:spacing w:before="3"/>
        <w:ind w:left="220"/>
      </w:pPr>
      <w:r>
        <w:rPr/>
        <w:t>COLORADO STATE PUBLIC DEFENDER</w:t>
      </w:r>
    </w:p>
    <w:p>
      <w:pPr>
        <w:spacing w:after="0"/>
        <w:sectPr>
          <w:pgSz w:w="12240" w:h="15840"/>
          <w:pgMar w:top="1500" w:bottom="280" w:left="1580" w:right="780"/>
        </w:sectPr>
      </w:pPr>
    </w:p>
    <w:p>
      <w:pPr>
        <w:pStyle w:val="BodyText"/>
        <w:ind w:left="220"/>
        <w:rPr>
          <w:sz w:val="20"/>
        </w:rPr>
      </w:pPr>
      <w:r>
        <w:rPr>
          <w:sz w:val="20"/>
        </w:rPr>
        <w:drawing>
          <wp:inline distT="0" distB="0" distL="0" distR="0">
            <wp:extent cx="1543576" cy="77952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43576" cy="779526"/>
                    </a:xfrm>
                    <a:prstGeom prst="rect">
                      <a:avLst/>
                    </a:prstGeom>
                  </pic:spPr>
                </pic:pic>
              </a:graphicData>
            </a:graphic>
          </wp:inline>
        </w:drawing>
      </w:r>
      <w:r>
        <w:rPr>
          <w:sz w:val="20"/>
        </w:rPr>
      </w:r>
    </w:p>
    <w:p>
      <w:pPr>
        <w:pStyle w:val="BodyText"/>
        <w:spacing w:before="4"/>
        <w:rPr>
          <w:sz w:val="19"/>
        </w:rPr>
      </w:pPr>
      <w:r>
        <w:rPr/>
        <w:pict>
          <v:line style="position:absolute;mso-position-horizontal-relative:page;mso-position-vertical-relative:paragraph;z-index:-1000;mso-wrap-distance-left:0;mso-wrap-distance-right:0" from="90.024002pt,13.332005pt" to="300.024012pt,13.332005pt" stroked="true" strokeweight=".48pt" strokecolor="#000000">
            <v:stroke dashstyle="solid"/>
            <w10:wrap type="topAndBottom"/>
          </v:line>
        </w:pict>
      </w:r>
    </w:p>
    <w:p>
      <w:pPr>
        <w:pStyle w:val="BodyText"/>
        <w:spacing w:line="244" w:lineRule="exact"/>
        <w:ind w:left="220"/>
      </w:pPr>
      <w:r>
        <w:rPr/>
        <w:t>MONTANA FAY, No. 46785</w:t>
      </w:r>
    </w:p>
    <w:p>
      <w:pPr>
        <w:pStyle w:val="BodyText"/>
        <w:spacing w:line="213" w:lineRule="auto" w:before="24"/>
        <w:ind w:left="220" w:right="6767"/>
      </w:pPr>
      <w:r>
        <w:rPr/>
        <w:t>Deputy State Public Defender 4710 East Bromley Lane Brighton, CO 80601</w:t>
      </w:r>
    </w:p>
    <w:p>
      <w:pPr>
        <w:pStyle w:val="BodyText"/>
        <w:spacing w:line="246" w:lineRule="exact"/>
        <w:ind w:left="220"/>
      </w:pPr>
      <w:r>
        <w:rPr/>
        <w:t>(303) 659-4274</w:t>
      </w:r>
    </w:p>
    <w:p>
      <w:pPr>
        <w:pStyle w:val="BodyText"/>
        <w:rPr>
          <w:sz w:val="26"/>
        </w:rPr>
      </w:pPr>
    </w:p>
    <w:p>
      <w:pPr>
        <w:pStyle w:val="BodyText"/>
        <w:rPr>
          <w:sz w:val="21"/>
        </w:rPr>
      </w:pPr>
    </w:p>
    <w:p>
      <w:pPr>
        <w:pStyle w:val="BodyText"/>
        <w:ind w:left="220"/>
      </w:pPr>
      <w:r>
        <w:rPr/>
        <w:t>Dated: August 25, 2016</w:t>
      </w:r>
    </w:p>
    <w:p>
      <w:pPr>
        <w:spacing w:after="0"/>
        <w:sectPr>
          <w:pgSz w:w="12240" w:h="15840"/>
          <w:pgMar w:top="1440" w:bottom="280" w:left="1580" w:right="780"/>
        </w:sectPr>
      </w:pPr>
    </w:p>
    <w:p>
      <w:pPr>
        <w:spacing w:line="274" w:lineRule="exact" w:before="76"/>
        <w:ind w:left="2947" w:right="0" w:firstLine="0"/>
        <w:jc w:val="left"/>
        <w:rPr>
          <w:b/>
          <w:sz w:val="24"/>
        </w:rPr>
      </w:pPr>
      <w:r>
        <w:rPr>
          <w:b/>
          <w:sz w:val="24"/>
        </w:rPr>
        <w:t>CERTIFICATE OF SERVICE</w:t>
      </w:r>
    </w:p>
    <w:p>
      <w:pPr>
        <w:pStyle w:val="BodyText"/>
        <w:ind w:left="220" w:right="1143" w:firstLine="719"/>
      </w:pPr>
      <w:r>
        <w:rPr/>
        <w:t>I hereby certify that on August 25, 2016, a true and correct copy of the foregoing document was served via ICCES on all parties who appear of record and have entered their appearances herein according to ICCES. /s/ Montana Fay</w:t>
      </w:r>
    </w:p>
    <w:sectPr>
      <w:pgSz w:w="12240" w:h="15840"/>
      <w:pgMar w:top="1360" w:bottom="280" w:left="15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0" w:hanging="36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940" w:hanging="360"/>
      </w:pPr>
      <w:rPr>
        <w:rFonts w:hint="default"/>
        <w:lang w:val="en-us" w:eastAsia="en-us" w:bidi="en-us"/>
      </w:rPr>
    </w:lvl>
    <w:lvl w:ilvl="2">
      <w:start w:val="0"/>
      <w:numFmt w:val="bullet"/>
      <w:lvlText w:val="•"/>
      <w:lvlJc w:val="left"/>
      <w:pPr>
        <w:ind w:left="1933" w:hanging="360"/>
      </w:pPr>
      <w:rPr>
        <w:rFonts w:hint="default"/>
        <w:lang w:val="en-us" w:eastAsia="en-us" w:bidi="en-us"/>
      </w:rPr>
    </w:lvl>
    <w:lvl w:ilvl="3">
      <w:start w:val="0"/>
      <w:numFmt w:val="bullet"/>
      <w:lvlText w:val="•"/>
      <w:lvlJc w:val="left"/>
      <w:pPr>
        <w:ind w:left="2926" w:hanging="360"/>
      </w:pPr>
      <w:rPr>
        <w:rFonts w:hint="default"/>
        <w:lang w:val="en-us" w:eastAsia="en-us" w:bidi="en-us"/>
      </w:rPr>
    </w:lvl>
    <w:lvl w:ilvl="4">
      <w:start w:val="0"/>
      <w:numFmt w:val="bullet"/>
      <w:lvlText w:val="•"/>
      <w:lvlJc w:val="left"/>
      <w:pPr>
        <w:ind w:left="3920" w:hanging="360"/>
      </w:pPr>
      <w:rPr>
        <w:rFonts w:hint="default"/>
        <w:lang w:val="en-us" w:eastAsia="en-us" w:bidi="en-us"/>
      </w:rPr>
    </w:lvl>
    <w:lvl w:ilvl="5">
      <w:start w:val="0"/>
      <w:numFmt w:val="bullet"/>
      <w:lvlText w:val="•"/>
      <w:lvlJc w:val="left"/>
      <w:pPr>
        <w:ind w:left="4913" w:hanging="360"/>
      </w:pPr>
      <w:rPr>
        <w:rFonts w:hint="default"/>
        <w:lang w:val="en-us" w:eastAsia="en-us" w:bidi="en-us"/>
      </w:rPr>
    </w:lvl>
    <w:lvl w:ilvl="6">
      <w:start w:val="0"/>
      <w:numFmt w:val="bullet"/>
      <w:lvlText w:val="•"/>
      <w:lvlJc w:val="left"/>
      <w:pPr>
        <w:ind w:left="5906"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893"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940" w:right="1019"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ames.beck@coloradodefenders.us"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dc:creator>
  <dcterms:created xsi:type="dcterms:W3CDTF">2019-05-10T18:42:25Z</dcterms:created>
  <dcterms:modified xsi:type="dcterms:W3CDTF">2019-05-10T18:42:25Z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Microsoft® Word 2010</vt:lpwstr>
  </property>
  <property fmtid="{D5CDD505-2E9C-101B-9397-08002B2CF9AE}" pid="4" name="LastSaved">
    <vt:filetime>2019-05-10T00:00:00Z</vt:filetime>
  </property>
</Properties>
</file>