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
        <w:rPr>
          <w:sz w:val="27"/>
        </w:rPr>
      </w:pPr>
    </w:p>
    <w:p>
      <w:pPr>
        <w:pStyle w:val="Heading1"/>
        <w:spacing w:line="225" w:lineRule="auto" w:before="103"/>
        <w:ind w:left="1713" w:right="1801" w:firstLine="549"/>
      </w:pPr>
      <w:r>
        <w:rPr/>
        <w:t>IN THE UNITED STATES DISTRICT COURT FOR THE SOUTHERN DISTRICT OF WEST</w:t>
      </w:r>
      <w:r>
        <w:rPr>
          <w:spacing w:val="-14"/>
        </w:rPr>
        <w:t> </w:t>
      </w:r>
      <w:r>
        <w:rPr/>
        <w:t>VIRGINIA</w:t>
      </w:r>
    </w:p>
    <w:p>
      <w:pPr>
        <w:spacing w:line="262" w:lineRule="exact" w:before="0"/>
        <w:ind w:left="40" w:right="145" w:firstLine="0"/>
        <w:jc w:val="center"/>
        <w:rPr>
          <w:b/>
          <w:sz w:val="24"/>
        </w:rPr>
      </w:pPr>
      <w:r>
        <w:rPr>
          <w:b/>
          <w:sz w:val="24"/>
        </w:rPr>
        <w:t>AT BECKLEY</w:t>
      </w:r>
    </w:p>
    <w:p>
      <w:pPr>
        <w:pStyle w:val="BodyText"/>
        <w:spacing w:before="4"/>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8"/>
        <w:rPr>
          <w:b/>
          <w:sz w:val="22"/>
        </w:rPr>
      </w:pPr>
    </w:p>
    <w:p>
      <w:pPr>
        <w:spacing w:line="270" w:lineRule="exact" w:before="0"/>
        <w:ind w:left="779" w:right="0" w:firstLine="0"/>
        <w:jc w:val="left"/>
        <w:rPr>
          <w:b/>
          <w:sz w:val="24"/>
        </w:rPr>
      </w:pPr>
      <w:r>
        <w:rPr>
          <w:b/>
          <w:sz w:val="24"/>
        </w:rPr>
        <w:t>Plaintiffs,</w:t>
      </w:r>
    </w:p>
    <w:p>
      <w:pPr>
        <w:pStyle w:val="ListParagraph"/>
        <w:numPr>
          <w:ilvl w:val="0"/>
          <w:numId w:val="1"/>
        </w:numPr>
        <w:tabs>
          <w:tab w:pos="4420" w:val="left" w:leader="none"/>
          <w:tab w:pos="4421" w:val="left" w:leader="none"/>
        </w:tabs>
        <w:spacing w:line="264" w:lineRule="exact" w:before="0" w:after="0"/>
        <w:ind w:left="4421" w:right="0" w:hanging="4321"/>
        <w:jc w:val="left"/>
        <w:rPr>
          <w:b/>
          <w:sz w:val="24"/>
        </w:rPr>
      </w:pPr>
      <w:r>
        <w:rPr>
          <w:b/>
          <w:sz w:val="24"/>
        </w:rPr>
        <w:t>CIVIL ACTION NO.</w:t>
      </w:r>
      <w:r>
        <w:rPr>
          <w:b/>
          <w:spacing w:val="-1"/>
          <w:sz w:val="24"/>
        </w:rPr>
        <w:t> </w:t>
      </w:r>
      <w:r>
        <w:rPr>
          <w:b/>
          <w:sz w:val="24"/>
        </w:rPr>
        <w:t>5:15-CV-15444</w:t>
      </w:r>
    </w:p>
    <w:p>
      <w:pPr>
        <w:spacing w:line="270" w:lineRule="exact" w:before="0"/>
        <w:ind w:left="846" w:right="145" w:firstLine="0"/>
        <w:jc w:val="center"/>
        <w:rPr>
          <w:b/>
          <w:sz w:val="24"/>
        </w:rPr>
      </w:pPr>
      <w:r>
        <w:rPr>
          <w:b/>
          <w:sz w:val="24"/>
        </w:rPr>
        <w:t>(consolidated)</w:t>
      </w:r>
    </w:p>
    <w:p>
      <w:pPr>
        <w:spacing w:before="188"/>
        <w:ind w:left="112" w:right="0" w:firstLine="0"/>
        <w:jc w:val="left"/>
        <w:rPr>
          <w:b/>
          <w:sz w:val="24"/>
        </w:rPr>
      </w:pPr>
      <w:r>
        <w:rPr>
          <w:b/>
          <w:sz w:val="24"/>
        </w:rPr>
        <w:t>PINNACLE MINING COMPANY LLC</w:t>
      </w:r>
    </w:p>
    <w:p>
      <w:pPr>
        <w:spacing w:before="233"/>
        <w:ind w:left="789" w:right="0" w:firstLine="0"/>
        <w:jc w:val="left"/>
        <w:rPr>
          <w:b/>
          <w:sz w:val="24"/>
        </w:rPr>
      </w:pPr>
      <w:r>
        <w:rPr>
          <w:b/>
          <w:sz w:val="24"/>
        </w:rPr>
        <w:t>Defendant.</w:t>
      </w:r>
    </w:p>
    <w:p>
      <w:pPr>
        <w:pStyle w:val="BodyText"/>
        <w:rPr>
          <w:b/>
          <w:sz w:val="26"/>
        </w:rPr>
      </w:pPr>
    </w:p>
    <w:p>
      <w:pPr>
        <w:pStyle w:val="BodyText"/>
        <w:rPr>
          <w:b/>
          <w:sz w:val="26"/>
        </w:rPr>
      </w:pPr>
    </w:p>
    <w:p>
      <w:pPr>
        <w:pStyle w:val="BodyText"/>
        <w:spacing w:before="11"/>
        <w:rPr>
          <w:b/>
          <w:sz w:val="23"/>
        </w:rPr>
      </w:pPr>
    </w:p>
    <w:p>
      <w:pPr>
        <w:spacing w:line="232" w:lineRule="auto" w:before="0"/>
        <w:ind w:left="3362" w:right="239" w:hanging="3109"/>
        <w:jc w:val="left"/>
        <w:rPr>
          <w:b/>
          <w:sz w:val="24"/>
        </w:rPr>
      </w:pPr>
      <w:r>
        <w:rPr/>
        <w:pict>
          <v:rect style="position:absolute;margin-left:533.140015pt;margin-top:12.187021pt;width:3pt;height:1.2pt;mso-position-horizontal-relative:page;mso-position-vertical-relative:paragraph;z-index:1024" filled="true" fillcolor="#000000" stroked="false">
            <v:fill type="solid"/>
            <w10:wrap type="none"/>
          </v:rect>
        </w:pict>
      </w:r>
      <w:r>
        <w:rPr>
          <w:b/>
          <w:sz w:val="24"/>
        </w:rPr>
        <w:t>DEFENDANT’S MOTION IN LIMINE TO PRECLUDE OPINIONS OF PLAINTIFFS' </w:t>
      </w:r>
      <w:r>
        <w:rPr>
          <w:b/>
          <w:sz w:val="24"/>
          <w:u w:val="thick"/>
        </w:rPr>
        <w:t>EXPERT DEAN DAWSON</w:t>
      </w:r>
    </w:p>
    <w:p>
      <w:pPr>
        <w:pStyle w:val="BodyText"/>
        <w:rPr>
          <w:b/>
          <w:sz w:val="20"/>
        </w:rPr>
      </w:pPr>
    </w:p>
    <w:p>
      <w:pPr>
        <w:pStyle w:val="BodyText"/>
        <w:spacing w:before="9"/>
        <w:rPr>
          <w:b/>
          <w:sz w:val="19"/>
        </w:rPr>
      </w:pPr>
    </w:p>
    <w:p>
      <w:pPr>
        <w:pStyle w:val="BodyText"/>
        <w:spacing w:line="480" w:lineRule="auto" w:before="90"/>
        <w:ind w:left="100" w:right="118" w:firstLine="719"/>
        <w:jc w:val="both"/>
      </w:pPr>
      <w:r>
        <w:rPr/>
        <w:t>Defendant Pinnacle Mining Company, LLC ("Pinnacle” or “Defendant"), by counsel, moves this Court in limine to preclude the testimony and introduction of any evidence relating to the opinions of Dean Dawson ("Mr. Dawson") at trial.</w:t>
      </w:r>
      <w:r>
        <w:rPr>
          <w:vertAlign w:val="superscript"/>
        </w:rPr>
        <w:t>1</w:t>
      </w:r>
      <w:r>
        <w:rPr>
          <w:vertAlign w:val="baseline"/>
        </w:rPr>
        <w:t> Mr. Dawson's opinions are speculative and are irrelevant to the calculation of any potentially recoverable damages in this case.</w:t>
      </w:r>
    </w:p>
    <w:p>
      <w:pPr>
        <w:spacing w:before="5"/>
        <w:ind w:left="98" w:right="145" w:firstLine="0"/>
        <w:jc w:val="center"/>
        <w:rPr>
          <w:b/>
          <w:sz w:val="24"/>
        </w:rPr>
      </w:pPr>
      <w:r>
        <w:rPr>
          <w:b/>
          <w:sz w:val="24"/>
          <w:u w:val="thick"/>
        </w:rPr>
        <w:t>Factual Background</w:t>
      </w:r>
    </w:p>
    <w:p>
      <w:pPr>
        <w:pStyle w:val="BodyText"/>
        <w:spacing w:before="9"/>
        <w:rPr>
          <w:b/>
          <w:sz w:val="15"/>
        </w:rPr>
      </w:pPr>
    </w:p>
    <w:p>
      <w:pPr>
        <w:pStyle w:val="BodyText"/>
        <w:spacing w:line="480" w:lineRule="auto" w:before="90"/>
        <w:ind w:left="117" w:right="119" w:firstLine="691"/>
        <w:jc w:val="both"/>
      </w:pPr>
      <w:r>
        <w:rPr/>
        <w:t>Mr. Dawson submitted reports on behalf of Plaintiffs in this matter. His reports include an approximately 4 page report and then numerous attachments pertaining to subject matters that have little relation to anything in this case. </w:t>
      </w:r>
      <w:r>
        <w:rPr>
          <w:i/>
        </w:rPr>
        <w:t>See, e.g., </w:t>
      </w:r>
      <w:r>
        <w:rPr/>
        <w:t>Report of Nelson and Mary Bailey, attached hereto as Exhibit 1.</w:t>
      </w:r>
    </w:p>
    <w:p>
      <w:pPr>
        <w:pStyle w:val="BodyText"/>
        <w:spacing w:line="480" w:lineRule="auto" w:before="1"/>
        <w:ind w:left="122" w:right="134" w:firstLine="681"/>
        <w:jc w:val="both"/>
      </w:pPr>
      <w:r>
        <w:rPr/>
        <w:pict>
          <v:line style="position:absolute;mso-position-horizontal-relative:page;mso-position-vertical-relative:paragraph;z-index:-6040" from="72.024002pt,51.933132pt" to="216.044002pt,51.933132pt" stroked="true" strokeweight=".47998pt" strokecolor="#000000">
            <v:stroke dashstyle="solid"/>
            <w10:wrap type="none"/>
          </v:line>
        </w:pict>
      </w:r>
      <w:r>
        <w:rPr/>
        <w:t>Ultimately, Mr. Dawson seeks to provide to the jury in this case is the “Assuming no Damages” retrospective market value loss of the subject property and the “As is” value of the</w:t>
      </w:r>
    </w:p>
    <w:p>
      <w:pPr>
        <w:tabs>
          <w:tab w:pos="820" w:val="left" w:leader="none"/>
        </w:tabs>
        <w:spacing w:before="2"/>
        <w:ind w:left="100" w:right="113" w:firstLine="0"/>
        <w:jc w:val="both"/>
        <w:rPr>
          <w:sz w:val="22"/>
        </w:rPr>
      </w:pPr>
      <w:r>
        <w:rPr>
          <w:rFonts w:ascii="Arial"/>
          <w:position w:val="10"/>
          <w:sz w:val="13"/>
        </w:rPr>
        <w:t>1</w:t>
        <w:tab/>
      </w:r>
      <w:r>
        <w:rPr>
          <w:sz w:val="22"/>
        </w:rPr>
        <w:t>Defendant has already moved for sanctions with respect to Mr. Dawson for his failure to comply with Rule 26(a)(2). See Docket Entry Nos. 205-06. Certainly, to the extent that this Court grants that particular motion, this motion would be</w:t>
      </w:r>
      <w:r>
        <w:rPr>
          <w:spacing w:val="-5"/>
          <w:sz w:val="22"/>
        </w:rPr>
        <w:t> </w:t>
      </w:r>
      <w:r>
        <w:rPr>
          <w:sz w:val="22"/>
        </w:rPr>
        <w:t>unnecessary.</w:t>
      </w:r>
    </w:p>
    <w:p>
      <w:pPr>
        <w:spacing w:after="0"/>
        <w:jc w:val="both"/>
        <w:rPr>
          <w:sz w:val="22"/>
        </w:rPr>
        <w:sectPr>
          <w:headerReference w:type="default" r:id="rId5"/>
          <w:type w:val="continuous"/>
          <w:pgSz w:w="12240" w:h="15840"/>
          <w:pgMar w:header="283" w:top="1340" w:bottom="280" w:left="1340" w:right="1320"/>
          <w:pgNumType w:start="1"/>
        </w:sectPr>
      </w:pPr>
    </w:p>
    <w:p>
      <w:pPr>
        <w:pStyle w:val="BodyText"/>
        <w:spacing w:line="480" w:lineRule="auto" w:before="89"/>
        <w:ind w:left="122"/>
      </w:pPr>
      <w:r>
        <w:rPr/>
        <w:t>property, which assumes damages and for which he provides as a range on the low-end of some figure and the high-end. </w:t>
      </w:r>
      <w:r>
        <w:rPr>
          <w:i/>
        </w:rPr>
        <w:t>See, e.g., </w:t>
      </w:r>
      <w:r>
        <w:rPr/>
        <w:t>Ex. 1 at pp. 3-4.</w:t>
      </w:r>
    </w:p>
    <w:p>
      <w:pPr>
        <w:pStyle w:val="BodyText"/>
        <w:ind w:left="141" w:firstLine="679"/>
      </w:pPr>
      <w:r>
        <w:rPr/>
        <w:t>In the case of Mr. and Mrs. Bailey, Mr. Dawson concluded that the “assuming no issues” value of their home was $52,000 and the "As Is" retrospective market value loss of the subject property, as of December 31, 2013</w:t>
      </w:r>
    </w:p>
    <w:p>
      <w:pPr>
        <w:pStyle w:val="BodyText"/>
        <w:spacing w:before="6"/>
      </w:pPr>
    </w:p>
    <w:p>
      <w:pPr>
        <w:pStyle w:val="Heading1"/>
        <w:spacing w:line="187" w:lineRule="auto"/>
        <w:ind w:left="1108" w:right="1726"/>
      </w:pPr>
      <w:r>
        <w:rPr/>
        <w:t>Eighteen Thousand Two Hundred to Fiftv-Two Thousand Dollars (S18,200-$52,000)</w:t>
      </w:r>
    </w:p>
    <w:p>
      <w:pPr>
        <w:pStyle w:val="BodyText"/>
        <w:spacing w:before="4"/>
        <w:rPr>
          <w:b/>
          <w:sz w:val="9"/>
        </w:rPr>
      </w:pPr>
    </w:p>
    <w:p>
      <w:pPr>
        <w:spacing w:before="90"/>
        <w:ind w:left="114" w:right="0" w:firstLine="0"/>
        <w:jc w:val="left"/>
        <w:rPr>
          <w:sz w:val="24"/>
        </w:rPr>
      </w:pPr>
      <w:r>
        <w:rPr>
          <w:i/>
          <w:sz w:val="24"/>
        </w:rPr>
        <w:t>Id.</w:t>
      </w:r>
      <w:r>
        <w:rPr>
          <w:sz w:val="24"/>
        </w:rPr>
        <w:t>.</w:t>
      </w:r>
    </w:p>
    <w:p>
      <w:pPr>
        <w:pStyle w:val="BodyText"/>
        <w:spacing w:before="4"/>
        <w:rPr>
          <w:sz w:val="21"/>
        </w:rPr>
      </w:pPr>
    </w:p>
    <w:p>
      <w:pPr>
        <w:pStyle w:val="BodyText"/>
        <w:ind w:left="820"/>
      </w:pPr>
      <w:r>
        <w:rPr/>
        <w:t>Mr. Dawson’s appraisal contains a significant caveat that provided as follows: ' The value</w:t>
      </w:r>
    </w:p>
    <w:p>
      <w:pPr>
        <w:pStyle w:val="BodyText"/>
        <w:spacing w:before="8"/>
        <w:rPr>
          <w:sz w:val="13"/>
        </w:rPr>
      </w:pPr>
    </w:p>
    <w:p>
      <w:pPr>
        <w:pStyle w:val="BodyText"/>
        <w:spacing w:line="453" w:lineRule="auto" w:before="90"/>
        <w:ind w:left="100" w:right="114"/>
        <w:jc w:val="both"/>
      </w:pPr>
      <w:r>
        <w:rPr/>
        <w:t>loss</w:t>
      </w:r>
      <w:r>
        <w:rPr>
          <w:spacing w:val="-9"/>
        </w:rPr>
        <w:t> </w:t>
      </w:r>
      <w:r>
        <w:rPr>
          <w:b/>
          <w:u w:val="thick"/>
        </w:rPr>
        <w:t>does</w:t>
      </w:r>
      <w:r>
        <w:rPr>
          <w:b/>
          <w:spacing w:val="-7"/>
          <w:u w:val="thick"/>
        </w:rPr>
        <w:t> </w:t>
      </w:r>
      <w:r>
        <w:rPr>
          <w:b/>
          <w:u w:val="thick"/>
        </w:rPr>
        <w:t>not</w:t>
      </w:r>
      <w:r>
        <w:rPr>
          <w:b/>
          <w:spacing w:val="-8"/>
          <w:u w:val="thick"/>
        </w:rPr>
        <w:t> </w:t>
      </w:r>
      <w:r>
        <w:rPr>
          <w:b/>
          <w:u w:val="thick"/>
        </w:rPr>
        <w:t>account</w:t>
      </w:r>
      <w:r>
        <w:rPr>
          <w:b/>
          <w:spacing w:val="-10"/>
        </w:rPr>
        <w:t> </w:t>
      </w:r>
      <w:r>
        <w:rPr/>
        <w:t>for</w:t>
      </w:r>
      <w:r>
        <w:rPr>
          <w:spacing w:val="-9"/>
        </w:rPr>
        <w:t> </w:t>
      </w:r>
      <w:r>
        <w:rPr/>
        <w:t>any</w:t>
      </w:r>
      <w:r>
        <w:rPr>
          <w:spacing w:val="-15"/>
        </w:rPr>
        <w:t> </w:t>
      </w:r>
      <w:r>
        <w:rPr/>
        <w:t>structural</w:t>
      </w:r>
      <w:r>
        <w:rPr>
          <w:spacing w:val="-10"/>
        </w:rPr>
        <w:t> </w:t>
      </w:r>
      <w:r>
        <w:rPr/>
        <w:t>or</w:t>
      </w:r>
      <w:r>
        <w:rPr>
          <w:spacing w:val="-8"/>
        </w:rPr>
        <w:t> </w:t>
      </w:r>
      <w:r>
        <w:rPr/>
        <w:t>cosmetic</w:t>
      </w:r>
      <w:r>
        <w:rPr>
          <w:spacing w:val="-11"/>
        </w:rPr>
        <w:t> </w:t>
      </w:r>
      <w:r>
        <w:rPr/>
        <w:t>damage</w:t>
      </w:r>
      <w:r>
        <w:rPr>
          <w:spacing w:val="-10"/>
        </w:rPr>
        <w:t> </w:t>
      </w:r>
      <w:r>
        <w:rPr/>
        <w:t>caused</w:t>
      </w:r>
      <w:r>
        <w:rPr>
          <w:spacing w:val="-11"/>
        </w:rPr>
        <w:t> </w:t>
      </w:r>
      <w:r>
        <w:rPr/>
        <w:t>by</w:t>
      </w:r>
      <w:r>
        <w:rPr>
          <w:spacing w:val="-15"/>
        </w:rPr>
        <w:t> </w:t>
      </w:r>
      <w:r>
        <w:rPr/>
        <w:t>the</w:t>
      </w:r>
      <w:r>
        <w:rPr>
          <w:spacing w:val="-6"/>
        </w:rPr>
        <w:t> </w:t>
      </w:r>
      <w:r>
        <w:rPr/>
        <w:t>mining</w:t>
      </w:r>
      <w:r>
        <w:rPr>
          <w:spacing w:val="-12"/>
        </w:rPr>
        <w:t> </w:t>
      </w:r>
      <w:r>
        <w:rPr/>
        <w:t>operations.</w:t>
      </w:r>
      <w:r>
        <w:rPr>
          <w:spacing w:val="-5"/>
        </w:rPr>
        <w:t> </w:t>
      </w:r>
      <w:r>
        <w:rPr>
          <w:u w:val="single"/>
        </w:rPr>
        <w:t>The</w:t>
      </w:r>
      <w:r>
        <w:rPr/>
        <w:t> </w:t>
      </w:r>
      <w:r>
        <w:rPr>
          <w:u w:val="single"/>
        </w:rPr>
        <w:t>cost to cure established by an engineer or general contractor should be deducted from the final</w:t>
      </w:r>
      <w:r>
        <w:rPr/>
        <w:t> </w:t>
      </w:r>
      <w:r>
        <w:rPr>
          <w:u w:val="single"/>
        </w:rPr>
        <w:t>value opinion once determined</w:t>
      </w:r>
      <w:r>
        <w:rPr/>
        <w:t>." </w:t>
      </w:r>
      <w:r>
        <w:rPr>
          <w:i/>
        </w:rPr>
        <w:t>Id. </w:t>
      </w:r>
      <w:r>
        <w:rPr/>
        <w:t>at p. 4 (emphasis</w:t>
      </w:r>
      <w:r>
        <w:rPr>
          <w:spacing w:val="-4"/>
        </w:rPr>
        <w:t> </w:t>
      </w:r>
      <w:r>
        <w:rPr/>
        <w:t>added).</w:t>
      </w:r>
    </w:p>
    <w:p>
      <w:pPr>
        <w:pStyle w:val="BodyText"/>
        <w:ind w:left="820"/>
      </w:pPr>
      <w:r>
        <w:rPr/>
        <w:t>For the reasons set forth below, all of Mr. Dawson's opinions and any reference to his</w:t>
      </w:r>
    </w:p>
    <w:p>
      <w:pPr>
        <w:pStyle w:val="BodyText"/>
        <w:spacing w:before="5"/>
        <w:rPr>
          <w:sz w:val="21"/>
        </w:rPr>
      </w:pPr>
    </w:p>
    <w:p>
      <w:pPr>
        <w:pStyle w:val="BodyText"/>
        <w:ind w:left="100"/>
      </w:pPr>
      <w:r>
        <w:rPr/>
        <w:t>reports, including all attachments thereto, must be excluded.</w:t>
      </w:r>
    </w:p>
    <w:p>
      <w:pPr>
        <w:pStyle w:val="Heading1"/>
        <w:spacing w:before="48"/>
        <w:ind w:left="4051"/>
      </w:pPr>
      <w:r>
        <w:rPr/>
        <w:t>ARGUMENT</w:t>
      </w:r>
    </w:p>
    <w:p>
      <w:pPr>
        <w:pStyle w:val="BodyText"/>
        <w:spacing w:before="1"/>
        <w:rPr>
          <w:b/>
        </w:rPr>
      </w:pPr>
    </w:p>
    <w:p>
      <w:pPr>
        <w:pStyle w:val="ListParagraph"/>
        <w:numPr>
          <w:ilvl w:val="1"/>
          <w:numId w:val="1"/>
        </w:numPr>
        <w:tabs>
          <w:tab w:pos="767" w:val="left" w:leader="none"/>
          <w:tab w:pos="768" w:val="left" w:leader="none"/>
        </w:tabs>
        <w:spacing w:line="240" w:lineRule="auto" w:before="0" w:after="0"/>
        <w:ind w:left="803" w:right="119" w:hanging="499"/>
        <w:jc w:val="left"/>
        <w:rPr>
          <w:b/>
          <w:sz w:val="24"/>
        </w:rPr>
      </w:pPr>
      <w:r>
        <w:rPr>
          <w:b/>
          <w:sz w:val="24"/>
        </w:rPr>
        <w:t>Mr.</w:t>
      </w:r>
      <w:r>
        <w:rPr>
          <w:b/>
          <w:spacing w:val="-5"/>
          <w:sz w:val="24"/>
        </w:rPr>
        <w:t> </w:t>
      </w:r>
      <w:r>
        <w:rPr>
          <w:b/>
          <w:sz w:val="24"/>
        </w:rPr>
        <w:t>Dawson's</w:t>
      </w:r>
      <w:r>
        <w:rPr>
          <w:b/>
          <w:spacing w:val="-7"/>
          <w:sz w:val="24"/>
        </w:rPr>
        <w:t> </w:t>
      </w:r>
      <w:r>
        <w:rPr>
          <w:b/>
          <w:sz w:val="24"/>
        </w:rPr>
        <w:t>Opinions,</w:t>
      </w:r>
      <w:r>
        <w:rPr>
          <w:b/>
          <w:spacing w:val="-7"/>
          <w:sz w:val="24"/>
        </w:rPr>
        <w:t> </w:t>
      </w:r>
      <w:r>
        <w:rPr>
          <w:b/>
          <w:sz w:val="24"/>
        </w:rPr>
        <w:t>Reports,</w:t>
      </w:r>
      <w:r>
        <w:rPr>
          <w:b/>
          <w:spacing w:val="-5"/>
          <w:sz w:val="24"/>
        </w:rPr>
        <w:t> </w:t>
      </w:r>
      <w:r>
        <w:rPr>
          <w:b/>
          <w:sz w:val="24"/>
        </w:rPr>
        <w:t>and</w:t>
      </w:r>
      <w:r>
        <w:rPr>
          <w:b/>
          <w:spacing w:val="-7"/>
          <w:sz w:val="24"/>
        </w:rPr>
        <w:t> </w:t>
      </w:r>
      <w:r>
        <w:rPr>
          <w:b/>
          <w:sz w:val="24"/>
        </w:rPr>
        <w:t>Testimony</w:t>
      </w:r>
      <w:r>
        <w:rPr>
          <w:b/>
          <w:spacing w:val="-4"/>
          <w:sz w:val="24"/>
        </w:rPr>
        <w:t> </w:t>
      </w:r>
      <w:r>
        <w:rPr>
          <w:b/>
          <w:sz w:val="24"/>
        </w:rPr>
        <w:t>Must</w:t>
      </w:r>
      <w:r>
        <w:rPr>
          <w:b/>
          <w:spacing w:val="-5"/>
          <w:sz w:val="24"/>
        </w:rPr>
        <w:t> </w:t>
      </w:r>
      <w:r>
        <w:rPr>
          <w:b/>
          <w:sz w:val="24"/>
        </w:rPr>
        <w:t>Be</w:t>
      </w:r>
      <w:r>
        <w:rPr>
          <w:b/>
          <w:spacing w:val="-6"/>
          <w:sz w:val="24"/>
        </w:rPr>
        <w:t> </w:t>
      </w:r>
      <w:r>
        <w:rPr>
          <w:b/>
          <w:sz w:val="24"/>
        </w:rPr>
        <w:t>Excluded</w:t>
      </w:r>
      <w:r>
        <w:rPr>
          <w:b/>
          <w:spacing w:val="-4"/>
          <w:sz w:val="24"/>
        </w:rPr>
        <w:t> </w:t>
      </w:r>
      <w:r>
        <w:rPr>
          <w:b/>
          <w:sz w:val="24"/>
        </w:rPr>
        <w:t>Because</w:t>
      </w:r>
      <w:r>
        <w:rPr>
          <w:b/>
          <w:spacing w:val="-6"/>
          <w:sz w:val="24"/>
        </w:rPr>
        <w:t> </w:t>
      </w:r>
      <w:r>
        <w:rPr>
          <w:b/>
          <w:sz w:val="24"/>
        </w:rPr>
        <w:t>He</w:t>
      </w:r>
      <w:r>
        <w:rPr>
          <w:b/>
          <w:spacing w:val="-5"/>
          <w:sz w:val="24"/>
        </w:rPr>
        <w:t> </w:t>
      </w:r>
      <w:r>
        <w:rPr>
          <w:b/>
          <w:sz w:val="24"/>
        </w:rPr>
        <w:t>Does Not Employ the Appropriate Measure of Damages and Such Evidence Is Irrelevant and</w:t>
      </w:r>
      <w:r>
        <w:rPr>
          <w:b/>
          <w:spacing w:val="-1"/>
          <w:sz w:val="24"/>
        </w:rPr>
        <w:t> </w:t>
      </w:r>
      <w:r>
        <w:rPr>
          <w:b/>
          <w:sz w:val="24"/>
        </w:rPr>
        <w:t>Prejudicial.</w:t>
      </w:r>
    </w:p>
    <w:p>
      <w:pPr>
        <w:pStyle w:val="BodyText"/>
        <w:spacing w:line="460" w:lineRule="auto" w:before="201"/>
        <w:ind w:left="100" w:right="139" w:firstLine="695"/>
        <w:jc w:val="both"/>
      </w:pPr>
      <w:r>
        <w:rPr/>
        <w:t>Mr.</w:t>
      </w:r>
      <w:r>
        <w:rPr>
          <w:spacing w:val="-12"/>
        </w:rPr>
        <w:t> </w:t>
      </w:r>
      <w:r>
        <w:rPr/>
        <w:t>Dawson</w:t>
      </w:r>
      <w:r>
        <w:rPr>
          <w:spacing w:val="-10"/>
        </w:rPr>
        <w:t> </w:t>
      </w:r>
      <w:r>
        <w:rPr/>
        <w:t>appears</w:t>
      </w:r>
      <w:r>
        <w:rPr>
          <w:spacing w:val="-12"/>
        </w:rPr>
        <w:t> </w:t>
      </w:r>
      <w:r>
        <w:rPr/>
        <w:t>to</w:t>
      </w:r>
      <w:r>
        <w:rPr>
          <w:spacing w:val="-10"/>
        </w:rPr>
        <w:t> </w:t>
      </w:r>
      <w:r>
        <w:rPr/>
        <w:t>be</w:t>
      </w:r>
      <w:r>
        <w:rPr>
          <w:spacing w:val="-12"/>
        </w:rPr>
        <w:t> </w:t>
      </w:r>
      <w:r>
        <w:rPr/>
        <w:t>relying</w:t>
      </w:r>
      <w:r>
        <w:rPr>
          <w:spacing w:val="-12"/>
        </w:rPr>
        <w:t> </w:t>
      </w:r>
      <w:r>
        <w:rPr/>
        <w:t>upon</w:t>
      </w:r>
      <w:r>
        <w:rPr>
          <w:spacing w:val="-11"/>
        </w:rPr>
        <w:t> </w:t>
      </w:r>
      <w:r>
        <w:rPr/>
        <w:t>the</w:t>
      </w:r>
      <w:r>
        <w:rPr>
          <w:spacing w:val="-11"/>
        </w:rPr>
        <w:t> </w:t>
      </w:r>
      <w:r>
        <w:rPr/>
        <w:t>theory</w:t>
      </w:r>
      <w:r>
        <w:rPr>
          <w:spacing w:val="-13"/>
        </w:rPr>
        <w:t> </w:t>
      </w:r>
      <w:r>
        <w:rPr/>
        <w:t>of</w:t>
      </w:r>
      <w:r>
        <w:rPr>
          <w:spacing w:val="-11"/>
        </w:rPr>
        <w:t> </w:t>
      </w:r>
      <w:r>
        <w:rPr/>
        <w:t>"stigma</w:t>
      </w:r>
      <w:r>
        <w:rPr>
          <w:spacing w:val="-12"/>
        </w:rPr>
        <w:t> </w:t>
      </w:r>
      <w:r>
        <w:rPr/>
        <w:t>damages"</w:t>
      </w:r>
      <w:r>
        <w:rPr>
          <w:spacing w:val="-12"/>
        </w:rPr>
        <w:t> </w:t>
      </w:r>
      <w:r>
        <w:rPr/>
        <w:t>in</w:t>
      </w:r>
      <w:r>
        <w:rPr>
          <w:spacing w:val="-11"/>
        </w:rPr>
        <w:t> </w:t>
      </w:r>
      <w:r>
        <w:rPr/>
        <w:t>his</w:t>
      </w:r>
      <w:r>
        <w:rPr>
          <w:spacing w:val="-9"/>
        </w:rPr>
        <w:t> </w:t>
      </w:r>
      <w:r>
        <w:rPr/>
        <w:t>evaluation</w:t>
      </w:r>
      <w:r>
        <w:rPr>
          <w:spacing w:val="-11"/>
        </w:rPr>
        <w:t> </w:t>
      </w:r>
      <w:r>
        <w:rPr/>
        <w:t>of Plaintiffs' properties in this case. This theory is increasingly advanced by toxic tort plaintiffs claiming that the value of their property has been diminished by the "stigma" caused by the association</w:t>
      </w:r>
      <w:r>
        <w:rPr>
          <w:spacing w:val="-11"/>
        </w:rPr>
        <w:t> </w:t>
      </w:r>
      <w:r>
        <w:rPr/>
        <w:t>of</w:t>
      </w:r>
      <w:r>
        <w:rPr>
          <w:spacing w:val="-11"/>
        </w:rPr>
        <w:t> </w:t>
      </w:r>
      <w:r>
        <w:rPr/>
        <w:t>that</w:t>
      </w:r>
      <w:r>
        <w:rPr>
          <w:spacing w:val="-11"/>
        </w:rPr>
        <w:t> </w:t>
      </w:r>
      <w:r>
        <w:rPr/>
        <w:t>property</w:t>
      </w:r>
      <w:r>
        <w:rPr>
          <w:spacing w:val="-15"/>
        </w:rPr>
        <w:t> </w:t>
      </w:r>
      <w:r>
        <w:rPr/>
        <w:t>with</w:t>
      </w:r>
      <w:r>
        <w:rPr>
          <w:spacing w:val="-10"/>
        </w:rPr>
        <w:t> </w:t>
      </w:r>
      <w:r>
        <w:rPr/>
        <w:t>some</w:t>
      </w:r>
      <w:r>
        <w:rPr>
          <w:spacing w:val="-11"/>
        </w:rPr>
        <w:t> </w:t>
      </w:r>
      <w:r>
        <w:rPr/>
        <w:t>toxic</w:t>
      </w:r>
      <w:r>
        <w:rPr>
          <w:spacing w:val="-11"/>
        </w:rPr>
        <w:t> </w:t>
      </w:r>
      <w:r>
        <w:rPr/>
        <w:t>source</w:t>
      </w:r>
      <w:r>
        <w:rPr>
          <w:spacing w:val="-11"/>
        </w:rPr>
        <w:t> </w:t>
      </w:r>
      <w:r>
        <w:rPr/>
        <w:t>or</w:t>
      </w:r>
      <w:r>
        <w:rPr>
          <w:spacing w:val="-12"/>
        </w:rPr>
        <w:t> </w:t>
      </w:r>
      <w:r>
        <w:rPr/>
        <w:t>incident.</w:t>
      </w:r>
      <w:r>
        <w:rPr>
          <w:spacing w:val="11"/>
        </w:rPr>
        <w:t> </w:t>
      </w:r>
      <w:r>
        <w:rPr/>
        <w:t>1</w:t>
      </w:r>
      <w:r>
        <w:rPr>
          <w:spacing w:val="-8"/>
        </w:rPr>
        <w:t> </w:t>
      </w:r>
      <w:r>
        <w:rPr>
          <w:spacing w:val="-3"/>
        </w:rPr>
        <w:t>L.</w:t>
      </w:r>
      <w:r>
        <w:rPr>
          <w:spacing w:val="-11"/>
        </w:rPr>
        <w:t> </w:t>
      </w:r>
      <w:r>
        <w:rPr/>
        <w:t>of</w:t>
      </w:r>
      <w:r>
        <w:rPr>
          <w:spacing w:val="-11"/>
        </w:rPr>
        <w:t> </w:t>
      </w:r>
      <w:r>
        <w:rPr/>
        <w:t>Toxic</w:t>
      </w:r>
      <w:r>
        <w:rPr>
          <w:spacing w:val="-11"/>
        </w:rPr>
        <w:t> </w:t>
      </w:r>
      <w:r>
        <w:rPr/>
        <w:t>Torts</w:t>
      </w:r>
      <w:r>
        <w:rPr>
          <w:spacing w:val="-10"/>
        </w:rPr>
        <w:t> </w:t>
      </w:r>
      <w:r>
        <w:rPr/>
        <w:t>§</w:t>
      </w:r>
      <w:r>
        <w:rPr>
          <w:spacing w:val="-10"/>
        </w:rPr>
        <w:t> </w:t>
      </w:r>
      <w:r>
        <w:rPr/>
        <w:t>7:31</w:t>
      </w:r>
      <w:r>
        <w:rPr>
          <w:spacing w:val="-10"/>
        </w:rPr>
        <w:t> </w:t>
      </w:r>
      <w:r>
        <w:rPr/>
        <w:t>(2011). Notably,</w:t>
      </w:r>
      <w:r>
        <w:rPr>
          <w:spacing w:val="-12"/>
        </w:rPr>
        <w:t> </w:t>
      </w:r>
      <w:r>
        <w:rPr/>
        <w:t>this</w:t>
      </w:r>
      <w:r>
        <w:rPr>
          <w:spacing w:val="-11"/>
        </w:rPr>
        <w:t> </w:t>
      </w:r>
      <w:r>
        <w:rPr/>
        <w:t>is</w:t>
      </w:r>
      <w:r>
        <w:rPr>
          <w:spacing w:val="-10"/>
        </w:rPr>
        <w:t> </w:t>
      </w:r>
      <w:r>
        <w:rPr/>
        <w:t>not</w:t>
      </w:r>
      <w:r>
        <w:rPr>
          <w:spacing w:val="-13"/>
        </w:rPr>
        <w:t> </w:t>
      </w:r>
      <w:r>
        <w:rPr/>
        <w:t>a</w:t>
      </w:r>
      <w:r>
        <w:rPr>
          <w:spacing w:val="-13"/>
        </w:rPr>
        <w:t> </w:t>
      </w:r>
      <w:r>
        <w:rPr/>
        <w:t>toxic</w:t>
      </w:r>
      <w:r>
        <w:rPr>
          <w:spacing w:val="-12"/>
        </w:rPr>
        <w:t> </w:t>
      </w:r>
      <w:r>
        <w:rPr/>
        <w:t>tort</w:t>
      </w:r>
      <w:r>
        <w:rPr>
          <w:spacing w:val="-11"/>
        </w:rPr>
        <w:t> </w:t>
      </w:r>
      <w:r>
        <w:rPr/>
        <w:t>case;</w:t>
      </w:r>
      <w:r>
        <w:rPr>
          <w:spacing w:val="-11"/>
        </w:rPr>
        <w:t> </w:t>
      </w:r>
      <w:r>
        <w:rPr/>
        <w:t>rather</w:t>
      </w:r>
      <w:r>
        <w:rPr>
          <w:spacing w:val="-12"/>
        </w:rPr>
        <w:t> </w:t>
      </w:r>
      <w:r>
        <w:rPr/>
        <w:t>it</w:t>
      </w:r>
      <w:r>
        <w:rPr>
          <w:spacing w:val="-11"/>
        </w:rPr>
        <w:t> </w:t>
      </w:r>
      <w:r>
        <w:rPr/>
        <w:t>relates</w:t>
      </w:r>
      <w:r>
        <w:rPr>
          <w:spacing w:val="-11"/>
        </w:rPr>
        <w:t> </w:t>
      </w:r>
      <w:r>
        <w:rPr/>
        <w:t>solely</w:t>
      </w:r>
      <w:r>
        <w:rPr>
          <w:spacing w:val="-18"/>
        </w:rPr>
        <w:t> </w:t>
      </w:r>
      <w:r>
        <w:rPr/>
        <w:t>to</w:t>
      </w:r>
      <w:r>
        <w:rPr>
          <w:spacing w:val="-11"/>
        </w:rPr>
        <w:t> </w:t>
      </w:r>
      <w:r>
        <w:rPr/>
        <w:t>alleged</w:t>
      </w:r>
      <w:r>
        <w:rPr>
          <w:spacing w:val="-11"/>
        </w:rPr>
        <w:t> </w:t>
      </w:r>
      <w:r>
        <w:rPr/>
        <w:t>property</w:t>
      </w:r>
      <w:r>
        <w:rPr>
          <w:spacing w:val="-14"/>
        </w:rPr>
        <w:t> </w:t>
      </w:r>
      <w:r>
        <w:rPr/>
        <w:t>damage.</w:t>
      </w:r>
      <w:r>
        <w:rPr>
          <w:spacing w:val="-11"/>
        </w:rPr>
        <w:t> </w:t>
      </w:r>
      <w:r>
        <w:rPr/>
        <w:t>Further,</w:t>
      </w:r>
      <w:r>
        <w:rPr>
          <w:spacing w:val="-11"/>
        </w:rPr>
        <w:t> </w:t>
      </w:r>
      <w:r>
        <w:rPr/>
        <w:t>the stigma damages analysis provided by Mr. Dawson is nothing more than damages to a property's reputation and are not permitted under West Virginia</w:t>
      </w:r>
      <w:r>
        <w:rPr>
          <w:spacing w:val="-3"/>
        </w:rPr>
        <w:t> </w:t>
      </w:r>
      <w:r>
        <w:rPr/>
        <w:t>law.</w:t>
      </w:r>
    </w:p>
    <w:p>
      <w:pPr>
        <w:pStyle w:val="BodyText"/>
        <w:spacing w:before="5"/>
        <w:ind w:left="803"/>
      </w:pPr>
      <w:r>
        <w:rPr/>
        <w:t>Under West Virginia law, a plaintiffs recovery for damages to residential property includes</w:t>
      </w:r>
    </w:p>
    <w:p>
      <w:pPr>
        <w:pStyle w:val="BodyText"/>
        <w:spacing w:before="11"/>
        <w:rPr>
          <w:sz w:val="22"/>
        </w:rPr>
      </w:pPr>
    </w:p>
    <w:p>
      <w:pPr>
        <w:pStyle w:val="BodyText"/>
        <w:ind w:left="112"/>
        <w:jc w:val="both"/>
      </w:pPr>
      <w:r>
        <w:rPr/>
        <w:t>only:</w:t>
      </w:r>
    </w:p>
    <w:p>
      <w:pPr>
        <w:spacing w:after="0"/>
        <w:jc w:val="both"/>
        <w:sectPr>
          <w:headerReference w:type="default" r:id="rId6"/>
          <w:pgSz w:w="12240" w:h="15840"/>
          <w:pgMar w:header="283" w:footer="0" w:top="1340" w:bottom="280" w:left="1340" w:right="1320"/>
          <w:pgNumType w:start="2"/>
        </w:sectPr>
      </w:pPr>
    </w:p>
    <w:p>
      <w:pPr>
        <w:pStyle w:val="BodyText"/>
        <w:spacing w:line="230" w:lineRule="auto" w:before="93"/>
        <w:ind w:left="1499" w:right="1503"/>
        <w:jc w:val="both"/>
      </w:pPr>
      <w:r>
        <w:rPr/>
        <w:t>the reasonable cost of repairing it even if the costs exceed its fair market value before the damage. The owner may also recover the related expenses stemming from the injury, annoyance, inconvenience, and aggravation, and loss of use during the repair period.</w:t>
      </w:r>
      <w:r>
        <w:rPr>
          <w:spacing w:val="-9"/>
        </w:rPr>
        <w:t> </w:t>
      </w:r>
      <w:r>
        <w:rPr/>
        <w:t>If</w:t>
      </w:r>
      <w:r>
        <w:rPr>
          <w:spacing w:val="-12"/>
        </w:rPr>
        <w:t> </w:t>
      </w:r>
      <w:r>
        <w:rPr/>
        <w:t>the</w:t>
      </w:r>
      <w:r>
        <w:rPr>
          <w:spacing w:val="-12"/>
        </w:rPr>
        <w:t> </w:t>
      </w:r>
      <w:r>
        <w:rPr/>
        <w:t>damage</w:t>
      </w:r>
      <w:r>
        <w:rPr>
          <w:spacing w:val="-9"/>
        </w:rPr>
        <w:t> </w:t>
      </w:r>
      <w:r>
        <w:rPr/>
        <w:t>cannot</w:t>
      </w:r>
      <w:r>
        <w:rPr>
          <w:spacing w:val="-11"/>
        </w:rPr>
        <w:t> </w:t>
      </w:r>
      <w:r>
        <w:rPr/>
        <w:t>be</w:t>
      </w:r>
      <w:r>
        <w:rPr>
          <w:spacing w:val="-12"/>
        </w:rPr>
        <w:t> </w:t>
      </w:r>
      <w:r>
        <w:rPr/>
        <w:t>repaired,</w:t>
      </w:r>
      <w:r>
        <w:rPr>
          <w:spacing w:val="-10"/>
        </w:rPr>
        <w:t> </w:t>
      </w:r>
      <w:r>
        <w:rPr/>
        <w:t>then</w:t>
      </w:r>
      <w:r>
        <w:rPr>
          <w:spacing w:val="-12"/>
        </w:rPr>
        <w:t> </w:t>
      </w:r>
      <w:r>
        <w:rPr/>
        <w:t>the</w:t>
      </w:r>
      <w:r>
        <w:rPr>
          <w:spacing w:val="-9"/>
        </w:rPr>
        <w:t> </w:t>
      </w:r>
      <w:r>
        <w:rPr/>
        <w:t>owner</w:t>
      </w:r>
      <w:r>
        <w:rPr>
          <w:spacing w:val="-12"/>
        </w:rPr>
        <w:t> </w:t>
      </w:r>
      <w:r>
        <w:rPr/>
        <w:t>may</w:t>
      </w:r>
      <w:r>
        <w:rPr>
          <w:spacing w:val="-15"/>
        </w:rPr>
        <w:t> </w:t>
      </w:r>
      <w:r>
        <w:rPr/>
        <w:t>recover the fair market value of the property before it was damaged, plus</w:t>
      </w:r>
      <w:r>
        <w:rPr>
          <w:spacing w:val="-12"/>
        </w:rPr>
        <w:t> </w:t>
      </w:r>
      <w:r>
        <w:rPr/>
        <w:t>the related expenses stemming from the injury, annoyance, inconvenience, and aggravation, and loss of use during the time he has been deprived of his</w:t>
      </w:r>
      <w:r>
        <w:rPr>
          <w:spacing w:val="1"/>
        </w:rPr>
        <w:t> </w:t>
      </w:r>
      <w:r>
        <w:rPr/>
        <w:t>property.</w:t>
      </w:r>
    </w:p>
    <w:p>
      <w:pPr>
        <w:pStyle w:val="BodyText"/>
        <w:spacing w:line="463" w:lineRule="auto" w:before="218"/>
        <w:ind w:left="105" w:right="113"/>
        <w:jc w:val="both"/>
      </w:pPr>
      <w:r>
        <w:rPr/>
        <w:t>Syl.</w:t>
      </w:r>
      <w:r>
        <w:rPr>
          <w:spacing w:val="-4"/>
        </w:rPr>
        <w:t> </w:t>
      </w:r>
      <w:r>
        <w:rPr/>
        <w:t>Pt.</w:t>
      </w:r>
      <w:r>
        <w:rPr>
          <w:spacing w:val="-6"/>
        </w:rPr>
        <w:t> </w:t>
      </w:r>
      <w:r>
        <w:rPr/>
        <w:t>4,</w:t>
      </w:r>
      <w:r>
        <w:rPr>
          <w:spacing w:val="-5"/>
        </w:rPr>
        <w:t> </w:t>
      </w:r>
      <w:r>
        <w:rPr>
          <w:i/>
        </w:rPr>
        <w:t>Brooks</w:t>
      </w:r>
      <w:r>
        <w:rPr>
          <w:i/>
          <w:spacing w:val="-6"/>
        </w:rPr>
        <w:t> </w:t>
      </w:r>
      <w:r>
        <w:rPr/>
        <w:t>v.</w:t>
      </w:r>
      <w:r>
        <w:rPr>
          <w:spacing w:val="-6"/>
        </w:rPr>
        <w:t> </w:t>
      </w:r>
      <w:r>
        <w:rPr>
          <w:i/>
        </w:rPr>
        <w:t>City</w:t>
      </w:r>
      <w:r>
        <w:rPr>
          <w:i/>
          <w:spacing w:val="-4"/>
        </w:rPr>
        <w:t> </w:t>
      </w:r>
      <w:r>
        <w:rPr>
          <w:i/>
        </w:rPr>
        <w:t>of</w:t>
      </w:r>
      <w:r>
        <w:rPr>
          <w:i/>
          <w:spacing w:val="-6"/>
        </w:rPr>
        <w:t> </w:t>
      </w:r>
      <w:r>
        <w:rPr>
          <w:i/>
        </w:rPr>
        <w:t>Huntington,</w:t>
      </w:r>
      <w:r>
        <w:rPr>
          <w:i/>
          <w:spacing w:val="-5"/>
        </w:rPr>
        <w:t> </w:t>
      </w:r>
      <w:r>
        <w:rPr/>
        <w:t>768</w:t>
      </w:r>
      <w:r>
        <w:rPr>
          <w:spacing w:val="-5"/>
        </w:rPr>
        <w:t> </w:t>
      </w:r>
      <w:r>
        <w:rPr/>
        <w:t>S.E.2d</w:t>
      </w:r>
      <w:r>
        <w:rPr>
          <w:spacing w:val="-7"/>
        </w:rPr>
        <w:t> </w:t>
      </w:r>
      <w:r>
        <w:rPr/>
        <w:t>97,</w:t>
      </w:r>
      <w:r>
        <w:rPr>
          <w:spacing w:val="-6"/>
        </w:rPr>
        <w:t> </w:t>
      </w:r>
      <w:r>
        <w:rPr/>
        <w:t>99</w:t>
      </w:r>
      <w:r>
        <w:rPr>
          <w:spacing w:val="-5"/>
        </w:rPr>
        <w:t> </w:t>
      </w:r>
      <w:r>
        <w:rPr/>
        <w:t>(W.</w:t>
      </w:r>
      <w:r>
        <w:rPr>
          <w:spacing w:val="-6"/>
        </w:rPr>
        <w:t> </w:t>
      </w:r>
      <w:r>
        <w:rPr/>
        <w:t>Va.</w:t>
      </w:r>
      <w:r>
        <w:rPr>
          <w:spacing w:val="-6"/>
        </w:rPr>
        <w:t> </w:t>
      </w:r>
      <w:r>
        <w:rPr/>
        <w:t>2014).</w:t>
      </w:r>
      <w:r>
        <w:rPr>
          <w:spacing w:val="-3"/>
        </w:rPr>
        <w:t> </w:t>
      </w:r>
      <w:r>
        <w:rPr/>
        <w:t>"Like</w:t>
      </w:r>
      <w:r>
        <w:rPr>
          <w:spacing w:val="-4"/>
        </w:rPr>
        <w:t> </w:t>
      </w:r>
      <w:r>
        <w:rPr/>
        <w:t>all</w:t>
      </w:r>
      <w:r>
        <w:rPr>
          <w:spacing w:val="-5"/>
        </w:rPr>
        <w:t> </w:t>
      </w:r>
      <w:r>
        <w:rPr/>
        <w:t>compensatory damage awards, an award of cost of repair for injury to residential real property is still subject to review for reasonableness and effectiveness." </w:t>
      </w:r>
      <w:r>
        <w:rPr>
          <w:i/>
        </w:rPr>
        <w:t>Id. </w:t>
      </w:r>
      <w:r>
        <w:rPr/>
        <w:t>at 105. Plaintiffs are expressly not permitted to also recover for total diminution in value. </w:t>
      </w:r>
      <w:r>
        <w:rPr>
          <w:i/>
        </w:rPr>
        <w:t>Id. </w:t>
      </w:r>
      <w:r>
        <w:rPr/>
        <w:t>at 106. ("neither common sense, nor our former holding in </w:t>
      </w:r>
      <w:r>
        <w:rPr>
          <w:i/>
        </w:rPr>
        <w:t>Jarrett </w:t>
      </w:r>
      <w:r>
        <w:rPr/>
        <w:t>would permit recovery of </w:t>
      </w:r>
      <w:r>
        <w:rPr>
          <w:i/>
        </w:rPr>
        <w:t>both </w:t>
      </w:r>
      <w:r>
        <w:rPr/>
        <w:t>cost of repair and gross loss of value, as such a recovery is generally</w:t>
      </w:r>
      <w:r>
        <w:rPr>
          <w:spacing w:val="-10"/>
        </w:rPr>
        <w:t> </w:t>
      </w:r>
      <w:r>
        <w:rPr/>
        <w:t>duplicative").</w:t>
      </w:r>
    </w:p>
    <w:p>
      <w:pPr>
        <w:pStyle w:val="BodyText"/>
        <w:spacing w:line="463" w:lineRule="auto" w:before="2"/>
        <w:ind w:left="100" w:right="140" w:firstLine="691"/>
        <w:jc w:val="both"/>
        <w:rPr>
          <w:i/>
        </w:rPr>
      </w:pPr>
      <w:r>
        <w:rPr/>
        <w:t>Plaintiffs may be able to recover for </w:t>
      </w:r>
      <w:r>
        <w:rPr>
          <w:i/>
        </w:rPr>
        <w:t>some </w:t>
      </w:r>
      <w:r>
        <w:rPr/>
        <w:t>loss in value, but only if "damaged residential real property maintains a residual loss of value after repairs are effected." </w:t>
      </w:r>
      <w:r>
        <w:rPr>
          <w:i/>
        </w:rPr>
        <w:t>Id. </w:t>
      </w:r>
      <w:r>
        <w:rPr/>
        <w:t>at 107. Cases where those damages are awarded are "extraordinary." </w:t>
      </w:r>
      <w:r>
        <w:rPr>
          <w:i/>
        </w:rPr>
        <w:t>Id. </w:t>
      </w:r>
      <w:r>
        <w:rPr/>
        <w:t>at 108. "Mere cosmetic damage, speculative decreased future market value, or damage which can be readily and fully remediated are an insufficient foundation for a claim of residual diminution in value."</w:t>
      </w:r>
      <w:r>
        <w:rPr>
          <w:spacing w:val="-5"/>
        </w:rPr>
        <w:t> </w:t>
      </w:r>
      <w:r>
        <w:rPr>
          <w:i/>
        </w:rPr>
        <w:t>Id</w:t>
      </w:r>
      <w:r>
        <w:rPr>
          <w:i/>
          <w:vertAlign w:val="superscript"/>
        </w:rPr>
        <w:t>2</w:t>
      </w:r>
      <w:r>
        <w:rPr>
          <w:i/>
          <w:vertAlign w:val="baseline"/>
        </w:rPr>
        <w:t>.</w:t>
      </w:r>
    </w:p>
    <w:p>
      <w:pPr>
        <w:pStyle w:val="BodyText"/>
        <w:spacing w:line="272" w:lineRule="exact"/>
        <w:ind w:left="806"/>
      </w:pPr>
      <w:r>
        <w:rPr/>
        <w:t>Stigma, or perception, damages fall outside the permissible scope of recovery set forth </w:t>
      </w:r>
      <w:r>
        <w:rPr>
          <w:spacing w:val="9"/>
        </w:rPr>
        <w:t> </w:t>
      </w:r>
      <w:r>
        <w:rPr/>
        <w:t>in</w:t>
      </w:r>
    </w:p>
    <w:p>
      <w:pPr>
        <w:pStyle w:val="BodyText"/>
        <w:spacing w:before="1"/>
        <w:rPr>
          <w:sz w:val="22"/>
        </w:rPr>
      </w:pPr>
    </w:p>
    <w:p>
      <w:pPr>
        <w:spacing w:before="0"/>
        <w:ind w:left="100" w:right="0" w:firstLine="0"/>
        <w:jc w:val="both"/>
        <w:rPr>
          <w:sz w:val="24"/>
        </w:rPr>
      </w:pPr>
      <w:r>
        <w:rPr>
          <w:i/>
          <w:sz w:val="24"/>
        </w:rPr>
        <w:t>Jarrett.</w:t>
      </w:r>
      <w:r>
        <w:rPr>
          <w:i/>
          <w:spacing w:val="-12"/>
          <w:sz w:val="24"/>
        </w:rPr>
        <w:t> </w:t>
      </w:r>
      <w:r>
        <w:rPr>
          <w:sz w:val="24"/>
        </w:rPr>
        <w:t>The</w:t>
      </w:r>
      <w:r>
        <w:rPr>
          <w:spacing w:val="-12"/>
          <w:sz w:val="24"/>
        </w:rPr>
        <w:t> </w:t>
      </w:r>
      <w:r>
        <w:rPr>
          <w:i/>
          <w:sz w:val="24"/>
        </w:rPr>
        <w:t>"[Jarrett]</w:t>
      </w:r>
      <w:r>
        <w:rPr>
          <w:i/>
          <w:spacing w:val="-4"/>
          <w:sz w:val="24"/>
        </w:rPr>
        <w:t> </w:t>
      </w:r>
      <w:r>
        <w:rPr>
          <w:sz w:val="24"/>
        </w:rPr>
        <w:t>rule</w:t>
      </w:r>
      <w:r>
        <w:rPr>
          <w:spacing w:val="-13"/>
          <w:sz w:val="24"/>
        </w:rPr>
        <w:t> </w:t>
      </w:r>
      <w:r>
        <w:rPr>
          <w:sz w:val="24"/>
        </w:rPr>
        <w:t>encompasses</w:t>
      </w:r>
      <w:r>
        <w:rPr>
          <w:spacing w:val="-11"/>
          <w:sz w:val="24"/>
        </w:rPr>
        <w:t> </w:t>
      </w:r>
      <w:r>
        <w:rPr>
          <w:sz w:val="24"/>
        </w:rPr>
        <w:t>both</w:t>
      </w:r>
      <w:r>
        <w:rPr>
          <w:spacing w:val="-11"/>
          <w:sz w:val="24"/>
        </w:rPr>
        <w:t> </w:t>
      </w:r>
      <w:r>
        <w:rPr>
          <w:sz w:val="24"/>
        </w:rPr>
        <w:t>of</w:t>
      </w:r>
      <w:r>
        <w:rPr>
          <w:spacing w:val="-13"/>
          <w:sz w:val="24"/>
        </w:rPr>
        <w:t> </w:t>
      </w:r>
      <w:r>
        <w:rPr>
          <w:sz w:val="24"/>
        </w:rPr>
        <w:t>the</w:t>
      </w:r>
      <w:r>
        <w:rPr>
          <w:spacing w:val="-12"/>
          <w:sz w:val="24"/>
        </w:rPr>
        <w:t> </w:t>
      </w:r>
      <w:r>
        <w:rPr>
          <w:sz w:val="24"/>
        </w:rPr>
        <w:t>present</w:t>
      </w:r>
      <w:r>
        <w:rPr>
          <w:spacing w:val="-12"/>
          <w:sz w:val="24"/>
        </w:rPr>
        <w:t> </w:t>
      </w:r>
      <w:r>
        <w:rPr>
          <w:sz w:val="24"/>
        </w:rPr>
        <w:t>measures</w:t>
      </w:r>
      <w:r>
        <w:rPr>
          <w:spacing w:val="-11"/>
          <w:sz w:val="24"/>
        </w:rPr>
        <w:t> </w:t>
      </w:r>
      <w:r>
        <w:rPr>
          <w:sz w:val="24"/>
        </w:rPr>
        <w:t>and</w:t>
      </w:r>
      <w:r>
        <w:rPr>
          <w:spacing w:val="-12"/>
          <w:sz w:val="24"/>
        </w:rPr>
        <w:t> </w:t>
      </w:r>
      <w:r>
        <w:rPr>
          <w:sz w:val="24"/>
        </w:rPr>
        <w:t>adds</w:t>
      </w:r>
      <w:r>
        <w:rPr>
          <w:spacing w:val="-11"/>
          <w:sz w:val="24"/>
        </w:rPr>
        <w:t> </w:t>
      </w:r>
      <w:r>
        <w:rPr>
          <w:sz w:val="24"/>
        </w:rPr>
        <w:t>thereto</w:t>
      </w:r>
      <w:r>
        <w:rPr>
          <w:spacing w:val="-12"/>
          <w:sz w:val="24"/>
        </w:rPr>
        <w:t> </w:t>
      </w:r>
      <w:r>
        <w:rPr>
          <w:sz w:val="24"/>
        </w:rPr>
        <w:t>recovery</w:t>
      </w:r>
      <w:r>
        <w:rPr>
          <w:spacing w:val="-16"/>
          <w:sz w:val="24"/>
        </w:rPr>
        <w:t> </w:t>
      </w:r>
      <w:r>
        <w:rPr>
          <w:sz w:val="24"/>
        </w:rPr>
        <w:t>of</w:t>
      </w:r>
    </w:p>
    <w:p>
      <w:pPr>
        <w:pStyle w:val="BodyText"/>
        <w:rPr>
          <w:sz w:val="20"/>
        </w:rPr>
      </w:pPr>
    </w:p>
    <w:p>
      <w:pPr>
        <w:pStyle w:val="BodyText"/>
        <w:spacing w:before="11"/>
        <w:rPr>
          <w:sz w:val="25"/>
        </w:rPr>
      </w:pPr>
      <w:r>
        <w:rPr/>
        <w:pict>
          <v:line style="position:absolute;mso-position-horizontal-relative:page;mso-position-vertical-relative:paragraph;z-index:-976;mso-wrap-distance-left:0;mso-wrap-distance-right:0" from="72.024002pt,17.125479pt" to="216.044002pt,17.125479pt" stroked="true" strokeweight=".47998pt" strokecolor="#000000">
            <v:stroke dashstyle="solid"/>
            <w10:wrap type="topAndBottom"/>
          </v:line>
        </w:pict>
      </w:r>
    </w:p>
    <w:p>
      <w:pPr>
        <w:tabs>
          <w:tab w:pos="1540" w:val="left" w:leader="none"/>
        </w:tabs>
        <w:spacing w:before="35"/>
        <w:ind w:left="100" w:right="145" w:firstLine="691"/>
        <w:jc w:val="both"/>
        <w:rPr>
          <w:i/>
          <w:sz w:val="22"/>
        </w:rPr>
      </w:pPr>
      <w:r>
        <w:rPr>
          <w:rFonts w:ascii="Arial"/>
          <w:position w:val="10"/>
          <w:sz w:val="13"/>
        </w:rPr>
        <w:t>2</w:t>
        <w:tab/>
      </w:r>
      <w:r>
        <w:rPr>
          <w:sz w:val="22"/>
        </w:rPr>
        <w:t>In fact, the court has instructed that trial courts "must ensure that... any claim for residual diminution in value is 'truly and reasonably necessary to achieve the cardinal objective of making the plaintiff whole."</w:t>
      </w:r>
      <w:r>
        <w:rPr>
          <w:spacing w:val="-2"/>
          <w:sz w:val="22"/>
        </w:rPr>
        <w:t> </w:t>
      </w:r>
      <w:r>
        <w:rPr>
          <w:i/>
          <w:sz w:val="22"/>
        </w:rPr>
        <w:t>Id.</w:t>
      </w:r>
    </w:p>
    <w:p>
      <w:pPr>
        <w:pStyle w:val="BodyText"/>
        <w:rPr>
          <w:i/>
          <w:sz w:val="22"/>
        </w:rPr>
      </w:pPr>
    </w:p>
    <w:p>
      <w:pPr>
        <w:spacing w:before="1"/>
        <w:ind w:left="1540" w:right="836" w:firstLine="0"/>
        <w:jc w:val="both"/>
        <w:rPr>
          <w:sz w:val="22"/>
        </w:rPr>
      </w:pPr>
      <w:r>
        <w:rPr>
          <w:sz w:val="22"/>
        </w:rPr>
        <w:t>For damage to commercial property, a plaintiff may recover only: the cost of repairing it, plus his expenses stemming from the injury, including loss of use during</w:t>
      </w:r>
      <w:r>
        <w:rPr>
          <w:spacing w:val="-12"/>
          <w:sz w:val="22"/>
        </w:rPr>
        <w:t> </w:t>
      </w:r>
      <w:r>
        <w:rPr>
          <w:sz w:val="22"/>
        </w:rPr>
        <w:t>the</w:t>
      </w:r>
      <w:r>
        <w:rPr>
          <w:spacing w:val="-8"/>
          <w:sz w:val="22"/>
        </w:rPr>
        <w:t> </w:t>
      </w:r>
      <w:r>
        <w:rPr>
          <w:sz w:val="22"/>
        </w:rPr>
        <w:t>repair</w:t>
      </w:r>
      <w:r>
        <w:rPr>
          <w:spacing w:val="-9"/>
          <w:sz w:val="22"/>
        </w:rPr>
        <w:t> </w:t>
      </w:r>
      <w:r>
        <w:rPr>
          <w:sz w:val="22"/>
        </w:rPr>
        <w:t>period.</w:t>
      </w:r>
      <w:r>
        <w:rPr>
          <w:spacing w:val="-9"/>
          <w:sz w:val="22"/>
        </w:rPr>
        <w:t> </w:t>
      </w:r>
      <w:r>
        <w:rPr>
          <w:sz w:val="22"/>
        </w:rPr>
        <w:t>If</w:t>
      </w:r>
      <w:r>
        <w:rPr>
          <w:spacing w:val="-9"/>
          <w:sz w:val="22"/>
        </w:rPr>
        <w:t> </w:t>
      </w:r>
      <w:r>
        <w:rPr>
          <w:sz w:val="22"/>
        </w:rPr>
        <w:t>the</w:t>
      </w:r>
      <w:r>
        <w:rPr>
          <w:spacing w:val="-8"/>
          <w:sz w:val="22"/>
        </w:rPr>
        <w:t> </w:t>
      </w:r>
      <w:r>
        <w:rPr>
          <w:sz w:val="22"/>
        </w:rPr>
        <w:t>injury</w:t>
      </w:r>
      <w:r>
        <w:rPr>
          <w:spacing w:val="-12"/>
          <w:sz w:val="22"/>
        </w:rPr>
        <w:t> </w:t>
      </w:r>
      <w:r>
        <w:rPr>
          <w:sz w:val="22"/>
        </w:rPr>
        <w:t>cannot</w:t>
      </w:r>
      <w:r>
        <w:rPr>
          <w:spacing w:val="-8"/>
          <w:sz w:val="22"/>
        </w:rPr>
        <w:t> </w:t>
      </w:r>
      <w:r>
        <w:rPr>
          <w:sz w:val="22"/>
        </w:rPr>
        <w:t>be</w:t>
      </w:r>
      <w:r>
        <w:rPr>
          <w:spacing w:val="-9"/>
          <w:sz w:val="22"/>
        </w:rPr>
        <w:t> </w:t>
      </w:r>
      <w:r>
        <w:rPr>
          <w:sz w:val="22"/>
        </w:rPr>
        <w:t>repaired</w:t>
      </w:r>
      <w:r>
        <w:rPr>
          <w:spacing w:val="-11"/>
          <w:sz w:val="22"/>
        </w:rPr>
        <w:t> </w:t>
      </w:r>
      <w:r>
        <w:rPr>
          <w:sz w:val="22"/>
        </w:rPr>
        <w:t>or</w:t>
      </w:r>
      <w:r>
        <w:rPr>
          <w:spacing w:val="-9"/>
          <w:sz w:val="22"/>
        </w:rPr>
        <w:t> </w:t>
      </w:r>
      <w:r>
        <w:rPr>
          <w:sz w:val="22"/>
        </w:rPr>
        <w:t>the</w:t>
      </w:r>
      <w:r>
        <w:rPr>
          <w:spacing w:val="-8"/>
          <w:sz w:val="22"/>
        </w:rPr>
        <w:t> </w:t>
      </w:r>
      <w:r>
        <w:rPr>
          <w:sz w:val="22"/>
        </w:rPr>
        <w:t>cost</w:t>
      </w:r>
      <w:r>
        <w:rPr>
          <w:spacing w:val="-8"/>
          <w:sz w:val="22"/>
        </w:rPr>
        <w:t> </w:t>
      </w:r>
      <w:r>
        <w:rPr>
          <w:sz w:val="22"/>
        </w:rPr>
        <w:t>of</w:t>
      </w:r>
      <w:r>
        <w:rPr>
          <w:spacing w:val="-8"/>
          <w:sz w:val="22"/>
        </w:rPr>
        <w:t> </w:t>
      </w:r>
      <w:r>
        <w:rPr>
          <w:sz w:val="22"/>
        </w:rPr>
        <w:t>repair</w:t>
      </w:r>
      <w:r>
        <w:rPr>
          <w:spacing w:val="-9"/>
          <w:sz w:val="22"/>
        </w:rPr>
        <w:t> </w:t>
      </w:r>
      <w:r>
        <w:rPr>
          <w:sz w:val="22"/>
        </w:rPr>
        <w:t>would exceed</w:t>
      </w:r>
      <w:r>
        <w:rPr>
          <w:spacing w:val="-8"/>
          <w:sz w:val="22"/>
        </w:rPr>
        <w:t> </w:t>
      </w:r>
      <w:r>
        <w:rPr>
          <w:sz w:val="22"/>
        </w:rPr>
        <w:t>the</w:t>
      </w:r>
      <w:r>
        <w:rPr>
          <w:spacing w:val="-7"/>
          <w:sz w:val="22"/>
        </w:rPr>
        <w:t> </w:t>
      </w:r>
      <w:r>
        <w:rPr>
          <w:sz w:val="22"/>
        </w:rPr>
        <w:t>property's</w:t>
      </w:r>
      <w:r>
        <w:rPr>
          <w:spacing w:val="-4"/>
          <w:sz w:val="22"/>
        </w:rPr>
        <w:t> </w:t>
      </w:r>
      <w:r>
        <w:rPr>
          <w:sz w:val="22"/>
        </w:rPr>
        <w:t>market</w:t>
      </w:r>
      <w:r>
        <w:rPr>
          <w:spacing w:val="-6"/>
          <w:sz w:val="22"/>
        </w:rPr>
        <w:t> </w:t>
      </w:r>
      <w:r>
        <w:rPr>
          <w:sz w:val="22"/>
        </w:rPr>
        <w:t>value,</w:t>
      </w:r>
      <w:r>
        <w:rPr>
          <w:spacing w:val="-9"/>
          <w:sz w:val="22"/>
        </w:rPr>
        <w:t> </w:t>
      </w:r>
      <w:r>
        <w:rPr>
          <w:sz w:val="22"/>
        </w:rPr>
        <w:t>then</w:t>
      </w:r>
      <w:r>
        <w:rPr>
          <w:spacing w:val="-7"/>
          <w:sz w:val="22"/>
        </w:rPr>
        <w:t> </w:t>
      </w:r>
      <w:r>
        <w:rPr>
          <w:sz w:val="22"/>
        </w:rPr>
        <w:t>the</w:t>
      </w:r>
      <w:r>
        <w:rPr>
          <w:spacing w:val="-7"/>
          <w:sz w:val="22"/>
        </w:rPr>
        <w:t> </w:t>
      </w:r>
      <w:r>
        <w:rPr>
          <w:sz w:val="22"/>
        </w:rPr>
        <w:t>owner</w:t>
      </w:r>
      <w:r>
        <w:rPr>
          <w:spacing w:val="-6"/>
          <w:sz w:val="22"/>
        </w:rPr>
        <w:t> </w:t>
      </w:r>
      <w:r>
        <w:rPr>
          <w:sz w:val="22"/>
        </w:rPr>
        <w:t>may</w:t>
      </w:r>
      <w:r>
        <w:rPr>
          <w:spacing w:val="-7"/>
          <w:sz w:val="22"/>
        </w:rPr>
        <w:t> </w:t>
      </w:r>
      <w:r>
        <w:rPr>
          <w:sz w:val="22"/>
        </w:rPr>
        <w:t>recover</w:t>
      </w:r>
      <w:r>
        <w:rPr>
          <w:spacing w:val="-8"/>
          <w:sz w:val="22"/>
        </w:rPr>
        <w:t> </w:t>
      </w:r>
      <w:r>
        <w:rPr>
          <w:sz w:val="22"/>
        </w:rPr>
        <w:t>its</w:t>
      </w:r>
      <w:r>
        <w:rPr>
          <w:spacing w:val="-9"/>
          <w:sz w:val="22"/>
        </w:rPr>
        <w:t> </w:t>
      </w:r>
      <w:r>
        <w:rPr>
          <w:sz w:val="22"/>
        </w:rPr>
        <w:t>lost</w:t>
      </w:r>
      <w:r>
        <w:rPr>
          <w:spacing w:val="-6"/>
          <w:sz w:val="22"/>
        </w:rPr>
        <w:t> </w:t>
      </w:r>
      <w:r>
        <w:rPr>
          <w:sz w:val="22"/>
        </w:rPr>
        <w:t>value,</w:t>
      </w:r>
      <w:r>
        <w:rPr>
          <w:spacing w:val="-7"/>
          <w:sz w:val="22"/>
        </w:rPr>
        <w:t> </w:t>
      </w:r>
      <w:r>
        <w:rPr>
          <w:sz w:val="22"/>
        </w:rPr>
        <w:t>plus his</w:t>
      </w:r>
      <w:r>
        <w:rPr>
          <w:spacing w:val="-8"/>
          <w:sz w:val="22"/>
        </w:rPr>
        <w:t> </w:t>
      </w:r>
      <w:r>
        <w:rPr>
          <w:sz w:val="22"/>
        </w:rPr>
        <w:t>expenses</w:t>
      </w:r>
      <w:r>
        <w:rPr>
          <w:spacing w:val="-7"/>
          <w:sz w:val="22"/>
        </w:rPr>
        <w:t> </w:t>
      </w:r>
      <w:r>
        <w:rPr>
          <w:sz w:val="22"/>
        </w:rPr>
        <w:t>stemming</w:t>
      </w:r>
      <w:r>
        <w:rPr>
          <w:spacing w:val="-11"/>
          <w:sz w:val="22"/>
        </w:rPr>
        <w:t> </w:t>
      </w:r>
      <w:r>
        <w:rPr>
          <w:sz w:val="22"/>
        </w:rPr>
        <w:t>from</w:t>
      </w:r>
      <w:r>
        <w:rPr>
          <w:spacing w:val="-11"/>
          <w:sz w:val="22"/>
        </w:rPr>
        <w:t> </w:t>
      </w:r>
      <w:r>
        <w:rPr>
          <w:sz w:val="22"/>
        </w:rPr>
        <w:t>the</w:t>
      </w:r>
      <w:r>
        <w:rPr>
          <w:spacing w:val="-8"/>
          <w:sz w:val="22"/>
        </w:rPr>
        <w:t> </w:t>
      </w:r>
      <w:r>
        <w:rPr>
          <w:sz w:val="22"/>
        </w:rPr>
        <w:t>injury</w:t>
      </w:r>
      <w:r>
        <w:rPr>
          <w:spacing w:val="-10"/>
          <w:sz w:val="22"/>
        </w:rPr>
        <w:t> </w:t>
      </w:r>
      <w:r>
        <w:rPr>
          <w:sz w:val="22"/>
        </w:rPr>
        <w:t>including</w:t>
      </w:r>
      <w:r>
        <w:rPr>
          <w:spacing w:val="-11"/>
          <w:sz w:val="22"/>
        </w:rPr>
        <w:t> </w:t>
      </w:r>
      <w:r>
        <w:rPr>
          <w:sz w:val="22"/>
        </w:rPr>
        <w:t>loss</w:t>
      </w:r>
      <w:r>
        <w:rPr>
          <w:spacing w:val="-9"/>
          <w:sz w:val="22"/>
        </w:rPr>
        <w:t> </w:t>
      </w:r>
      <w:r>
        <w:rPr>
          <w:sz w:val="22"/>
        </w:rPr>
        <w:t>of</w:t>
      </w:r>
      <w:r>
        <w:rPr>
          <w:spacing w:val="-7"/>
          <w:sz w:val="22"/>
        </w:rPr>
        <w:t> </w:t>
      </w:r>
      <w:r>
        <w:rPr>
          <w:sz w:val="22"/>
        </w:rPr>
        <w:t>use</w:t>
      </w:r>
      <w:r>
        <w:rPr>
          <w:spacing w:val="-8"/>
          <w:sz w:val="22"/>
        </w:rPr>
        <w:t> </w:t>
      </w:r>
      <w:r>
        <w:rPr>
          <w:sz w:val="22"/>
        </w:rPr>
        <w:t>during</w:t>
      </w:r>
      <w:r>
        <w:rPr>
          <w:spacing w:val="-10"/>
          <w:sz w:val="22"/>
        </w:rPr>
        <w:t> </w:t>
      </w:r>
      <w:r>
        <w:rPr>
          <w:sz w:val="22"/>
        </w:rPr>
        <w:t>the</w:t>
      </w:r>
      <w:r>
        <w:rPr>
          <w:spacing w:val="-8"/>
          <w:sz w:val="22"/>
        </w:rPr>
        <w:t> </w:t>
      </w:r>
      <w:r>
        <w:rPr>
          <w:sz w:val="22"/>
        </w:rPr>
        <w:t>time</w:t>
      </w:r>
      <w:r>
        <w:rPr>
          <w:spacing w:val="-7"/>
          <w:sz w:val="22"/>
        </w:rPr>
        <w:t> </w:t>
      </w:r>
      <w:r>
        <w:rPr>
          <w:sz w:val="22"/>
        </w:rPr>
        <w:t>he</w:t>
      </w:r>
      <w:r>
        <w:rPr>
          <w:spacing w:val="-8"/>
          <w:sz w:val="22"/>
        </w:rPr>
        <w:t> </w:t>
      </w:r>
      <w:r>
        <w:rPr>
          <w:sz w:val="22"/>
        </w:rPr>
        <w:t>has been deprived of his property.</w:t>
      </w:r>
    </w:p>
    <w:p>
      <w:pPr>
        <w:pStyle w:val="BodyText"/>
        <w:rPr>
          <w:sz w:val="22"/>
        </w:rPr>
      </w:pPr>
    </w:p>
    <w:p>
      <w:pPr>
        <w:spacing w:before="0"/>
        <w:ind w:left="100" w:right="0" w:firstLine="0"/>
        <w:jc w:val="left"/>
        <w:rPr>
          <w:sz w:val="22"/>
        </w:rPr>
      </w:pPr>
      <w:r>
        <w:rPr>
          <w:sz w:val="22"/>
        </w:rPr>
        <w:t>Syl. Pt. 2, </w:t>
      </w:r>
      <w:r>
        <w:rPr>
          <w:i/>
          <w:sz w:val="22"/>
        </w:rPr>
        <w:t>Jarrett </w:t>
      </w:r>
      <w:r>
        <w:rPr>
          <w:sz w:val="22"/>
        </w:rPr>
        <w:t>v. </w:t>
      </w:r>
      <w:r>
        <w:rPr>
          <w:i/>
          <w:sz w:val="22"/>
        </w:rPr>
        <w:t>E. L. Harper &amp; Son, Inc., </w:t>
      </w:r>
      <w:r>
        <w:rPr>
          <w:sz w:val="22"/>
        </w:rPr>
        <w:t>235 S.E.2d 362, 363 (W. Va. 1977).</w:t>
      </w:r>
    </w:p>
    <w:p>
      <w:pPr>
        <w:spacing w:after="0"/>
        <w:jc w:val="left"/>
        <w:rPr>
          <w:sz w:val="22"/>
        </w:rPr>
        <w:sectPr>
          <w:headerReference w:type="default" r:id="rId7"/>
          <w:pgSz w:w="12240" w:h="15840"/>
          <w:pgMar w:header="283" w:footer="0" w:top="1340" w:bottom="280" w:left="1340" w:right="1320"/>
          <w:pgNumType w:start="3"/>
        </w:sectPr>
      </w:pPr>
    </w:p>
    <w:p>
      <w:pPr>
        <w:pStyle w:val="BodyText"/>
        <w:spacing w:before="10"/>
        <w:rPr>
          <w:sz w:val="17"/>
        </w:rPr>
      </w:pPr>
    </w:p>
    <w:p>
      <w:pPr>
        <w:pStyle w:val="BodyText"/>
        <w:spacing w:line="460" w:lineRule="auto" w:before="90"/>
        <w:ind w:left="100" w:right="128"/>
        <w:jc w:val="both"/>
      </w:pPr>
      <w:r>
        <w:rPr/>
        <w:t>expenses</w:t>
      </w:r>
      <w:r>
        <w:rPr>
          <w:spacing w:val="-14"/>
        </w:rPr>
        <w:t> </w:t>
      </w:r>
      <w:r>
        <w:rPr/>
        <w:t>incidental</w:t>
      </w:r>
      <w:r>
        <w:rPr>
          <w:spacing w:val="-12"/>
        </w:rPr>
        <w:t> </w:t>
      </w:r>
      <w:r>
        <w:rPr/>
        <w:t>to</w:t>
      </w:r>
      <w:r>
        <w:rPr>
          <w:spacing w:val="-12"/>
        </w:rPr>
        <w:t> </w:t>
      </w:r>
      <w:r>
        <w:rPr/>
        <w:t>irreparable</w:t>
      </w:r>
      <w:r>
        <w:rPr>
          <w:spacing w:val="-14"/>
        </w:rPr>
        <w:t> </w:t>
      </w:r>
      <w:r>
        <w:rPr/>
        <w:t>injuries."</w:t>
      </w:r>
      <w:r>
        <w:rPr>
          <w:spacing w:val="11"/>
        </w:rPr>
        <w:t> </w:t>
      </w:r>
      <w:r>
        <w:rPr/>
        <w:t>160</w:t>
      </w:r>
      <w:r>
        <w:rPr>
          <w:spacing w:val="-10"/>
        </w:rPr>
        <w:t> </w:t>
      </w:r>
      <w:r>
        <w:rPr/>
        <w:t>W.</w:t>
      </w:r>
      <w:r>
        <w:rPr>
          <w:spacing w:val="-13"/>
        </w:rPr>
        <w:t> </w:t>
      </w:r>
      <w:r>
        <w:rPr/>
        <w:t>Va.</w:t>
      </w:r>
      <w:r>
        <w:rPr>
          <w:spacing w:val="-12"/>
        </w:rPr>
        <w:t> </w:t>
      </w:r>
      <w:r>
        <w:rPr/>
        <w:t>at</w:t>
      </w:r>
      <w:r>
        <w:rPr>
          <w:spacing w:val="-12"/>
        </w:rPr>
        <w:t> </w:t>
      </w:r>
      <w:r>
        <w:rPr/>
        <w:t>404,</w:t>
      </w:r>
      <w:r>
        <w:rPr>
          <w:spacing w:val="-13"/>
        </w:rPr>
        <w:t> </w:t>
      </w:r>
      <w:r>
        <w:rPr/>
        <w:t>235</w:t>
      </w:r>
      <w:r>
        <w:rPr>
          <w:spacing w:val="-12"/>
        </w:rPr>
        <w:t> </w:t>
      </w:r>
      <w:r>
        <w:rPr/>
        <w:t>S.E.2d</w:t>
      </w:r>
      <w:r>
        <w:rPr>
          <w:spacing w:val="-12"/>
        </w:rPr>
        <w:t> </w:t>
      </w:r>
      <w:r>
        <w:rPr/>
        <w:t>at</w:t>
      </w:r>
      <w:r>
        <w:rPr>
          <w:spacing w:val="-13"/>
        </w:rPr>
        <w:t> </w:t>
      </w:r>
      <w:r>
        <w:rPr/>
        <w:t>365.</w:t>
      </w:r>
      <w:r>
        <w:rPr>
          <w:spacing w:val="-10"/>
        </w:rPr>
        <w:t> </w:t>
      </w:r>
      <w:r>
        <w:rPr/>
        <w:t>In</w:t>
      </w:r>
      <w:r>
        <w:rPr>
          <w:spacing w:val="-12"/>
        </w:rPr>
        <w:t> </w:t>
      </w:r>
      <w:r>
        <w:rPr/>
        <w:t>other</w:t>
      </w:r>
      <w:r>
        <w:rPr>
          <w:spacing w:val="-14"/>
        </w:rPr>
        <w:t> </w:t>
      </w:r>
      <w:r>
        <w:rPr/>
        <w:t>words, the </w:t>
      </w:r>
      <w:r>
        <w:rPr>
          <w:i/>
        </w:rPr>
        <w:t>Jarrett </w:t>
      </w:r>
      <w:r>
        <w:rPr/>
        <w:t>Court, in setting forth the list of recoverable damages, already included any and all incidentals and expenses relative to any damage suffered as a result of a third party's negligent injury to property. Thus, any damages that fall outside the scope of the limited </w:t>
      </w:r>
      <w:r>
        <w:rPr>
          <w:i/>
        </w:rPr>
        <w:t>Jarrett </w:t>
      </w:r>
      <w:r>
        <w:rPr/>
        <w:t>rule set forth above are not</w:t>
      </w:r>
      <w:r>
        <w:rPr>
          <w:spacing w:val="-3"/>
        </w:rPr>
        <w:t> </w:t>
      </w:r>
      <w:r>
        <w:rPr/>
        <w:t>proper.</w:t>
      </w:r>
    </w:p>
    <w:p>
      <w:pPr>
        <w:pStyle w:val="BodyText"/>
        <w:spacing w:line="460" w:lineRule="auto"/>
        <w:ind w:left="105" w:right="144" w:firstLine="693"/>
        <w:jc w:val="both"/>
      </w:pPr>
      <w:r>
        <w:rPr/>
        <w:t>Here, none of the damage calculations offered in Mr. Dawson's reports and opinions are relevant to identifying the damages Plaintiffs have allegedly incurred. For the residential properties at issue, the correct measure of damages hinges primarily on the cost of repair. However, as noted, that calculation, was </w:t>
      </w:r>
      <w:r>
        <w:rPr>
          <w:u w:val="single"/>
        </w:rPr>
        <w:t>specifically excluded</w:t>
      </w:r>
      <w:r>
        <w:rPr/>
        <w:t> from Mr. Dawson's reports.</w:t>
      </w:r>
    </w:p>
    <w:p>
      <w:pPr>
        <w:pStyle w:val="BodyText"/>
        <w:spacing w:line="460" w:lineRule="auto"/>
        <w:ind w:left="107" w:right="116" w:firstLine="691"/>
        <w:jc w:val="both"/>
      </w:pPr>
      <w:r>
        <w:rPr/>
        <w:t>Rule</w:t>
      </w:r>
      <w:r>
        <w:rPr>
          <w:spacing w:val="-14"/>
        </w:rPr>
        <w:t> </w:t>
      </w:r>
      <w:r>
        <w:rPr/>
        <w:t>402</w:t>
      </w:r>
      <w:r>
        <w:rPr>
          <w:spacing w:val="-12"/>
        </w:rPr>
        <w:t> </w:t>
      </w:r>
      <w:r>
        <w:rPr/>
        <w:t>of</w:t>
      </w:r>
      <w:r>
        <w:rPr>
          <w:spacing w:val="-14"/>
        </w:rPr>
        <w:t> </w:t>
      </w:r>
      <w:r>
        <w:rPr/>
        <w:t>the</w:t>
      </w:r>
      <w:r>
        <w:rPr>
          <w:spacing w:val="-13"/>
        </w:rPr>
        <w:t> </w:t>
      </w:r>
      <w:r>
        <w:rPr/>
        <w:t>Federal</w:t>
      </w:r>
      <w:r>
        <w:rPr>
          <w:spacing w:val="-13"/>
        </w:rPr>
        <w:t> </w:t>
      </w:r>
      <w:r>
        <w:rPr/>
        <w:t>Rules</w:t>
      </w:r>
      <w:r>
        <w:rPr>
          <w:spacing w:val="-12"/>
        </w:rPr>
        <w:t> </w:t>
      </w:r>
      <w:r>
        <w:rPr/>
        <w:t>of</w:t>
      </w:r>
      <w:r>
        <w:rPr>
          <w:spacing w:val="-14"/>
        </w:rPr>
        <w:t> </w:t>
      </w:r>
      <w:r>
        <w:rPr/>
        <w:t>Evidence</w:t>
      </w:r>
      <w:r>
        <w:rPr>
          <w:spacing w:val="-13"/>
        </w:rPr>
        <w:t> </w:t>
      </w:r>
      <w:r>
        <w:rPr/>
        <w:t>provides,</w:t>
      </w:r>
      <w:r>
        <w:rPr>
          <w:spacing w:val="-13"/>
        </w:rPr>
        <w:t> </w:t>
      </w:r>
      <w:r>
        <w:rPr/>
        <w:t>in</w:t>
      </w:r>
      <w:r>
        <w:rPr>
          <w:spacing w:val="-12"/>
        </w:rPr>
        <w:t> </w:t>
      </w:r>
      <w:r>
        <w:rPr/>
        <w:t>relevant</w:t>
      </w:r>
      <w:r>
        <w:rPr>
          <w:spacing w:val="-13"/>
        </w:rPr>
        <w:t> </w:t>
      </w:r>
      <w:r>
        <w:rPr/>
        <w:t>part,</w:t>
      </w:r>
      <w:r>
        <w:rPr>
          <w:spacing w:val="-13"/>
        </w:rPr>
        <w:t> </w:t>
      </w:r>
      <w:r>
        <w:rPr/>
        <w:t>that</w:t>
      </w:r>
      <w:r>
        <w:rPr>
          <w:spacing w:val="-13"/>
        </w:rPr>
        <w:t> </w:t>
      </w:r>
      <w:r>
        <w:rPr/>
        <w:t>"[ejvidence</w:t>
      </w:r>
      <w:r>
        <w:rPr>
          <w:spacing w:val="-13"/>
        </w:rPr>
        <w:t> </w:t>
      </w:r>
      <w:r>
        <w:rPr/>
        <w:t>which is not relevant is not admissible." Fed.R.Evid. 402. "Relevant evidence" is defined by Rule 401 as that "evidence having any tendency to make the existence of any fact that is of consequence to the determination of the action more probable or less probable than it would be without the evidence." Fed.R.Evid. 401. Because the alleged loss of value of Plaintiffs' property is not an appropriate measure of damages in this case, evidence thereof is irrelevant.</w:t>
      </w:r>
      <w:r>
        <w:rPr>
          <w:spacing w:val="33"/>
        </w:rPr>
        <w:t> </w:t>
      </w:r>
      <w:r>
        <w:rPr/>
        <w:t>To allow plaintiffs to admit</w:t>
      </w:r>
      <w:r>
        <w:rPr>
          <w:spacing w:val="-3"/>
        </w:rPr>
        <w:t> </w:t>
      </w:r>
      <w:r>
        <w:rPr/>
        <w:t>such</w:t>
      </w:r>
      <w:r>
        <w:rPr>
          <w:spacing w:val="-4"/>
        </w:rPr>
        <w:t> </w:t>
      </w:r>
      <w:r>
        <w:rPr/>
        <w:t>evidence</w:t>
      </w:r>
      <w:r>
        <w:rPr>
          <w:spacing w:val="-4"/>
        </w:rPr>
        <w:t> </w:t>
      </w:r>
      <w:r>
        <w:rPr/>
        <w:t>through</w:t>
      </w:r>
      <w:r>
        <w:rPr>
          <w:spacing w:val="-3"/>
        </w:rPr>
        <w:t> </w:t>
      </w:r>
      <w:r>
        <w:rPr/>
        <w:t>their</w:t>
      </w:r>
      <w:r>
        <w:rPr>
          <w:spacing w:val="-5"/>
        </w:rPr>
        <w:t> </w:t>
      </w:r>
      <w:r>
        <w:rPr/>
        <w:t>expert</w:t>
      </w:r>
      <w:r>
        <w:rPr>
          <w:spacing w:val="-3"/>
        </w:rPr>
        <w:t> </w:t>
      </w:r>
      <w:r>
        <w:rPr/>
        <w:t>witness or</w:t>
      </w:r>
      <w:r>
        <w:rPr>
          <w:spacing w:val="-4"/>
        </w:rPr>
        <w:t> </w:t>
      </w:r>
      <w:r>
        <w:rPr/>
        <w:t>otherwise</w:t>
      </w:r>
      <w:r>
        <w:rPr>
          <w:spacing w:val="-2"/>
        </w:rPr>
        <w:t> </w:t>
      </w:r>
      <w:r>
        <w:rPr/>
        <w:t>is</w:t>
      </w:r>
      <w:r>
        <w:rPr>
          <w:spacing w:val="-2"/>
        </w:rPr>
        <w:t> </w:t>
      </w:r>
      <w:r>
        <w:rPr/>
        <w:t>totally</w:t>
      </w:r>
      <w:r>
        <w:rPr>
          <w:spacing w:val="-8"/>
        </w:rPr>
        <w:t> </w:t>
      </w:r>
      <w:r>
        <w:rPr/>
        <w:t>inappropriate</w:t>
      </w:r>
      <w:r>
        <w:rPr>
          <w:spacing w:val="-3"/>
        </w:rPr>
        <w:t> </w:t>
      </w:r>
      <w:r>
        <w:rPr/>
        <w:t>in</w:t>
      </w:r>
      <w:r>
        <w:rPr>
          <w:spacing w:val="-2"/>
        </w:rPr>
        <w:t> </w:t>
      </w:r>
      <w:r>
        <w:rPr/>
        <w:t>this</w:t>
      </w:r>
      <w:r>
        <w:rPr>
          <w:spacing w:val="-4"/>
        </w:rPr>
        <w:t> </w:t>
      </w:r>
      <w:r>
        <w:rPr/>
        <w:t>case. Additionally,</w:t>
      </w:r>
      <w:r>
        <w:rPr>
          <w:spacing w:val="-6"/>
        </w:rPr>
        <w:t> </w:t>
      </w:r>
      <w:r>
        <w:rPr/>
        <w:t>any</w:t>
      </w:r>
      <w:r>
        <w:rPr>
          <w:spacing w:val="-10"/>
        </w:rPr>
        <w:t> </w:t>
      </w:r>
      <w:r>
        <w:rPr/>
        <w:t>probative</w:t>
      </w:r>
      <w:r>
        <w:rPr>
          <w:spacing w:val="-7"/>
        </w:rPr>
        <w:t> </w:t>
      </w:r>
      <w:r>
        <w:rPr/>
        <w:t>value</w:t>
      </w:r>
      <w:r>
        <w:rPr>
          <w:spacing w:val="-6"/>
        </w:rPr>
        <w:t> </w:t>
      </w:r>
      <w:r>
        <w:rPr/>
        <w:t>of</w:t>
      </w:r>
      <w:r>
        <w:rPr>
          <w:spacing w:val="-4"/>
        </w:rPr>
        <w:t> </w:t>
      </w:r>
      <w:r>
        <w:rPr/>
        <w:t>introducing</w:t>
      </w:r>
      <w:r>
        <w:rPr>
          <w:spacing w:val="-9"/>
        </w:rPr>
        <w:t> </w:t>
      </w:r>
      <w:r>
        <w:rPr/>
        <w:t>evidence</w:t>
      </w:r>
      <w:r>
        <w:rPr>
          <w:spacing w:val="-6"/>
        </w:rPr>
        <w:t> </w:t>
      </w:r>
      <w:r>
        <w:rPr/>
        <w:t>with</w:t>
      </w:r>
      <w:r>
        <w:rPr>
          <w:spacing w:val="-5"/>
        </w:rPr>
        <w:t> </w:t>
      </w:r>
      <w:r>
        <w:rPr/>
        <w:t>respect</w:t>
      </w:r>
      <w:r>
        <w:rPr>
          <w:spacing w:val="-6"/>
        </w:rPr>
        <w:t> </w:t>
      </w:r>
      <w:r>
        <w:rPr/>
        <w:t>to</w:t>
      </w:r>
      <w:r>
        <w:rPr>
          <w:spacing w:val="-5"/>
        </w:rPr>
        <w:t> </w:t>
      </w:r>
      <w:r>
        <w:rPr/>
        <w:t>the</w:t>
      </w:r>
      <w:r>
        <w:rPr>
          <w:spacing w:val="-6"/>
        </w:rPr>
        <w:t> </w:t>
      </w:r>
      <w:r>
        <w:rPr/>
        <w:t>alleged</w:t>
      </w:r>
      <w:r>
        <w:rPr>
          <w:spacing w:val="-6"/>
        </w:rPr>
        <w:t> </w:t>
      </w:r>
      <w:r>
        <w:rPr/>
        <w:t>loss</w:t>
      </w:r>
      <w:r>
        <w:rPr>
          <w:spacing w:val="-5"/>
        </w:rPr>
        <w:t> </w:t>
      </w:r>
      <w:r>
        <w:rPr/>
        <w:t>of</w:t>
      </w:r>
      <w:r>
        <w:rPr>
          <w:spacing w:val="-6"/>
        </w:rPr>
        <w:t> </w:t>
      </w:r>
      <w:r>
        <w:rPr/>
        <w:t>value of plaintiffs' property would be substantially outweighed by the danger of unfair prejudice, confusion of the issues, and misleading of the jury as addressed by Rule 403 of the Federal Rules of</w:t>
      </w:r>
      <w:r>
        <w:rPr>
          <w:spacing w:val="-2"/>
        </w:rPr>
        <w:t> </w:t>
      </w:r>
      <w:r>
        <w:rPr/>
        <w:t>Evidence.</w:t>
      </w:r>
    </w:p>
    <w:p>
      <w:pPr>
        <w:pStyle w:val="BodyText"/>
        <w:spacing w:line="460" w:lineRule="auto"/>
        <w:ind w:left="107" w:right="135" w:firstLine="688"/>
        <w:jc w:val="both"/>
      </w:pPr>
      <w:r>
        <w:rPr/>
        <w:t>Even</w:t>
      </w:r>
      <w:r>
        <w:rPr>
          <w:spacing w:val="-12"/>
        </w:rPr>
        <w:t> </w:t>
      </w:r>
      <w:r>
        <w:rPr/>
        <w:t>if</w:t>
      </w:r>
      <w:r>
        <w:rPr>
          <w:spacing w:val="-11"/>
        </w:rPr>
        <w:t> </w:t>
      </w:r>
      <w:r>
        <w:rPr/>
        <w:t>this</w:t>
      </w:r>
      <w:r>
        <w:rPr>
          <w:spacing w:val="-11"/>
        </w:rPr>
        <w:t> </w:t>
      </w:r>
      <w:r>
        <w:rPr/>
        <w:t>Court</w:t>
      </w:r>
      <w:r>
        <w:rPr>
          <w:spacing w:val="-11"/>
        </w:rPr>
        <w:t> </w:t>
      </w:r>
      <w:r>
        <w:rPr/>
        <w:t>were</w:t>
      </w:r>
      <w:r>
        <w:rPr>
          <w:spacing w:val="-13"/>
        </w:rPr>
        <w:t> </w:t>
      </w:r>
      <w:r>
        <w:rPr/>
        <w:t>to</w:t>
      </w:r>
      <w:r>
        <w:rPr>
          <w:spacing w:val="-11"/>
        </w:rPr>
        <w:t> </w:t>
      </w:r>
      <w:r>
        <w:rPr/>
        <w:t>determine</w:t>
      </w:r>
      <w:r>
        <w:rPr>
          <w:spacing w:val="-12"/>
        </w:rPr>
        <w:t> </w:t>
      </w:r>
      <w:r>
        <w:rPr/>
        <w:t>that</w:t>
      </w:r>
      <w:r>
        <w:rPr>
          <w:spacing w:val="-11"/>
        </w:rPr>
        <w:t> </w:t>
      </w:r>
      <w:r>
        <w:rPr/>
        <w:t>Mr.</w:t>
      </w:r>
      <w:r>
        <w:rPr>
          <w:spacing w:val="-12"/>
        </w:rPr>
        <w:t> </w:t>
      </w:r>
      <w:r>
        <w:rPr/>
        <w:t>Dawson's</w:t>
      </w:r>
      <w:r>
        <w:rPr>
          <w:spacing w:val="-11"/>
        </w:rPr>
        <w:t> </w:t>
      </w:r>
      <w:r>
        <w:rPr/>
        <w:t>opinions</w:t>
      </w:r>
      <w:r>
        <w:rPr>
          <w:spacing w:val="-11"/>
        </w:rPr>
        <w:t> </w:t>
      </w:r>
      <w:r>
        <w:rPr/>
        <w:t>are</w:t>
      </w:r>
      <w:r>
        <w:rPr>
          <w:spacing w:val="-10"/>
        </w:rPr>
        <w:t> </w:t>
      </w:r>
      <w:r>
        <w:rPr/>
        <w:t>relevant,</w:t>
      </w:r>
      <w:r>
        <w:rPr>
          <w:spacing w:val="-11"/>
        </w:rPr>
        <w:t> </w:t>
      </w:r>
      <w:r>
        <w:rPr/>
        <w:t>that</w:t>
      </w:r>
      <w:r>
        <w:rPr>
          <w:spacing w:val="-11"/>
        </w:rPr>
        <w:t> </w:t>
      </w:r>
      <w:r>
        <w:rPr/>
        <w:t>evidence is nevertheless inadmissible pursuant to Rule 403 of the Federal Rules of Evidence. Rule 403 provides that a court may exclude "relevant evidence if its probative value is substantially outweighed</w:t>
      </w:r>
      <w:r>
        <w:rPr>
          <w:spacing w:val="18"/>
        </w:rPr>
        <w:t> </w:t>
      </w:r>
      <w:r>
        <w:rPr/>
        <w:t>by</w:t>
      </w:r>
      <w:r>
        <w:rPr>
          <w:spacing w:val="14"/>
        </w:rPr>
        <w:t> </w:t>
      </w:r>
      <w:r>
        <w:rPr/>
        <w:t>a</w:t>
      </w:r>
      <w:r>
        <w:rPr>
          <w:spacing w:val="18"/>
        </w:rPr>
        <w:t> </w:t>
      </w:r>
      <w:r>
        <w:rPr/>
        <w:t>danger</w:t>
      </w:r>
      <w:r>
        <w:rPr>
          <w:spacing w:val="21"/>
        </w:rPr>
        <w:t> </w:t>
      </w:r>
      <w:r>
        <w:rPr/>
        <w:t>of</w:t>
      </w:r>
      <w:r>
        <w:rPr>
          <w:spacing w:val="18"/>
        </w:rPr>
        <w:t> </w:t>
      </w:r>
      <w:r>
        <w:rPr/>
        <w:t>on</w:t>
      </w:r>
      <w:r>
        <w:rPr>
          <w:spacing w:val="18"/>
        </w:rPr>
        <w:t> </w:t>
      </w:r>
      <w:r>
        <w:rPr/>
        <w:t>or</w:t>
      </w:r>
      <w:r>
        <w:rPr>
          <w:spacing w:val="18"/>
        </w:rPr>
        <w:t> </w:t>
      </w:r>
      <w:r>
        <w:rPr/>
        <w:t>more</w:t>
      </w:r>
      <w:r>
        <w:rPr>
          <w:spacing w:val="18"/>
        </w:rPr>
        <w:t> </w:t>
      </w:r>
      <w:r>
        <w:rPr/>
        <w:t>of</w:t>
      </w:r>
      <w:r>
        <w:rPr>
          <w:spacing w:val="18"/>
        </w:rPr>
        <w:t> </w:t>
      </w:r>
      <w:r>
        <w:rPr/>
        <w:t>the</w:t>
      </w:r>
      <w:r>
        <w:rPr>
          <w:spacing w:val="18"/>
        </w:rPr>
        <w:t> </w:t>
      </w:r>
      <w:r>
        <w:rPr/>
        <w:t>following:</w:t>
      </w:r>
      <w:r>
        <w:rPr>
          <w:spacing w:val="19"/>
        </w:rPr>
        <w:t> </w:t>
      </w:r>
      <w:r>
        <w:rPr/>
        <w:t>unfair</w:t>
      </w:r>
      <w:r>
        <w:rPr>
          <w:spacing w:val="19"/>
        </w:rPr>
        <w:t> </w:t>
      </w:r>
      <w:r>
        <w:rPr/>
        <w:t>prejudice,</w:t>
      </w:r>
      <w:r>
        <w:rPr>
          <w:spacing w:val="21"/>
        </w:rPr>
        <w:t> </w:t>
      </w:r>
      <w:r>
        <w:rPr/>
        <w:t>confusing</w:t>
      </w:r>
      <w:r>
        <w:rPr>
          <w:spacing w:val="16"/>
        </w:rPr>
        <w:t> </w:t>
      </w:r>
      <w:r>
        <w:rPr/>
        <w:t>the</w:t>
      </w:r>
      <w:r>
        <w:rPr>
          <w:spacing w:val="18"/>
        </w:rPr>
        <w:t> </w:t>
      </w:r>
      <w:r>
        <w:rPr/>
        <w:t>issues,</w:t>
      </w:r>
    </w:p>
    <w:p>
      <w:pPr>
        <w:spacing w:after="0" w:line="460" w:lineRule="auto"/>
        <w:jc w:val="both"/>
        <w:sectPr>
          <w:headerReference w:type="default" r:id="rId8"/>
          <w:pgSz w:w="12240" w:h="15840"/>
          <w:pgMar w:header="283" w:footer="0" w:top="1340" w:bottom="280" w:left="1340" w:right="1320"/>
          <w:pgNumType w:start="4"/>
        </w:sectPr>
      </w:pPr>
    </w:p>
    <w:p>
      <w:pPr>
        <w:pStyle w:val="BodyText"/>
        <w:spacing w:before="10"/>
        <w:rPr>
          <w:sz w:val="17"/>
        </w:rPr>
      </w:pPr>
    </w:p>
    <w:p>
      <w:pPr>
        <w:pStyle w:val="BodyText"/>
        <w:spacing w:line="458" w:lineRule="auto" w:before="90"/>
        <w:ind w:left="107"/>
      </w:pPr>
      <w:r>
        <w:rPr/>
        <w:t>misleading the jury, undue delay, wasting time, or needlessly presenting cumulative evidence." Fed. R.Evid. 403.</w:t>
      </w:r>
    </w:p>
    <w:p>
      <w:pPr>
        <w:pStyle w:val="BodyText"/>
        <w:spacing w:before="4"/>
        <w:rPr>
          <w:sz w:val="28"/>
        </w:rPr>
      </w:pPr>
    </w:p>
    <w:p>
      <w:pPr>
        <w:pStyle w:val="BodyText"/>
        <w:spacing w:line="480" w:lineRule="auto"/>
        <w:ind w:left="100" w:right="128" w:firstLine="691"/>
        <w:jc w:val="both"/>
      </w:pPr>
      <w:r>
        <w:rPr/>
        <w:t>Applying</w:t>
      </w:r>
      <w:r>
        <w:rPr>
          <w:spacing w:val="-16"/>
        </w:rPr>
        <w:t> </w:t>
      </w:r>
      <w:r>
        <w:rPr/>
        <w:t>the</w:t>
      </w:r>
      <w:r>
        <w:rPr>
          <w:spacing w:val="-11"/>
        </w:rPr>
        <w:t> </w:t>
      </w:r>
      <w:r>
        <w:rPr/>
        <w:t>Rule</w:t>
      </w:r>
      <w:r>
        <w:rPr>
          <w:spacing w:val="-14"/>
        </w:rPr>
        <w:t> </w:t>
      </w:r>
      <w:r>
        <w:rPr/>
        <w:t>403</w:t>
      </w:r>
      <w:r>
        <w:rPr>
          <w:spacing w:val="-12"/>
        </w:rPr>
        <w:t> </w:t>
      </w:r>
      <w:r>
        <w:rPr/>
        <w:t>balancing</w:t>
      </w:r>
      <w:r>
        <w:rPr>
          <w:spacing w:val="-13"/>
        </w:rPr>
        <w:t> </w:t>
      </w:r>
      <w:r>
        <w:rPr/>
        <w:t>test,</w:t>
      </w:r>
      <w:r>
        <w:rPr>
          <w:spacing w:val="-12"/>
        </w:rPr>
        <w:t> </w:t>
      </w:r>
      <w:r>
        <w:rPr/>
        <w:t>it</w:t>
      </w:r>
      <w:r>
        <w:rPr>
          <w:spacing w:val="-13"/>
        </w:rPr>
        <w:t> </w:t>
      </w:r>
      <w:r>
        <w:rPr/>
        <w:t>is</w:t>
      </w:r>
      <w:r>
        <w:rPr>
          <w:spacing w:val="-12"/>
        </w:rPr>
        <w:t> </w:t>
      </w:r>
      <w:r>
        <w:rPr/>
        <w:t>clear</w:t>
      </w:r>
      <w:r>
        <w:rPr>
          <w:spacing w:val="-14"/>
        </w:rPr>
        <w:t> </w:t>
      </w:r>
      <w:r>
        <w:rPr/>
        <w:t>the</w:t>
      </w:r>
      <w:r>
        <w:rPr>
          <w:spacing w:val="-8"/>
        </w:rPr>
        <w:t> </w:t>
      </w:r>
      <w:r>
        <w:rPr/>
        <w:t>probative</w:t>
      </w:r>
      <w:r>
        <w:rPr>
          <w:spacing w:val="-14"/>
        </w:rPr>
        <w:t> </w:t>
      </w:r>
      <w:r>
        <w:rPr/>
        <w:t>value</w:t>
      </w:r>
      <w:r>
        <w:rPr>
          <w:spacing w:val="-13"/>
        </w:rPr>
        <w:t> </w:t>
      </w:r>
      <w:r>
        <w:rPr/>
        <w:t>of</w:t>
      </w:r>
      <w:r>
        <w:rPr>
          <w:spacing w:val="-12"/>
        </w:rPr>
        <w:t> </w:t>
      </w:r>
      <w:r>
        <w:rPr/>
        <w:t>allowing</w:t>
      </w:r>
      <w:r>
        <w:rPr>
          <w:spacing w:val="-15"/>
        </w:rPr>
        <w:t> </w:t>
      </w:r>
      <w:r>
        <w:rPr/>
        <w:t>Plaintiffs</w:t>
      </w:r>
      <w:r>
        <w:rPr>
          <w:spacing w:val="-8"/>
        </w:rPr>
        <w:t> </w:t>
      </w:r>
      <w:r>
        <w:rPr/>
        <w:t>to present evidence from Mr. Dawson that is not based upon fact and which employs an incorrect measure of damages is substantially outweighed by its unfair prejudice to Defendant. Further, Mr. Dawson's reports contain information relating to numerous acts and events well outside the realm of the allegations made in this case—which are limited solely to whether surface water runoff has impacted Plaintiffs' properties. There are no claims that Defendant has</w:t>
      </w:r>
      <w:r>
        <w:rPr>
          <w:spacing w:val="40"/>
        </w:rPr>
        <w:t> </w:t>
      </w:r>
      <w:r>
        <w:rPr/>
        <w:t>caused pollution, explosions, or the like. Despite this fact, Mr. Dawson's reports are rife with citations to events</w:t>
      </w:r>
      <w:r>
        <w:rPr>
          <w:spacing w:val="-3"/>
        </w:rPr>
        <w:t> </w:t>
      </w:r>
      <w:r>
        <w:rPr/>
        <w:t>like</w:t>
      </w:r>
      <w:r>
        <w:rPr>
          <w:spacing w:val="-5"/>
        </w:rPr>
        <w:t> </w:t>
      </w:r>
      <w:r>
        <w:rPr/>
        <w:t>the</w:t>
      </w:r>
      <w:r>
        <w:rPr>
          <w:spacing w:val="-4"/>
        </w:rPr>
        <w:t> </w:t>
      </w:r>
      <w:r>
        <w:rPr/>
        <w:t>December</w:t>
      </w:r>
      <w:r>
        <w:rPr>
          <w:spacing w:val="-3"/>
        </w:rPr>
        <w:t> </w:t>
      </w:r>
      <w:r>
        <w:rPr/>
        <w:t>12,</w:t>
      </w:r>
      <w:r>
        <w:rPr>
          <w:spacing w:val="-4"/>
        </w:rPr>
        <w:t> </w:t>
      </w:r>
      <w:r>
        <w:rPr/>
        <w:t>2012</w:t>
      </w:r>
      <w:r>
        <w:rPr>
          <w:spacing w:val="-4"/>
        </w:rPr>
        <w:t> </w:t>
      </w:r>
      <w:r>
        <w:rPr/>
        <w:t>gas</w:t>
      </w:r>
      <w:r>
        <w:rPr>
          <w:spacing w:val="-4"/>
        </w:rPr>
        <w:t> </w:t>
      </w:r>
      <w:r>
        <w:rPr/>
        <w:t>explosion</w:t>
      </w:r>
      <w:r>
        <w:rPr>
          <w:spacing w:val="-4"/>
        </w:rPr>
        <w:t> </w:t>
      </w:r>
      <w:r>
        <w:rPr/>
        <w:t>in</w:t>
      </w:r>
      <w:r>
        <w:rPr>
          <w:spacing w:val="-3"/>
        </w:rPr>
        <w:t> </w:t>
      </w:r>
      <w:r>
        <w:rPr/>
        <w:t>Sissonville,</w:t>
      </w:r>
      <w:r>
        <w:rPr>
          <w:spacing w:val="-7"/>
        </w:rPr>
        <w:t> </w:t>
      </w:r>
      <w:r>
        <w:rPr/>
        <w:t>West</w:t>
      </w:r>
      <w:r>
        <w:rPr>
          <w:spacing w:val="-3"/>
        </w:rPr>
        <w:t> </w:t>
      </w:r>
      <w:r>
        <w:rPr/>
        <w:t>Virginia,</w:t>
      </w:r>
      <w:r>
        <w:rPr>
          <w:spacing w:val="-4"/>
        </w:rPr>
        <w:t> </w:t>
      </w:r>
      <w:r>
        <w:rPr/>
        <w:t>that</w:t>
      </w:r>
      <w:r>
        <w:rPr>
          <w:spacing w:val="-4"/>
        </w:rPr>
        <w:t> </w:t>
      </w:r>
      <w:r>
        <w:rPr/>
        <w:t>occurred</w:t>
      </w:r>
      <w:r>
        <w:rPr>
          <w:spacing w:val="-4"/>
        </w:rPr>
        <w:t> </w:t>
      </w:r>
      <w:r>
        <w:rPr/>
        <w:t>on</w:t>
      </w:r>
      <w:r>
        <w:rPr>
          <w:spacing w:val="-4"/>
        </w:rPr>
        <w:t> </w:t>
      </w:r>
      <w:r>
        <w:rPr/>
        <w:t>a pipeline not owned by Defendant, and which had no relation or impact to this case. Ex. 1 at pp. 71, 84-88. The same is true for the other incidents in the report, such as lawsuits that have been filed</w:t>
      </w:r>
      <w:r>
        <w:rPr>
          <w:spacing w:val="-7"/>
        </w:rPr>
        <w:t> </w:t>
      </w:r>
      <w:r>
        <w:rPr/>
        <w:t>against</w:t>
      </w:r>
      <w:r>
        <w:rPr>
          <w:spacing w:val="-5"/>
        </w:rPr>
        <w:t> </w:t>
      </w:r>
      <w:r>
        <w:rPr/>
        <w:t>coal</w:t>
      </w:r>
      <w:r>
        <w:rPr>
          <w:spacing w:val="-5"/>
        </w:rPr>
        <w:t> </w:t>
      </w:r>
      <w:r>
        <w:rPr/>
        <w:t>companies</w:t>
      </w:r>
      <w:r>
        <w:rPr>
          <w:spacing w:val="-6"/>
        </w:rPr>
        <w:t> </w:t>
      </w:r>
      <w:r>
        <w:rPr/>
        <w:t>for</w:t>
      </w:r>
      <w:r>
        <w:rPr>
          <w:spacing w:val="-7"/>
        </w:rPr>
        <w:t> </w:t>
      </w:r>
      <w:r>
        <w:rPr/>
        <w:t>alleged</w:t>
      </w:r>
      <w:r>
        <w:rPr>
          <w:spacing w:val="-6"/>
        </w:rPr>
        <w:t> </w:t>
      </w:r>
      <w:r>
        <w:rPr/>
        <w:t>environmental</w:t>
      </w:r>
      <w:r>
        <w:rPr>
          <w:spacing w:val="-5"/>
        </w:rPr>
        <w:t> </w:t>
      </w:r>
      <w:r>
        <w:rPr/>
        <w:t>damages</w:t>
      </w:r>
      <w:r>
        <w:rPr>
          <w:spacing w:val="-3"/>
        </w:rPr>
        <w:t> </w:t>
      </w:r>
      <w:r>
        <w:rPr/>
        <w:t>that</w:t>
      </w:r>
      <w:r>
        <w:rPr>
          <w:spacing w:val="-5"/>
        </w:rPr>
        <w:t> </w:t>
      </w:r>
      <w:r>
        <w:rPr/>
        <w:t>are</w:t>
      </w:r>
      <w:r>
        <w:rPr>
          <w:spacing w:val="-8"/>
        </w:rPr>
        <w:t> </w:t>
      </w:r>
      <w:r>
        <w:rPr/>
        <w:t>not</w:t>
      </w:r>
      <w:r>
        <w:rPr>
          <w:spacing w:val="-5"/>
        </w:rPr>
        <w:t> </w:t>
      </w:r>
      <w:r>
        <w:rPr/>
        <w:t>in</w:t>
      </w:r>
      <w:r>
        <w:rPr>
          <w:spacing w:val="-6"/>
        </w:rPr>
        <w:t> </w:t>
      </w:r>
      <w:r>
        <w:rPr/>
        <w:t>any</w:t>
      </w:r>
      <w:r>
        <w:rPr>
          <w:spacing w:val="-10"/>
        </w:rPr>
        <w:t> </w:t>
      </w:r>
      <w:r>
        <w:rPr/>
        <w:t>way</w:t>
      </w:r>
      <w:r>
        <w:rPr>
          <w:spacing w:val="-11"/>
        </w:rPr>
        <w:t> </w:t>
      </w:r>
      <w:r>
        <w:rPr/>
        <w:t>at</w:t>
      </w:r>
      <w:r>
        <w:rPr>
          <w:spacing w:val="-5"/>
        </w:rPr>
        <w:t> </w:t>
      </w:r>
      <w:r>
        <w:rPr/>
        <w:t>issue</w:t>
      </w:r>
      <w:r>
        <w:rPr>
          <w:spacing w:val="-7"/>
        </w:rPr>
        <w:t> </w:t>
      </w:r>
      <w:r>
        <w:rPr/>
        <w:t>in this case. Id. at pp. 69, 72-73, 88-89, 91. The probative value of these incidents is absolutely zero.</w:t>
      </w:r>
    </w:p>
    <w:p>
      <w:pPr>
        <w:pStyle w:val="BodyText"/>
        <w:spacing w:line="480" w:lineRule="auto" w:before="1"/>
        <w:ind w:left="100" w:right="114" w:firstLine="695"/>
        <w:jc w:val="both"/>
      </w:pPr>
      <w:r>
        <w:rPr/>
        <w:t>Conversely,</w:t>
      </w:r>
      <w:r>
        <w:rPr>
          <w:spacing w:val="-9"/>
        </w:rPr>
        <w:t> </w:t>
      </w:r>
      <w:r>
        <w:rPr/>
        <w:t>it</w:t>
      </w:r>
      <w:r>
        <w:rPr>
          <w:spacing w:val="-7"/>
        </w:rPr>
        <w:t> </w:t>
      </w:r>
      <w:r>
        <w:rPr/>
        <w:t>is</w:t>
      </w:r>
      <w:r>
        <w:rPr>
          <w:spacing w:val="-8"/>
        </w:rPr>
        <w:t> </w:t>
      </w:r>
      <w:r>
        <w:rPr/>
        <w:t>highly</w:t>
      </w:r>
      <w:r>
        <w:rPr>
          <w:spacing w:val="-12"/>
        </w:rPr>
        <w:t> </w:t>
      </w:r>
      <w:r>
        <w:rPr/>
        <w:t>prejudicial</w:t>
      </w:r>
      <w:r>
        <w:rPr>
          <w:spacing w:val="-8"/>
        </w:rPr>
        <w:t> </w:t>
      </w:r>
      <w:r>
        <w:rPr/>
        <w:t>to</w:t>
      </w:r>
      <w:r>
        <w:rPr>
          <w:spacing w:val="-8"/>
        </w:rPr>
        <w:t> </w:t>
      </w:r>
      <w:r>
        <w:rPr/>
        <w:t>Defendant</w:t>
      </w:r>
      <w:r>
        <w:rPr>
          <w:spacing w:val="-7"/>
        </w:rPr>
        <w:t> </w:t>
      </w:r>
      <w:r>
        <w:rPr/>
        <w:t>to</w:t>
      </w:r>
      <w:r>
        <w:rPr>
          <w:spacing w:val="-6"/>
        </w:rPr>
        <w:t> </w:t>
      </w:r>
      <w:r>
        <w:rPr/>
        <w:t>discuss</w:t>
      </w:r>
      <w:r>
        <w:rPr>
          <w:spacing w:val="-5"/>
        </w:rPr>
        <w:t> </w:t>
      </w:r>
      <w:r>
        <w:rPr/>
        <w:t>gas</w:t>
      </w:r>
      <w:r>
        <w:rPr>
          <w:spacing w:val="-5"/>
        </w:rPr>
        <w:t> </w:t>
      </w:r>
      <w:r>
        <w:rPr/>
        <w:t>explosions</w:t>
      </w:r>
      <w:r>
        <w:rPr>
          <w:spacing w:val="-8"/>
        </w:rPr>
        <w:t> </w:t>
      </w:r>
      <w:r>
        <w:rPr/>
        <w:t>or</w:t>
      </w:r>
      <w:r>
        <w:rPr>
          <w:spacing w:val="-8"/>
        </w:rPr>
        <w:t> </w:t>
      </w:r>
      <w:r>
        <w:rPr/>
        <w:t>the</w:t>
      </w:r>
      <w:r>
        <w:rPr>
          <w:spacing w:val="-9"/>
        </w:rPr>
        <w:t> </w:t>
      </w:r>
      <w:r>
        <w:rPr/>
        <w:t>likelihood of environmental damages when those are not at issue in the case. Likewise, the effect of mining operations on real estate value does nothing but mislead the jury and confuse the issues. Photographs of gas line explosions and discussions about coal slurry serve no other purpose than to be prejudicial.</w:t>
      </w:r>
      <w:r>
        <w:rPr>
          <w:spacing w:val="3"/>
        </w:rPr>
        <w:t> </w:t>
      </w:r>
      <w:r>
        <w:rPr/>
        <w:t>As noted above, the measure of damages here is based on cost to repair, not fair market</w:t>
      </w:r>
      <w:r>
        <w:rPr>
          <w:spacing w:val="-11"/>
        </w:rPr>
        <w:t> </w:t>
      </w:r>
      <w:r>
        <w:rPr/>
        <w:t>value.</w:t>
      </w:r>
      <w:r>
        <w:rPr>
          <w:spacing w:val="10"/>
        </w:rPr>
        <w:t> </w:t>
      </w:r>
      <w:r>
        <w:rPr/>
        <w:t>Presenting</w:t>
      </w:r>
      <w:r>
        <w:rPr>
          <w:spacing w:val="-13"/>
        </w:rPr>
        <w:t> </w:t>
      </w:r>
      <w:r>
        <w:rPr/>
        <w:t>such</w:t>
      </w:r>
      <w:r>
        <w:rPr>
          <w:spacing w:val="-11"/>
        </w:rPr>
        <w:t> </w:t>
      </w:r>
      <w:r>
        <w:rPr/>
        <w:t>evidence</w:t>
      </w:r>
      <w:r>
        <w:rPr>
          <w:spacing w:val="-12"/>
        </w:rPr>
        <w:t> </w:t>
      </w:r>
      <w:r>
        <w:rPr/>
        <w:t>does</w:t>
      </w:r>
      <w:r>
        <w:rPr>
          <w:spacing w:val="-10"/>
        </w:rPr>
        <w:t> </w:t>
      </w:r>
      <w:r>
        <w:rPr/>
        <w:t>nothing</w:t>
      </w:r>
      <w:r>
        <w:rPr>
          <w:spacing w:val="-12"/>
        </w:rPr>
        <w:t> </w:t>
      </w:r>
      <w:r>
        <w:rPr/>
        <w:t>more</w:t>
      </w:r>
      <w:r>
        <w:rPr>
          <w:spacing w:val="-12"/>
        </w:rPr>
        <w:t> </w:t>
      </w:r>
      <w:r>
        <w:rPr/>
        <w:t>than</w:t>
      </w:r>
      <w:r>
        <w:rPr>
          <w:spacing w:val="-11"/>
        </w:rPr>
        <w:t> </w:t>
      </w:r>
      <w:r>
        <w:rPr/>
        <w:t>cloud</w:t>
      </w:r>
      <w:r>
        <w:rPr>
          <w:spacing w:val="-11"/>
        </w:rPr>
        <w:t> </w:t>
      </w:r>
      <w:r>
        <w:rPr/>
        <w:t>the</w:t>
      </w:r>
      <w:r>
        <w:rPr>
          <w:spacing w:val="-8"/>
        </w:rPr>
        <w:t> </w:t>
      </w:r>
      <w:r>
        <w:rPr/>
        <w:t>issues</w:t>
      </w:r>
      <w:r>
        <w:rPr>
          <w:spacing w:val="-10"/>
        </w:rPr>
        <w:t> </w:t>
      </w:r>
      <w:r>
        <w:rPr/>
        <w:t>and</w:t>
      </w:r>
      <w:r>
        <w:rPr>
          <w:spacing w:val="-11"/>
        </w:rPr>
        <w:t> </w:t>
      </w:r>
      <w:r>
        <w:rPr/>
        <w:t>give</w:t>
      </w:r>
      <w:r>
        <w:rPr>
          <w:spacing w:val="-11"/>
        </w:rPr>
        <w:t> </w:t>
      </w:r>
      <w:r>
        <w:rPr/>
        <w:t>the</w:t>
      </w:r>
      <w:r>
        <w:rPr>
          <w:spacing w:val="-12"/>
        </w:rPr>
        <w:t> </w:t>
      </w:r>
      <w:r>
        <w:rPr/>
        <w:t>jury an improper picture of the evidence. Accordingly, all of Mr. Dawson's opinions, reports, and testimony must be excluded under Rules 401, 402, and 403 of the Federal Rules of</w:t>
      </w:r>
      <w:r>
        <w:rPr>
          <w:spacing w:val="-9"/>
        </w:rPr>
        <w:t> </w:t>
      </w:r>
      <w:r>
        <w:rPr/>
        <w:t>Evidence.</w:t>
      </w:r>
    </w:p>
    <w:p>
      <w:pPr>
        <w:spacing w:after="0" w:line="480" w:lineRule="auto"/>
        <w:jc w:val="both"/>
        <w:sectPr>
          <w:headerReference w:type="default" r:id="rId9"/>
          <w:pgSz w:w="12240" w:h="15840"/>
          <w:pgMar w:header="283" w:footer="0" w:top="1340" w:bottom="280" w:left="1340" w:right="1320"/>
          <w:pgNumType w:start="5"/>
        </w:sectPr>
      </w:pPr>
    </w:p>
    <w:p>
      <w:pPr>
        <w:pStyle w:val="BodyText"/>
        <w:spacing w:before="3"/>
        <w:rPr>
          <w:sz w:val="18"/>
        </w:rPr>
      </w:pPr>
    </w:p>
    <w:p>
      <w:pPr>
        <w:pStyle w:val="Heading1"/>
        <w:spacing w:before="90"/>
        <w:ind w:left="3960"/>
      </w:pPr>
      <w:r>
        <w:rPr/>
        <w:t>CONCLUSION</w:t>
      </w:r>
    </w:p>
    <w:p>
      <w:pPr>
        <w:pStyle w:val="BodyText"/>
        <w:spacing w:before="11"/>
        <w:rPr>
          <w:b/>
          <w:sz w:val="21"/>
        </w:rPr>
      </w:pPr>
    </w:p>
    <w:p>
      <w:pPr>
        <w:pStyle w:val="BodyText"/>
        <w:spacing w:line="460" w:lineRule="auto"/>
        <w:ind w:left="100" w:right="116" w:firstLine="719"/>
        <w:jc w:val="both"/>
      </w:pPr>
      <w:r>
        <w:rPr/>
        <w:t>For</w:t>
      </w:r>
      <w:r>
        <w:rPr>
          <w:spacing w:val="-8"/>
        </w:rPr>
        <w:t> </w:t>
      </w:r>
      <w:r>
        <w:rPr/>
        <w:t>the</w:t>
      </w:r>
      <w:r>
        <w:rPr>
          <w:spacing w:val="-7"/>
        </w:rPr>
        <w:t> </w:t>
      </w:r>
      <w:r>
        <w:rPr/>
        <w:t>reasons</w:t>
      </w:r>
      <w:r>
        <w:rPr>
          <w:spacing w:val="-6"/>
        </w:rPr>
        <w:t> </w:t>
      </w:r>
      <w:r>
        <w:rPr/>
        <w:t>set</w:t>
      </w:r>
      <w:r>
        <w:rPr>
          <w:spacing w:val="-7"/>
        </w:rPr>
        <w:t> </w:t>
      </w:r>
      <w:r>
        <w:rPr/>
        <w:t>forth</w:t>
      </w:r>
      <w:r>
        <w:rPr>
          <w:spacing w:val="-6"/>
        </w:rPr>
        <w:t> </w:t>
      </w:r>
      <w:r>
        <w:rPr/>
        <w:t>above,</w:t>
      </w:r>
      <w:r>
        <w:rPr>
          <w:spacing w:val="-7"/>
        </w:rPr>
        <w:t> </w:t>
      </w:r>
      <w:r>
        <w:rPr/>
        <w:t>Defendants</w:t>
      </w:r>
      <w:r>
        <w:rPr>
          <w:spacing w:val="-6"/>
        </w:rPr>
        <w:t> </w:t>
      </w:r>
      <w:r>
        <w:rPr/>
        <w:t>respectfully</w:t>
      </w:r>
      <w:r>
        <w:rPr>
          <w:spacing w:val="-11"/>
        </w:rPr>
        <w:t> </w:t>
      </w:r>
      <w:r>
        <w:rPr/>
        <w:t>requests</w:t>
      </w:r>
      <w:r>
        <w:rPr>
          <w:spacing w:val="-6"/>
        </w:rPr>
        <w:t> </w:t>
      </w:r>
      <w:r>
        <w:rPr/>
        <w:t>that</w:t>
      </w:r>
      <w:r>
        <w:rPr>
          <w:spacing w:val="-7"/>
        </w:rPr>
        <w:t> </w:t>
      </w:r>
      <w:r>
        <w:rPr/>
        <w:t>this</w:t>
      </w:r>
      <w:r>
        <w:rPr>
          <w:spacing w:val="-6"/>
        </w:rPr>
        <w:t> </w:t>
      </w:r>
      <w:r>
        <w:rPr/>
        <w:t>Honorable</w:t>
      </w:r>
      <w:r>
        <w:rPr>
          <w:spacing w:val="-7"/>
        </w:rPr>
        <w:t> </w:t>
      </w:r>
      <w:r>
        <w:rPr/>
        <w:t>Court grant this motion </w:t>
      </w:r>
      <w:r>
        <w:rPr>
          <w:i/>
        </w:rPr>
        <w:t>in limine </w:t>
      </w:r>
      <w:r>
        <w:rPr/>
        <w:t>and issue an Order precluding Plaintiffs' real estate appraisal expert, Dean Dawson, from offering any reports, testimony, or opinions at the trial of this</w:t>
      </w:r>
      <w:r>
        <w:rPr>
          <w:spacing w:val="-7"/>
        </w:rPr>
        <w:t> </w:t>
      </w:r>
      <w:r>
        <w:rPr/>
        <w:t>matter.</w:t>
      </w:r>
    </w:p>
    <w:p>
      <w:pPr>
        <w:pStyle w:val="BodyText"/>
        <w:rPr>
          <w:sz w:val="26"/>
        </w:rPr>
      </w:pPr>
    </w:p>
    <w:p>
      <w:pPr>
        <w:pStyle w:val="BodyText"/>
        <w:rPr>
          <w:sz w:val="26"/>
        </w:rPr>
      </w:pPr>
    </w:p>
    <w:p>
      <w:pPr>
        <w:pStyle w:val="BodyText"/>
        <w:spacing w:before="2"/>
        <w:rPr>
          <w:sz w:val="22"/>
        </w:rPr>
      </w:pPr>
    </w:p>
    <w:p>
      <w:pPr>
        <w:pStyle w:val="Heading1"/>
        <w:spacing w:before="1"/>
        <w:ind w:left="4421"/>
      </w:pPr>
      <w:r>
        <w:rPr/>
        <w:t>PINNACLE MINING COMPANY, LLC</w:t>
      </w:r>
    </w:p>
    <w:p>
      <w:pPr>
        <w:pStyle w:val="BodyText"/>
        <w:spacing w:before="2"/>
        <w:rPr>
          <w:b/>
          <w:sz w:val="23"/>
        </w:rPr>
      </w:pPr>
    </w:p>
    <w:p>
      <w:pPr>
        <w:pStyle w:val="BodyText"/>
        <w:ind w:left="4411"/>
      </w:pPr>
      <w:r>
        <w:rPr/>
        <w:t>By Counsel</w:t>
      </w:r>
    </w:p>
    <w:p>
      <w:pPr>
        <w:pStyle w:val="BodyText"/>
        <w:rPr>
          <w:sz w:val="26"/>
        </w:rPr>
      </w:pPr>
    </w:p>
    <w:p>
      <w:pPr>
        <w:pStyle w:val="BodyText"/>
        <w:rPr>
          <w:sz w:val="26"/>
        </w:rPr>
      </w:pPr>
    </w:p>
    <w:p>
      <w:pPr>
        <w:pStyle w:val="BodyText"/>
        <w:rPr>
          <w:sz w:val="26"/>
        </w:rPr>
      </w:pPr>
    </w:p>
    <w:p>
      <w:pPr>
        <w:pStyle w:val="BodyText"/>
        <w:spacing w:before="10"/>
        <w:rPr>
          <w:sz w:val="23"/>
        </w:rPr>
      </w:pPr>
    </w:p>
    <w:p>
      <w:pPr>
        <w:spacing w:before="0"/>
        <w:ind w:left="4521" w:right="0" w:firstLine="0"/>
        <w:jc w:val="left"/>
        <w:rPr>
          <w:i/>
          <w:sz w:val="24"/>
        </w:rPr>
      </w:pPr>
      <w:r>
        <w:rPr/>
        <w:pict>
          <v:line style="position:absolute;mso-position-horizontal-relative:page;mso-position-vertical-relative:paragraph;z-index:1096" from="293.089996pt,12.823108pt" to="432.069996pt,12.823108pt" stroked="true" strokeweight=".600010pt" strokecolor="#000000">
            <v:stroke dashstyle="solid"/>
            <w10:wrap type="none"/>
          </v:line>
        </w:pict>
      </w:r>
      <w:r>
        <w:rPr>
          <w:i/>
          <w:sz w:val="24"/>
        </w:rPr>
        <w:t>/s/ John J. Meadows</w:t>
      </w:r>
    </w:p>
    <w:p>
      <w:pPr>
        <w:pStyle w:val="BodyText"/>
        <w:spacing w:line="232" w:lineRule="auto" w:before="7"/>
        <w:ind w:left="4521" w:right="239"/>
      </w:pPr>
      <w:r>
        <w:rPr/>
        <w:t>John J. Meadows (WV State Bar ID No. 9442) Peter J. Raupp (WV State Bar ID No.</w:t>
      </w:r>
    </w:p>
    <w:p>
      <w:pPr>
        <w:pStyle w:val="BodyText"/>
        <w:spacing w:before="2"/>
        <w:ind w:left="4521"/>
      </w:pPr>
      <w:r>
        <w:rPr/>
        <w:t>10564) 707 Virginia Street,</w:t>
      </w:r>
      <w:r>
        <w:rPr>
          <w:spacing w:val="-9"/>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spacing w:before="1"/>
        <w:ind w:left="4521" w:right="2148" w:hanging="3481"/>
      </w:pPr>
      <w:r>
        <w:rPr>
          <w:b/>
        </w:rPr>
        <w:t>Of Counsel</w:t>
        <w:tab/>
      </w:r>
      <w:r>
        <w:rPr/>
        <w:t>Post Office Box 1588 Charleston, WV</w:t>
      </w:r>
      <w:r>
        <w:rPr>
          <w:spacing w:val="20"/>
        </w:rPr>
        <w:t> </w:t>
      </w:r>
      <w:r>
        <w:rPr>
          <w:spacing w:val="-3"/>
        </w:rPr>
        <w:t>25326-1588</w:t>
      </w:r>
    </w:p>
    <w:p>
      <w:pPr>
        <w:pStyle w:val="BodyText"/>
        <w:ind w:left="4521"/>
      </w:pPr>
      <w:r>
        <w:rPr/>
        <w:t>Telephone: (304) 353-8154</w:t>
      </w:r>
    </w:p>
    <w:p>
      <w:pPr>
        <w:pStyle w:val="BodyText"/>
        <w:tabs>
          <w:tab w:pos="5808" w:val="left" w:leader="none"/>
        </w:tabs>
        <w:ind w:left="4521" w:right="1396"/>
      </w:pPr>
      <w:r>
        <w:rPr/>
        <w:pict>
          <v:rect style="position:absolute;margin-left:432.429993pt;margin-top:12.523135pt;width:3pt;height:.599980pt;mso-position-horizontal-relative:page;mso-position-vertical-relative:paragraph;z-index:-5968" filled="true" fillcolor="#0000ff" stroked="false">
            <v:fill type="solid"/>
            <w10:wrap type="none"/>
          </v:rect>
        </w:pict>
      </w:r>
      <w:r>
        <w:rPr/>
        <w:t>Facsimile:</w:t>
        <w:tab/>
        <w:t>(304) 353-8180 </w:t>
      </w:r>
      <w:hyperlink r:id="rId11">
        <w:r>
          <w:rPr>
            <w:color w:val="0000FF"/>
            <w:u w:val="single" w:color="0000FF"/>
          </w:rPr>
          <w:t>John.Meadows@steptoe-johnson.com</w:t>
        </w:r>
      </w:hyperlink>
      <w:r>
        <w:rPr>
          <w:color w:val="0000FF"/>
        </w:rPr>
        <w:t> </w:t>
      </w:r>
      <w:hyperlink r:id="rId12">
        <w:r>
          <w:rPr>
            <w:color w:val="0000FF"/>
            <w:u w:val="single" w:color="0000FF"/>
          </w:rPr>
          <w:t>Peter.Raupp@steptoe-johnson.com</w:t>
        </w:r>
      </w:hyperlink>
    </w:p>
    <w:p>
      <w:pPr>
        <w:spacing w:after="0"/>
        <w:sectPr>
          <w:headerReference w:type="default" r:id="rId10"/>
          <w:pgSz w:w="12240" w:h="15840"/>
          <w:pgMar w:header="283" w:footer="0" w:top="1340" w:bottom="280" w:left="1340" w:right="1320"/>
          <w:pgNumType w:start="6"/>
        </w:sectPr>
      </w:pPr>
    </w:p>
    <w:p>
      <w:pPr>
        <w:pStyle w:val="Heading1"/>
        <w:spacing w:line="225" w:lineRule="auto" w:before="93"/>
        <w:ind w:left="1713" w:right="1798" w:firstLine="549"/>
      </w:pPr>
      <w:r>
        <w:rPr/>
        <w:t>IN THE UNITED STATES DISTRICT COURT FOR THE SOUTHERN DISTRICT OF WEST</w:t>
      </w:r>
      <w:r>
        <w:rPr>
          <w:spacing w:val="-11"/>
        </w:rPr>
        <w:t> </w:t>
      </w:r>
      <w:r>
        <w:rPr/>
        <w:t>VIRGINIA</w:t>
      </w:r>
    </w:p>
    <w:p>
      <w:pPr>
        <w:spacing w:line="262" w:lineRule="exact" w:before="0"/>
        <w:ind w:left="40" w:right="145"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tabs>
          <w:tab w:pos="4420" w:val="left" w:leader="none"/>
        </w:tabs>
        <w:spacing w:line="264" w:lineRule="exact" w:before="0"/>
        <w:ind w:left="100" w:right="0" w:firstLine="0"/>
        <w:jc w:val="left"/>
        <w:rPr>
          <w:b/>
          <w:sz w:val="24"/>
        </w:rPr>
      </w:pPr>
      <w:r>
        <w:rPr>
          <w:b/>
          <w:sz w:val="24"/>
        </w:rPr>
        <w:t>v.</w:t>
        <w:tab/>
        <w:t>CIVIL ACTION NO.</w:t>
      </w:r>
      <w:r>
        <w:rPr>
          <w:b/>
          <w:spacing w:val="-1"/>
          <w:sz w:val="24"/>
        </w:rPr>
        <w:t> </w:t>
      </w:r>
      <w:r>
        <w:rPr>
          <w:b/>
          <w:sz w:val="24"/>
        </w:rPr>
        <w:t>5:15-CV-15444</w:t>
      </w:r>
    </w:p>
    <w:p>
      <w:pPr>
        <w:spacing w:line="270" w:lineRule="exact" w:before="0"/>
        <w:ind w:left="846" w:right="145"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3180" w:right="0" w:firstLine="0"/>
        <w:jc w:val="left"/>
        <w:rPr>
          <w:b/>
          <w:sz w:val="24"/>
        </w:rPr>
      </w:pPr>
      <w:r>
        <w:rPr>
          <w:b/>
          <w:sz w:val="24"/>
          <w:u w:val="thick"/>
        </w:rPr>
        <w:t>CERTIFICATE OF SERVICE</w:t>
      </w:r>
    </w:p>
    <w:p>
      <w:pPr>
        <w:spacing w:line="244" w:lineRule="auto" w:before="199"/>
        <w:ind w:left="813" w:right="28" w:firstLine="7"/>
        <w:jc w:val="left"/>
        <w:rPr>
          <w:b/>
          <w:sz w:val="24"/>
        </w:rPr>
      </w:pPr>
      <w:r>
        <w:rPr>
          <w:sz w:val="24"/>
        </w:rPr>
        <w:t>I hereby affirm that on this date, April 17, 2017, I caused the foregoing </w:t>
      </w:r>
      <w:r>
        <w:rPr>
          <w:b/>
          <w:i/>
          <w:sz w:val="24"/>
        </w:rPr>
        <w:t>“</w:t>
      </w:r>
      <w:r>
        <w:rPr>
          <w:b/>
          <w:sz w:val="24"/>
        </w:rPr>
        <w:t>DEFENDANT’S MOTION IN LIMINE TO PRECLUDE OPINIONS OF PLAINTIFFS' EXPERT</w:t>
      </w:r>
    </w:p>
    <w:p>
      <w:pPr>
        <w:pStyle w:val="BodyText"/>
        <w:ind w:left="813"/>
      </w:pPr>
      <w:r>
        <w:rPr>
          <w:b/>
        </w:rPr>
        <w:t>DEAN DAWSON</w:t>
      </w:r>
      <w:r>
        <w:rPr>
          <w:b/>
          <w:i/>
        </w:rPr>
        <w:t>” </w:t>
      </w:r>
      <w:r>
        <w:rPr/>
        <w:t>to be filed via the CM/ECF electronic filing system and, by virtue of the same, electronic notification will be served as follows:</w:t>
      </w:r>
    </w:p>
    <w:p>
      <w:pPr>
        <w:pStyle w:val="BodyText"/>
        <w:rPr>
          <w:sz w:val="23"/>
        </w:rPr>
      </w:pPr>
    </w:p>
    <w:p>
      <w:pPr>
        <w:pStyle w:val="BodyText"/>
        <w:ind w:left="3429" w:right="3578"/>
        <w:jc w:val="center"/>
      </w:pPr>
      <w:r>
        <w:rPr/>
        <w:t>Roger A. Decanio, </w:t>
      </w:r>
      <w:r>
        <w:rPr>
          <w:spacing w:val="-3"/>
        </w:rPr>
        <w:t>Esquire </w:t>
      </w:r>
      <w:r>
        <w:rPr/>
        <w:t>The Masters Law Firm 181 Summers</w:t>
      </w:r>
      <w:r>
        <w:rPr>
          <w:spacing w:val="-2"/>
        </w:rPr>
        <w:t> </w:t>
      </w:r>
      <w:r>
        <w:rPr/>
        <w:t>Street</w:t>
      </w:r>
    </w:p>
    <w:p>
      <w:pPr>
        <w:pStyle w:val="BodyText"/>
        <w:spacing w:before="1"/>
        <w:ind w:right="145"/>
        <w:jc w:val="center"/>
      </w:pPr>
      <w:r>
        <w:rPr/>
        <w:t>Charleston, WV 25301</w:t>
      </w:r>
    </w:p>
    <w:p>
      <w:pPr>
        <w:pStyle w:val="BodyText"/>
        <w:ind w:right="145"/>
        <w:jc w:val="center"/>
      </w:pPr>
      <w:hyperlink r:id="rId14">
        <w:r>
          <w:rPr>
            <w:color w:val="0000FF"/>
            <w:u w:val="single" w:color="0000FF"/>
          </w:rPr>
          <w:t>  rad@themasterslawfirm.com</w:t>
        </w:r>
      </w:hyperlink>
    </w:p>
    <w:p>
      <w:pPr>
        <w:spacing w:before="0"/>
        <w:ind w:left="3" w:right="145" w:firstLine="0"/>
        <w:jc w:val="center"/>
        <w:rPr>
          <w:i/>
          <w:sz w:val="24"/>
        </w:rPr>
      </w:pPr>
      <w:r>
        <w:rPr>
          <w:i/>
          <w:sz w:val="24"/>
        </w:rPr>
        <w:t>Counsel for Plaintiffs</w:t>
      </w:r>
    </w:p>
    <w:p>
      <w:pPr>
        <w:pStyle w:val="BodyText"/>
        <w:rPr>
          <w:i/>
          <w:sz w:val="26"/>
        </w:rPr>
      </w:pPr>
    </w:p>
    <w:p>
      <w:pPr>
        <w:pStyle w:val="BodyText"/>
        <w:rPr>
          <w:i/>
          <w:sz w:val="26"/>
        </w:rPr>
      </w:pPr>
    </w:p>
    <w:p>
      <w:pPr>
        <w:tabs>
          <w:tab w:pos="5140" w:val="left" w:leader="none"/>
          <w:tab w:pos="8741" w:val="left" w:leader="none"/>
        </w:tabs>
        <w:spacing w:before="230"/>
        <w:ind w:left="4521" w:right="0" w:firstLine="0"/>
        <w:jc w:val="left"/>
        <w:rPr>
          <w:i/>
          <w:sz w:val="24"/>
        </w:rPr>
      </w:pPr>
      <w:r>
        <w:rPr>
          <w:i/>
          <w:sz w:val="24"/>
          <w:u w:val="single"/>
        </w:rPr>
        <w:t> </w:t>
        <w:tab/>
        <w:t>/s/ John J.</w:t>
      </w:r>
      <w:r>
        <w:rPr>
          <w:i/>
          <w:spacing w:val="-4"/>
          <w:sz w:val="24"/>
          <w:u w:val="single"/>
        </w:rPr>
        <w:t> </w:t>
      </w:r>
      <w:r>
        <w:rPr>
          <w:i/>
          <w:sz w:val="24"/>
          <w:u w:val="single"/>
        </w:rPr>
        <w:t>Meadows</w:t>
        <w:tab/>
      </w:r>
    </w:p>
    <w:sectPr>
      <w:headerReference w:type="default" r:id="rId13"/>
      <w:pgSz w:w="12240" w:h="15840"/>
      <w:pgMar w:header="283" w:footer="0" w:top="1340" w:bottom="280" w:left="1340" w:right="1320"/>
      <w:pgNumType w:start="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6064" type="#_x0000_t202" filled="false" stroked="false">
          <v:textbox inset="0,0,0,0">
            <w:txbxContent>
              <w:p>
                <w:pPr>
                  <w:pStyle w:val="BodyText"/>
                  <w:spacing w:before="12"/>
                  <w:ind w:left="20"/>
                  <w:rPr>
                    <w:rFonts w:ascii="Arial"/>
                  </w:rPr>
                </w:pPr>
                <w:r>
                  <w:rPr>
                    <w:rFonts w:ascii="Arial"/>
                    <w:color w:val="0000FF"/>
                  </w:rPr>
                  <w:t>Case 5:15-cv-15444 Document 223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7 PageID #: 1665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6040" type="#_x0000_t202" filled="false" stroked="false">
          <v:textbox inset="0,0,0,0">
            <w:txbxContent>
              <w:p>
                <w:pPr>
                  <w:pStyle w:val="BodyText"/>
                  <w:spacing w:before="12"/>
                  <w:ind w:left="20"/>
                  <w:rPr>
                    <w:rFonts w:ascii="Arial"/>
                  </w:rPr>
                </w:pPr>
                <w:r>
                  <w:rPr>
                    <w:rFonts w:ascii="Arial"/>
                    <w:color w:val="0000FF"/>
                  </w:rPr>
                  <w:t>Case 5:15-cv-15444 Document 223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7 PageID #: 1666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6016" type="#_x0000_t202" filled="false" stroked="false">
          <v:textbox inset="0,0,0,0">
            <w:txbxContent>
              <w:p>
                <w:pPr>
                  <w:pStyle w:val="BodyText"/>
                  <w:spacing w:before="12"/>
                  <w:ind w:left="20"/>
                  <w:rPr>
                    <w:rFonts w:ascii="Arial"/>
                  </w:rPr>
                </w:pPr>
                <w:r>
                  <w:rPr>
                    <w:rFonts w:ascii="Arial"/>
                    <w:color w:val="0000FF"/>
                  </w:rPr>
                  <w:t>Case 5:15-cv-15444 Document 223 Filed 04/17/17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7 PageID #: 1667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992" type="#_x0000_t202" filled="false" stroked="false">
          <v:textbox inset="0,0,0,0">
            <w:txbxContent>
              <w:p>
                <w:pPr>
                  <w:pStyle w:val="BodyText"/>
                  <w:spacing w:before="12"/>
                  <w:ind w:left="20"/>
                  <w:rPr>
                    <w:rFonts w:ascii="Arial"/>
                  </w:rPr>
                </w:pPr>
                <w:r>
                  <w:rPr>
                    <w:rFonts w:ascii="Arial"/>
                    <w:color w:val="0000FF"/>
                  </w:rPr>
                  <w:t>Case 5:15-cv-15444 Document 223 Filed 04/17/17 Page </w:t>
                </w:r>
                <w:r>
                  <w:rPr/>
                  <w:fldChar w:fldCharType="begin"/>
                </w:r>
                <w:r>
                  <w:rPr>
                    <w:rFonts w:ascii="Arial"/>
                    <w:color w:val="0000FF"/>
                  </w:rPr>
                  <w:instrText> PAGE </w:instrText>
                </w:r>
                <w:r>
                  <w:rPr/>
                  <w:fldChar w:fldCharType="separate"/>
                </w:r>
                <w:r>
                  <w:rPr/>
                  <w:t>4</w:t>
                </w:r>
                <w:r>
                  <w:rPr/>
                  <w:fldChar w:fldCharType="end"/>
                </w:r>
                <w:r>
                  <w:rPr>
                    <w:rFonts w:ascii="Arial"/>
                    <w:color w:val="0000FF"/>
                  </w:rPr>
                  <w:t> of 7 PageID #: 1668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968" type="#_x0000_t202" filled="false" stroked="false">
          <v:textbox inset="0,0,0,0">
            <w:txbxContent>
              <w:p>
                <w:pPr>
                  <w:pStyle w:val="BodyText"/>
                  <w:spacing w:before="12"/>
                  <w:ind w:left="20"/>
                  <w:rPr>
                    <w:rFonts w:ascii="Arial"/>
                  </w:rPr>
                </w:pPr>
                <w:r>
                  <w:rPr>
                    <w:rFonts w:ascii="Arial"/>
                    <w:color w:val="0000FF"/>
                  </w:rPr>
                  <w:t>Case 5:15-cv-15444 Document 223 Filed 04/17/17 Page </w:t>
                </w:r>
                <w:r>
                  <w:rPr/>
                  <w:fldChar w:fldCharType="begin"/>
                </w:r>
                <w:r>
                  <w:rPr>
                    <w:rFonts w:ascii="Arial"/>
                    <w:color w:val="0000FF"/>
                  </w:rPr>
                  <w:instrText> PAGE </w:instrText>
                </w:r>
                <w:r>
                  <w:rPr/>
                  <w:fldChar w:fldCharType="separate"/>
                </w:r>
                <w:r>
                  <w:rPr/>
                  <w:t>5</w:t>
                </w:r>
                <w:r>
                  <w:rPr/>
                  <w:fldChar w:fldCharType="end"/>
                </w:r>
                <w:r>
                  <w:rPr>
                    <w:rFonts w:ascii="Arial"/>
                    <w:color w:val="0000FF"/>
                  </w:rPr>
                  <w:t> of 7 PageID #: 1669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944" type="#_x0000_t202" filled="false" stroked="false">
          <v:textbox inset="0,0,0,0">
            <w:txbxContent>
              <w:p>
                <w:pPr>
                  <w:pStyle w:val="BodyText"/>
                  <w:spacing w:before="12"/>
                  <w:ind w:left="20"/>
                  <w:rPr>
                    <w:rFonts w:ascii="Arial"/>
                  </w:rPr>
                </w:pPr>
                <w:r>
                  <w:rPr>
                    <w:rFonts w:ascii="Arial"/>
                    <w:color w:val="0000FF"/>
                  </w:rPr>
                  <w:t>Case 5:15-cv-15444 Document 223 Filed 04/17/17 Page </w:t>
                </w:r>
                <w:r>
                  <w:rPr/>
                  <w:fldChar w:fldCharType="begin"/>
                </w:r>
                <w:r>
                  <w:rPr>
                    <w:rFonts w:ascii="Arial"/>
                    <w:color w:val="0000FF"/>
                  </w:rPr>
                  <w:instrText> PAGE </w:instrText>
                </w:r>
                <w:r>
                  <w:rPr/>
                  <w:fldChar w:fldCharType="separate"/>
                </w:r>
                <w:r>
                  <w:rPr/>
                  <w:t>6</w:t>
                </w:r>
                <w:r>
                  <w:rPr/>
                  <w:fldChar w:fldCharType="end"/>
                </w:r>
                <w:r>
                  <w:rPr>
                    <w:rFonts w:ascii="Arial"/>
                    <w:color w:val="0000FF"/>
                  </w:rPr>
                  <w:t> of 7 PageID #: 1670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920" type="#_x0000_t202" filled="false" stroked="false">
          <v:textbox inset="0,0,0,0">
            <w:txbxContent>
              <w:p>
                <w:pPr>
                  <w:pStyle w:val="BodyText"/>
                  <w:spacing w:before="12"/>
                  <w:ind w:left="20"/>
                  <w:rPr>
                    <w:rFonts w:ascii="Arial"/>
                  </w:rPr>
                </w:pPr>
                <w:r>
                  <w:rPr>
                    <w:rFonts w:ascii="Arial"/>
                    <w:color w:val="0000FF"/>
                  </w:rPr>
                  <w:t>Case 5:15-cv-15444 Document 223 Filed 04/17/17 Page </w:t>
                </w:r>
                <w:r>
                  <w:rPr/>
                  <w:fldChar w:fldCharType="begin"/>
                </w:r>
                <w:r>
                  <w:rPr>
                    <w:rFonts w:ascii="Arial"/>
                    <w:color w:val="0000FF"/>
                  </w:rPr>
                  <w:instrText> PAGE </w:instrText>
                </w:r>
                <w:r>
                  <w:rPr/>
                  <w:fldChar w:fldCharType="separate"/>
                </w:r>
                <w:r>
                  <w:rPr/>
                  <w:t>7</w:t>
                </w:r>
                <w:r>
                  <w:rPr/>
                  <w:fldChar w:fldCharType="end"/>
                </w:r>
                <w:r>
                  <w:rPr>
                    <w:rFonts w:ascii="Arial"/>
                    <w:color w:val="0000FF"/>
                  </w:rPr>
                  <w:t> of 7 PageID #: 1671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lowerRoman"/>
      <w:lvlText w:val="%1."/>
      <w:lvlJc w:val="left"/>
      <w:pPr>
        <w:ind w:left="4421" w:hanging="4321"/>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803" w:hanging="464"/>
        <w:jc w:val="left"/>
      </w:pPr>
      <w:rPr>
        <w:rFonts w:hint="default" w:ascii="Times New Roman" w:hAnsi="Times New Roman" w:eastAsia="Times New Roman" w:cs="Times New Roman"/>
        <w:b/>
        <w:bCs/>
        <w:w w:val="99"/>
        <w:sz w:val="24"/>
        <w:szCs w:val="24"/>
        <w:lang w:val="en-us" w:eastAsia="en-us" w:bidi="en-us"/>
      </w:rPr>
    </w:lvl>
    <w:lvl w:ilvl="2">
      <w:start w:val="0"/>
      <w:numFmt w:val="bullet"/>
      <w:lvlText w:val="•"/>
      <w:lvlJc w:val="left"/>
      <w:pPr>
        <w:ind w:left="4993" w:hanging="464"/>
      </w:pPr>
      <w:rPr>
        <w:rFonts w:hint="default"/>
        <w:lang w:val="en-us" w:eastAsia="en-us" w:bidi="en-us"/>
      </w:rPr>
    </w:lvl>
    <w:lvl w:ilvl="3">
      <w:start w:val="0"/>
      <w:numFmt w:val="bullet"/>
      <w:lvlText w:val="•"/>
      <w:lvlJc w:val="left"/>
      <w:pPr>
        <w:ind w:left="5566" w:hanging="464"/>
      </w:pPr>
      <w:rPr>
        <w:rFonts w:hint="default"/>
        <w:lang w:val="en-us" w:eastAsia="en-us" w:bidi="en-us"/>
      </w:rPr>
    </w:lvl>
    <w:lvl w:ilvl="4">
      <w:start w:val="0"/>
      <w:numFmt w:val="bullet"/>
      <w:lvlText w:val="•"/>
      <w:lvlJc w:val="left"/>
      <w:pPr>
        <w:ind w:left="6140" w:hanging="464"/>
      </w:pPr>
      <w:rPr>
        <w:rFonts w:hint="default"/>
        <w:lang w:val="en-us" w:eastAsia="en-us" w:bidi="en-us"/>
      </w:rPr>
    </w:lvl>
    <w:lvl w:ilvl="5">
      <w:start w:val="0"/>
      <w:numFmt w:val="bullet"/>
      <w:lvlText w:val="•"/>
      <w:lvlJc w:val="left"/>
      <w:pPr>
        <w:ind w:left="6713" w:hanging="464"/>
      </w:pPr>
      <w:rPr>
        <w:rFonts w:hint="default"/>
        <w:lang w:val="en-us" w:eastAsia="en-us" w:bidi="en-us"/>
      </w:rPr>
    </w:lvl>
    <w:lvl w:ilvl="6">
      <w:start w:val="0"/>
      <w:numFmt w:val="bullet"/>
      <w:lvlText w:val="•"/>
      <w:lvlJc w:val="left"/>
      <w:pPr>
        <w:ind w:left="7286" w:hanging="464"/>
      </w:pPr>
      <w:rPr>
        <w:rFonts w:hint="default"/>
        <w:lang w:val="en-us" w:eastAsia="en-us" w:bidi="en-us"/>
      </w:rPr>
    </w:lvl>
    <w:lvl w:ilvl="7">
      <w:start w:val="0"/>
      <w:numFmt w:val="bullet"/>
      <w:lvlText w:val="•"/>
      <w:lvlJc w:val="left"/>
      <w:pPr>
        <w:ind w:left="7860" w:hanging="464"/>
      </w:pPr>
      <w:rPr>
        <w:rFonts w:hint="default"/>
        <w:lang w:val="en-us" w:eastAsia="en-us" w:bidi="en-us"/>
      </w:rPr>
    </w:lvl>
    <w:lvl w:ilvl="8">
      <w:start w:val="0"/>
      <w:numFmt w:val="bullet"/>
      <w:lvlText w:val="•"/>
      <w:lvlJc w:val="left"/>
      <w:pPr>
        <w:ind w:left="8433" w:hanging="46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03" w:hanging="432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yperlink" Target="mailto:%20John.Meadows@steptoe-johnson.com" TargetMode="External"/><Relationship Id="rId12" Type="http://schemas.openxmlformats.org/officeDocument/2006/relationships/hyperlink" Target="mailto:Peter.Raupp@steptoe-johnson.com" TargetMode="External"/><Relationship Id="rId13" Type="http://schemas.openxmlformats.org/officeDocument/2006/relationships/header" Target="header7.xml"/><Relationship Id="rId14" Type="http://schemas.openxmlformats.org/officeDocument/2006/relationships/hyperlink" Target="mailto:%20rad@themasterslawfirm.co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2019-05-10T17:47:19Z</dcterms:created>
  <dcterms:modified xsi:type="dcterms:W3CDTF">2019-05-10T17:47:19Z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Aspose Ltd.</vt:lpwstr>
  </property>
  <property fmtid="{D5CDD505-2E9C-101B-9397-08002B2CF9AE}" pid="4" name="LastSaved">
    <vt:filetime>2019-05-10T00:00:00Z</vt:filetime>
  </property>
</Properties>
</file>