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89.760002pt;margin-top:72pt;width:468.75pt;height:487.45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600"/>
                  </w:tblGrid>
                  <w:tr>
                    <w:trPr>
                      <w:trHeight w:val="2101" w:hRule="atLeast"/>
                    </w:trPr>
                    <w:tc>
                      <w:tcPr>
                        <w:tcW w:w="5760" w:type="dxa"/>
                        <w:tcBorders>
                          <w:bottom w:val="nil"/>
                        </w:tcBorders>
                      </w:tcPr>
                      <w:p>
                        <w:pPr>
                          <w:pStyle w:val="TableParagraph"/>
                          <w:spacing w:line="273" w:lineRule="exact"/>
                          <w:rPr>
                            <w:sz w:val="24"/>
                          </w:rPr>
                        </w:pPr>
                        <w:r>
                          <w:rPr>
                            <w:sz w:val="24"/>
                          </w:rPr>
                          <w:t>DISTRICT COURT, ADAMS COUNTY, COLORADO</w:t>
                        </w:r>
                      </w:p>
                      <w:p>
                        <w:pPr>
                          <w:pStyle w:val="TableParagraph"/>
                          <w:ind w:right="3030"/>
                          <w:rPr>
                            <w:sz w:val="24"/>
                          </w:rPr>
                        </w:pPr>
                        <w:r>
                          <w:rPr>
                            <w:sz w:val="24"/>
                          </w:rPr>
                          <w:t>1100 Judicial Center Drive Brighton, CO 80601</w:t>
                        </w:r>
                      </w:p>
                      <w:p>
                        <w:pPr>
                          <w:pStyle w:val="TableParagraph"/>
                          <w:spacing w:before="9"/>
                          <w:ind w:left="0"/>
                          <w:rPr>
                            <w:sz w:val="26"/>
                          </w:rPr>
                        </w:pPr>
                      </w:p>
                      <w:p>
                        <w:pPr>
                          <w:pStyle w:val="TableParagraph"/>
                          <w:spacing w:line="275" w:lineRule="exact"/>
                          <w:rPr>
                            <w:b/>
                            <w:sz w:val="24"/>
                          </w:rPr>
                        </w:pPr>
                        <w:r>
                          <w:rPr>
                            <w:b/>
                            <w:sz w:val="24"/>
                          </w:rPr>
                          <w:t>Plaintiff :</w:t>
                        </w:r>
                      </w:p>
                      <w:p>
                        <w:pPr>
                          <w:pStyle w:val="TableParagraph"/>
                          <w:ind w:right="810"/>
                          <w:rPr>
                            <w:sz w:val="24"/>
                          </w:rPr>
                        </w:pPr>
                        <w:r>
                          <w:rPr>
                            <w:sz w:val="24"/>
                          </w:rPr>
                          <w:t>American Family Mutual Insurance Company, As Subrogee of Kathryn Windt,</w:t>
                        </w:r>
                      </w:p>
                    </w:tc>
                    <w:tc>
                      <w:tcPr>
                        <w:tcW w:w="3600" w:type="dxa"/>
                        <w:tcBorders>
                          <w:bottom w:val="nil"/>
                        </w:tcBorders>
                      </w:tcPr>
                      <w:p>
                        <w:pPr>
                          <w:pStyle w:val="TableParagraph"/>
                          <w:ind w:left="0"/>
                          <w:rPr>
                            <w:sz w:val="26"/>
                          </w:rPr>
                        </w:pPr>
                      </w:p>
                      <w:p>
                        <w:pPr>
                          <w:pStyle w:val="TableParagraph"/>
                          <w:spacing w:before="4"/>
                          <w:ind w:left="0"/>
                          <w:rPr>
                            <w:sz w:val="34"/>
                          </w:rPr>
                        </w:pPr>
                      </w:p>
                      <w:p>
                        <w:pPr>
                          <w:pStyle w:val="TableParagraph"/>
                          <w:spacing w:line="220" w:lineRule="auto"/>
                          <w:ind w:left="629" w:right="-41"/>
                          <w:rPr>
                            <w:rFonts w:ascii="Minion Pro"/>
                            <w:sz w:val="19"/>
                          </w:rPr>
                        </w:pPr>
                        <w:r>
                          <w:rPr>
                            <w:rFonts w:ascii="Minion Pro"/>
                            <w:color w:val="0000FF"/>
                            <w:spacing w:val="-6"/>
                            <w:w w:val="105"/>
                            <w:sz w:val="19"/>
                          </w:rPr>
                          <w:t>DATE</w:t>
                        </w:r>
                        <w:r>
                          <w:rPr>
                            <w:rFonts w:ascii="Minion Pro"/>
                            <w:color w:val="0000FF"/>
                            <w:spacing w:val="-10"/>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January</w:t>
                        </w:r>
                        <w:r>
                          <w:rPr>
                            <w:rFonts w:ascii="Minion Pro"/>
                            <w:color w:val="0000FF"/>
                            <w:spacing w:val="-10"/>
                            <w:w w:val="105"/>
                            <w:sz w:val="19"/>
                          </w:rPr>
                          <w:t> </w:t>
                        </w:r>
                        <w:r>
                          <w:rPr>
                            <w:rFonts w:ascii="Minion Pro"/>
                            <w:color w:val="0000FF"/>
                            <w:w w:val="105"/>
                            <w:sz w:val="19"/>
                          </w:rPr>
                          <w:t>23,</w:t>
                        </w:r>
                        <w:r>
                          <w:rPr>
                            <w:rFonts w:ascii="Minion Pro"/>
                            <w:color w:val="0000FF"/>
                            <w:spacing w:val="-10"/>
                            <w:w w:val="105"/>
                            <w:sz w:val="19"/>
                          </w:rPr>
                          <w:t> </w:t>
                        </w:r>
                        <w:r>
                          <w:rPr>
                            <w:rFonts w:ascii="Minion Pro"/>
                            <w:color w:val="0000FF"/>
                            <w:w w:val="105"/>
                            <w:sz w:val="19"/>
                          </w:rPr>
                          <w:t>2017</w:t>
                        </w:r>
                        <w:r>
                          <w:rPr>
                            <w:rFonts w:ascii="Minion Pro"/>
                            <w:color w:val="0000FF"/>
                            <w:spacing w:val="-10"/>
                            <w:w w:val="105"/>
                            <w:sz w:val="19"/>
                          </w:rPr>
                          <w:t> </w:t>
                        </w:r>
                        <w:r>
                          <w:rPr>
                            <w:rFonts w:ascii="Minion Pro"/>
                            <w:color w:val="0000FF"/>
                            <w:w w:val="105"/>
                            <w:sz w:val="19"/>
                          </w:rPr>
                          <w:t>7:32</w:t>
                        </w:r>
                        <w:r>
                          <w:rPr>
                            <w:rFonts w:ascii="Minion Pro"/>
                            <w:color w:val="0000FF"/>
                            <w:spacing w:val="-10"/>
                            <w:w w:val="105"/>
                            <w:sz w:val="19"/>
                          </w:rPr>
                          <w:t> </w:t>
                        </w:r>
                        <w:r>
                          <w:rPr>
                            <w:rFonts w:ascii="Minion Pro"/>
                            <w:color w:val="0000FF"/>
                            <w:w w:val="105"/>
                            <w:sz w:val="19"/>
                          </w:rPr>
                          <w:t>P FILING ID:</w:t>
                        </w:r>
                        <w:r>
                          <w:rPr>
                            <w:rFonts w:ascii="Minion Pro"/>
                            <w:color w:val="0000FF"/>
                            <w:spacing w:val="-7"/>
                            <w:w w:val="105"/>
                            <w:sz w:val="19"/>
                          </w:rPr>
                          <w:t> </w:t>
                        </w:r>
                        <w:r>
                          <w:rPr>
                            <w:rFonts w:ascii="Minion Pro"/>
                            <w:color w:val="0000FF"/>
                            <w:w w:val="105"/>
                            <w:sz w:val="19"/>
                          </w:rPr>
                          <w:t>88D7822E84C29</w:t>
                        </w:r>
                      </w:p>
                      <w:p>
                        <w:pPr>
                          <w:pStyle w:val="TableParagraph"/>
                          <w:spacing w:line="240" w:lineRule="exact"/>
                          <w:ind w:left="629"/>
                          <w:rPr>
                            <w:rFonts w:ascii="Minion Pro"/>
                            <w:sz w:val="19"/>
                          </w:rPr>
                        </w:pPr>
                        <w:r>
                          <w:rPr>
                            <w:rFonts w:ascii="Minion Pro"/>
                            <w:color w:val="0000FF"/>
                            <w:w w:val="105"/>
                            <w:sz w:val="19"/>
                          </w:rPr>
                          <w:t>CASE NUMBER: 2015CV31808</w:t>
                        </w:r>
                      </w:p>
                      <w:p>
                        <w:pPr>
                          <w:pStyle w:val="TableParagraph"/>
                          <w:spacing w:before="7"/>
                          <w:ind w:left="0"/>
                          <w:rPr>
                            <w:sz w:val="21"/>
                          </w:rPr>
                        </w:pPr>
                      </w:p>
                      <w:p>
                        <w:pPr>
                          <w:pStyle w:val="TableParagraph"/>
                          <w:numPr>
                            <w:ilvl w:val="0"/>
                            <w:numId w:val="1"/>
                          </w:numPr>
                          <w:tabs>
                            <w:tab w:pos="789" w:val="left" w:leader="none"/>
                            <w:tab w:pos="912" w:val="left" w:leader="none"/>
                            <w:tab w:pos="3201" w:val="left" w:leader="none"/>
                          </w:tabs>
                          <w:spacing w:line="240" w:lineRule="auto" w:before="0" w:after="0"/>
                          <w:ind w:left="911" w:right="0" w:hanging="504"/>
                          <w:jc w:val="left"/>
                          <w:rPr>
                            <w:rFonts w:ascii="Symbol" w:hAnsi="Symbol"/>
                            <w:sz w:val="24"/>
                          </w:rPr>
                        </w:pPr>
                        <w:r>
                          <w:rPr>
                            <w:sz w:val="24"/>
                          </w:rPr>
                          <w:t>COURT</w:t>
                        </w:r>
                        <w:r>
                          <w:rPr>
                            <w:spacing w:val="-3"/>
                            <w:sz w:val="24"/>
                          </w:rPr>
                          <w:t> </w:t>
                        </w:r>
                        <w:r>
                          <w:rPr>
                            <w:sz w:val="24"/>
                          </w:rPr>
                          <w:t>USE</w:t>
                        </w:r>
                        <w:r>
                          <w:rPr>
                            <w:spacing w:val="-2"/>
                            <w:sz w:val="24"/>
                          </w:rPr>
                          <w:t> </w:t>
                        </w:r>
                        <w:r>
                          <w:rPr>
                            <w:sz w:val="24"/>
                          </w:rPr>
                          <w:t>ONLY</w:t>
                          <w:tab/>
                        </w:r>
                        <w:r>
                          <w:rPr>
                            <w:rFonts w:ascii="Symbol" w:hAnsi="Symbol"/>
                            <w:sz w:val="24"/>
                          </w:rPr>
                          <w:t></w:t>
                        </w:r>
                      </w:p>
                    </w:tc>
                  </w:tr>
                  <w:tr>
                    <w:trPr>
                      <w:trHeight w:val="423" w:hRule="atLeast"/>
                    </w:trPr>
                    <w:tc>
                      <w:tcPr>
                        <w:tcW w:w="5760" w:type="dxa"/>
                        <w:tcBorders>
                          <w:top w:val="nil"/>
                          <w:bottom w:val="nil"/>
                        </w:tcBorders>
                      </w:tcPr>
                      <w:p>
                        <w:pPr>
                          <w:pStyle w:val="TableParagraph"/>
                          <w:spacing w:line="270" w:lineRule="exact" w:before="133"/>
                          <w:rPr>
                            <w:sz w:val="24"/>
                          </w:rPr>
                        </w:pPr>
                        <w:r>
                          <w:rPr>
                            <w:sz w:val="24"/>
                          </w:rPr>
                          <w:t>v.</w:t>
                        </w:r>
                      </w:p>
                    </w:tc>
                    <w:tc>
                      <w:tcPr>
                        <w:tcW w:w="3600" w:type="dxa"/>
                        <w:tcBorders>
                          <w:top w:val="nil"/>
                          <w:bottom w:val="nil"/>
                        </w:tcBorders>
                      </w:tcPr>
                      <w:p>
                        <w:pPr>
                          <w:pStyle w:val="TableParagraph"/>
                          <w:ind w:left="0"/>
                          <w:rPr>
                            <w:sz w:val="22"/>
                          </w:rPr>
                        </w:pPr>
                      </w:p>
                    </w:tc>
                  </w:tr>
                  <w:tr>
                    <w:trPr>
                      <w:trHeight w:val="827" w:hRule="atLeast"/>
                    </w:trPr>
                    <w:tc>
                      <w:tcPr>
                        <w:tcW w:w="5760" w:type="dxa"/>
                        <w:tcBorders>
                          <w:top w:val="nil"/>
                          <w:bottom w:val="nil"/>
                        </w:tcBorders>
                      </w:tcPr>
                      <w:p>
                        <w:pPr>
                          <w:pStyle w:val="TableParagraph"/>
                          <w:spacing w:before="11"/>
                          <w:ind w:left="0"/>
                          <w:rPr>
                            <w:sz w:val="22"/>
                          </w:rPr>
                        </w:pPr>
                      </w:p>
                      <w:p>
                        <w:pPr>
                          <w:pStyle w:val="TableParagraph"/>
                          <w:spacing w:line="275" w:lineRule="exact"/>
                          <w:rPr>
                            <w:b/>
                            <w:sz w:val="24"/>
                          </w:rPr>
                        </w:pPr>
                        <w:r>
                          <w:rPr>
                            <w:b/>
                            <w:sz w:val="24"/>
                          </w:rPr>
                          <w:t>Defendants/Third Party Plaintiffs:</w:t>
                        </w:r>
                      </w:p>
                      <w:p>
                        <w:pPr>
                          <w:pStyle w:val="TableParagraph"/>
                          <w:spacing w:line="269" w:lineRule="exact"/>
                          <w:rPr>
                            <w:sz w:val="24"/>
                          </w:rPr>
                        </w:pPr>
                        <w:r>
                          <w:rPr>
                            <w:sz w:val="24"/>
                          </w:rPr>
                          <w:t>Jvonne Becerril and Aurelio Meza-Cuevas,</w:t>
                        </w:r>
                      </w:p>
                    </w:tc>
                    <w:tc>
                      <w:tcPr>
                        <w:tcW w:w="3600" w:type="dxa"/>
                        <w:tcBorders>
                          <w:top w:val="nil"/>
                          <w:bottom w:val="nil"/>
                        </w:tcBorders>
                      </w:tcPr>
                      <w:p>
                        <w:pPr>
                          <w:pStyle w:val="TableParagraph"/>
                          <w:spacing w:before="4"/>
                          <w:rPr>
                            <w:sz w:val="24"/>
                          </w:rPr>
                        </w:pPr>
                        <w:r>
                          <w:rPr>
                            <w:sz w:val="24"/>
                          </w:rPr>
                          <w:t>Case Number: 2015CV31808</w:t>
                        </w:r>
                      </w:p>
                    </w:tc>
                  </w:tr>
                  <w:tr>
                    <w:trPr>
                      <w:trHeight w:val="682" w:hRule="atLeast"/>
                    </w:trPr>
                    <w:tc>
                      <w:tcPr>
                        <w:tcW w:w="5760" w:type="dxa"/>
                        <w:tcBorders>
                          <w:top w:val="nil"/>
                          <w:bottom w:val="nil"/>
                        </w:tcBorders>
                      </w:tcPr>
                      <w:p>
                        <w:pPr>
                          <w:pStyle w:val="TableParagraph"/>
                          <w:spacing w:before="8"/>
                          <w:ind w:left="0"/>
                          <w:rPr>
                            <w:sz w:val="22"/>
                          </w:rPr>
                        </w:pPr>
                      </w:p>
                      <w:p>
                        <w:pPr>
                          <w:pStyle w:val="TableParagraph"/>
                          <w:spacing w:before="1"/>
                          <w:rPr>
                            <w:sz w:val="24"/>
                          </w:rPr>
                        </w:pPr>
                        <w:r>
                          <w:rPr>
                            <w:sz w:val="24"/>
                          </w:rPr>
                          <w:t>v.</w:t>
                        </w:r>
                      </w:p>
                    </w:tc>
                    <w:tc>
                      <w:tcPr>
                        <w:tcW w:w="3600" w:type="dxa"/>
                        <w:tcBorders>
                          <w:top w:val="nil"/>
                          <w:bottom w:val="nil"/>
                        </w:tcBorders>
                      </w:tcPr>
                      <w:p>
                        <w:pPr>
                          <w:pStyle w:val="TableParagraph"/>
                          <w:tabs>
                            <w:tab w:pos="1840" w:val="left" w:leader="none"/>
                          </w:tabs>
                          <w:spacing w:before="4"/>
                          <w:rPr>
                            <w:sz w:val="24"/>
                          </w:rPr>
                        </w:pPr>
                        <w:r>
                          <w:rPr>
                            <w:sz w:val="24"/>
                          </w:rPr>
                          <w:t>Div.: </w:t>
                        </w:r>
                        <w:r>
                          <w:rPr>
                            <w:spacing w:val="59"/>
                            <w:sz w:val="24"/>
                          </w:rPr>
                          <w:t> </w:t>
                        </w:r>
                        <w:r>
                          <w:rPr>
                            <w:sz w:val="24"/>
                          </w:rPr>
                          <w:t>W</w:t>
                          <w:tab/>
                          <w:t>Ctrm.:</w:t>
                        </w:r>
                      </w:p>
                    </w:tc>
                  </w:tr>
                  <w:tr>
                    <w:trPr>
                      <w:trHeight w:val="551" w:hRule="atLeast"/>
                    </w:trPr>
                    <w:tc>
                      <w:tcPr>
                        <w:tcW w:w="5760" w:type="dxa"/>
                        <w:tcBorders>
                          <w:top w:val="nil"/>
                          <w:bottom w:val="nil"/>
                        </w:tcBorders>
                      </w:tcPr>
                      <w:p>
                        <w:pPr>
                          <w:pStyle w:val="TableParagraph"/>
                          <w:spacing w:before="134"/>
                          <w:rPr>
                            <w:b/>
                            <w:sz w:val="24"/>
                          </w:rPr>
                        </w:pPr>
                        <w:r>
                          <w:rPr>
                            <w:b/>
                            <w:sz w:val="24"/>
                          </w:rPr>
                          <w:t>Third Party Defendant/Counterclaimant:</w:t>
                        </w:r>
                      </w:p>
                    </w:tc>
                    <w:tc>
                      <w:tcPr>
                        <w:tcW w:w="3600" w:type="dxa"/>
                        <w:tcBorders>
                          <w:top w:val="nil"/>
                          <w:bottom w:val="nil"/>
                        </w:tcBorders>
                      </w:tcPr>
                      <w:p>
                        <w:pPr>
                          <w:pStyle w:val="TableParagraph"/>
                          <w:ind w:left="0"/>
                          <w:rPr>
                            <w:sz w:val="22"/>
                          </w:rPr>
                        </w:pPr>
                      </w:p>
                    </w:tc>
                  </w:tr>
                  <w:tr>
                    <w:trPr>
                      <w:trHeight w:val="843" w:hRule="atLeast"/>
                    </w:trPr>
                    <w:tc>
                      <w:tcPr>
                        <w:tcW w:w="5760" w:type="dxa"/>
                        <w:tcBorders>
                          <w:top w:val="nil"/>
                          <w:bottom w:val="nil"/>
                        </w:tcBorders>
                      </w:tcPr>
                      <w:p>
                        <w:pPr>
                          <w:pStyle w:val="TableParagraph"/>
                          <w:spacing w:before="131"/>
                          <w:rPr>
                            <w:sz w:val="24"/>
                          </w:rPr>
                        </w:pPr>
                        <w:r>
                          <w:rPr>
                            <w:sz w:val="24"/>
                          </w:rPr>
                          <w:t>Kathryn Windt</w:t>
                        </w:r>
                      </w:p>
                    </w:tc>
                    <w:tc>
                      <w:tcPr>
                        <w:tcW w:w="3600" w:type="dxa"/>
                        <w:tcBorders>
                          <w:top w:val="nil"/>
                          <w:bottom w:val="nil"/>
                        </w:tcBorders>
                      </w:tcPr>
                      <w:p>
                        <w:pPr>
                          <w:pStyle w:val="TableParagraph"/>
                          <w:ind w:left="0"/>
                          <w:rPr>
                            <w:sz w:val="22"/>
                          </w:rPr>
                        </w:pPr>
                      </w:p>
                    </w:tc>
                  </w:tr>
                  <w:tr>
                    <w:trPr>
                      <w:trHeight w:val="3185" w:hRule="atLeast"/>
                    </w:trPr>
                    <w:tc>
                      <w:tcPr>
                        <w:tcW w:w="5760" w:type="dxa"/>
                        <w:tcBorders>
                          <w:top w:val="nil"/>
                        </w:tcBorders>
                      </w:tcPr>
                      <w:p>
                        <w:pPr>
                          <w:pStyle w:val="TableParagraph"/>
                          <w:spacing w:before="11"/>
                          <w:ind w:left="0"/>
                          <w:rPr>
                            <w:sz w:val="36"/>
                          </w:rPr>
                        </w:pPr>
                      </w:p>
                      <w:p>
                        <w:pPr>
                          <w:pStyle w:val="TableParagraph"/>
                          <w:spacing w:line="275" w:lineRule="exact"/>
                          <w:rPr>
                            <w:b/>
                            <w:sz w:val="24"/>
                          </w:rPr>
                        </w:pPr>
                        <w:r>
                          <w:rPr>
                            <w:b/>
                            <w:sz w:val="24"/>
                          </w:rPr>
                          <w:t>Attorneys for Defendants Becerril and Meza-Cuevas:</w:t>
                        </w:r>
                      </w:p>
                      <w:p>
                        <w:pPr>
                          <w:pStyle w:val="TableParagraph"/>
                          <w:ind w:right="3343"/>
                          <w:rPr>
                            <w:sz w:val="24"/>
                          </w:rPr>
                        </w:pPr>
                        <w:r>
                          <w:rPr>
                            <w:sz w:val="24"/>
                          </w:rPr>
                          <w:t>Jeffrey Clay Ruebel Katherine L. Brim Ruebel &amp; Quillen, LLC</w:t>
                        </w:r>
                      </w:p>
                      <w:p>
                        <w:pPr>
                          <w:pStyle w:val="TableParagraph"/>
                          <w:rPr>
                            <w:sz w:val="24"/>
                          </w:rPr>
                        </w:pPr>
                        <w:r>
                          <w:rPr>
                            <w:sz w:val="24"/>
                          </w:rPr>
                          <w:t>8501 Turnpike Drive, Ste</w:t>
                        </w:r>
                        <w:r>
                          <w:rPr>
                            <w:spacing w:val="-6"/>
                            <w:sz w:val="24"/>
                          </w:rPr>
                          <w:t> </w:t>
                        </w:r>
                        <w:r>
                          <w:rPr>
                            <w:sz w:val="24"/>
                          </w:rPr>
                          <w:t>106</w:t>
                        </w:r>
                      </w:p>
                      <w:p>
                        <w:pPr>
                          <w:pStyle w:val="TableParagraph"/>
                          <w:rPr>
                            <w:sz w:val="24"/>
                          </w:rPr>
                        </w:pPr>
                        <w:r>
                          <w:rPr>
                            <w:sz w:val="24"/>
                          </w:rPr>
                          <w:t>Westminster, Colorado</w:t>
                        </w:r>
                        <w:r>
                          <w:rPr>
                            <w:spacing w:val="-7"/>
                            <w:sz w:val="24"/>
                          </w:rPr>
                          <w:t> </w:t>
                        </w:r>
                        <w:r>
                          <w:rPr>
                            <w:sz w:val="24"/>
                          </w:rPr>
                          <w:t>80031</w:t>
                        </w:r>
                      </w:p>
                      <w:p>
                        <w:pPr>
                          <w:pStyle w:val="TableParagraph"/>
                          <w:rPr>
                            <w:sz w:val="24"/>
                          </w:rPr>
                        </w:pPr>
                        <w:r>
                          <w:rPr>
                            <w:sz w:val="24"/>
                          </w:rPr>
                          <w:t>Phone Number: (888) 989-1777</w:t>
                        </w:r>
                      </w:p>
                      <w:p>
                        <w:pPr>
                          <w:pStyle w:val="TableParagraph"/>
                          <w:rPr>
                            <w:sz w:val="24"/>
                          </w:rPr>
                        </w:pPr>
                        <w:r>
                          <w:rPr>
                            <w:sz w:val="24"/>
                          </w:rPr>
                          <w:t>FAX Number: (303) 362-5724</w:t>
                        </w:r>
                      </w:p>
                      <w:p>
                        <w:pPr>
                          <w:pStyle w:val="TableParagraph"/>
                          <w:rPr>
                            <w:sz w:val="24"/>
                          </w:rPr>
                        </w:pPr>
                        <w:r>
                          <w:rPr>
                            <w:sz w:val="24"/>
                          </w:rPr>
                          <w:t>E-mail: </w:t>
                        </w:r>
                        <w:hyperlink r:id="rId5">
                          <w:r>
                            <w:rPr>
                              <w:sz w:val="24"/>
                            </w:rPr>
                            <w:t>Jeffrey@rq-law.com</w:t>
                          </w:r>
                        </w:hyperlink>
                      </w:p>
                    </w:tc>
                    <w:tc>
                      <w:tcPr>
                        <w:tcW w:w="3600" w:type="dxa"/>
                        <w:tcBorders>
                          <w:top w:val="nil"/>
                        </w:tcBorders>
                      </w:tcPr>
                      <w:p>
                        <w:pPr>
                          <w:pStyle w:val="TableParagraph"/>
                          <w:ind w:left="0"/>
                          <w:rPr>
                            <w:sz w:val="22"/>
                          </w:rPr>
                        </w:pPr>
                      </w:p>
                    </w:tc>
                  </w:tr>
                  <w:tr>
                    <w:trPr>
                      <w:trHeight w:val="1103" w:hRule="atLeast"/>
                    </w:trPr>
                    <w:tc>
                      <w:tcPr>
                        <w:tcW w:w="9360" w:type="dxa"/>
                        <w:gridSpan w:val="2"/>
                      </w:tcPr>
                      <w:p>
                        <w:pPr>
                          <w:pStyle w:val="TableParagraph"/>
                          <w:spacing w:before="10"/>
                          <w:ind w:left="0"/>
                          <w:rPr>
                            <w:sz w:val="23"/>
                          </w:rPr>
                        </w:pPr>
                      </w:p>
                      <w:p>
                        <w:pPr>
                          <w:pStyle w:val="TableParagraph"/>
                          <w:ind w:left="374" w:firstLine="595"/>
                          <w:rPr>
                            <w:b/>
                            <w:sz w:val="24"/>
                          </w:rPr>
                        </w:pPr>
                        <w:r>
                          <w:rPr>
                            <w:b/>
                            <w:sz w:val="24"/>
                          </w:rPr>
                          <w:t>MOTION IN LIMINE TO PRECLUDE WINDT FROM PRESENTING “PROTECTING COMMUNITY SAFETY” OR “GOLDEN RULE” ARGUMENTS</w:t>
                        </w:r>
                      </w:p>
                    </w:tc>
                  </w:tr>
                </w:tbl>
                <w:p>
                  <w:pPr>
                    <w:pStyle w:val="BodyText"/>
                  </w:pPr>
                </w:p>
              </w:txbxContent>
            </v:textbox>
            <w10:wrap type="none"/>
          </v:shape>
        </w:pict>
      </w:r>
    </w:p>
    <w:p>
      <w:pPr>
        <w:pStyle w:val="BodyText"/>
        <w:rPr>
          <w:sz w:val="20"/>
        </w:rPr>
      </w:pPr>
    </w:p>
    <w:p>
      <w:pPr>
        <w:spacing w:before="229"/>
        <w:ind w:left="0" w:right="108" w:firstLine="0"/>
        <w:jc w:val="right"/>
        <w:rPr>
          <w:rFonts w:ascii="Minion Pro"/>
          <w:sz w:val="19"/>
        </w:rPr>
      </w:pPr>
      <w:r>
        <w:rPr>
          <w:rFonts w:ascii="Minion Pro"/>
          <w:color w:val="0000FF"/>
          <w:w w:val="103"/>
          <w:sz w:val="19"/>
        </w:rPr>
        <w:t>M</w:t>
      </w:r>
    </w:p>
    <w:p>
      <w:pPr>
        <w:pStyle w:val="BodyText"/>
        <w:spacing w:before="7"/>
        <w:rPr>
          <w:rFonts w:ascii="Minion Pro"/>
          <w:sz w:val="9"/>
        </w:rPr>
      </w:pPr>
      <w:r>
        <w:rPr/>
        <w:pict>
          <v:line style="position:absolute;mso-position-horizontal-relative:page;mso-position-vertical-relative:paragraph;z-index:-1024;mso-wrap-distance-left:0;mso-wrap-distance-right:0" from="93.900002pt,8.656453pt" to="374.101002pt,8.656453pt" stroked="true" strokeweight=".48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12"/>
        <w:rPr>
          <w:rFonts w:ascii="Minion Pro"/>
          <w:sz w:val="18"/>
        </w:rPr>
      </w:pPr>
      <w:r>
        <w:rPr/>
        <w:pict>
          <v:line style="position:absolute;mso-position-horizontal-relative:page;mso-position-vertical-relative:paragraph;z-index:-1000;mso-wrap-distance-left:0;mso-wrap-distance-right:0" from="381.899994pt,14.9495pt" to="554.100994pt,14.9495pt" stroked="true" strokeweight=".481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7"/>
        <w:rPr>
          <w:rFonts w:ascii="Minion Pro"/>
          <w:sz w:val="19"/>
        </w:rPr>
      </w:pPr>
      <w:r>
        <w:rPr/>
        <w:pict>
          <v:line style="position:absolute;mso-position-horizontal-relative:page;mso-position-vertical-relative:paragraph;z-index:-976;mso-wrap-distance-left:0;mso-wrap-distance-right:0" from="93.900002pt,15.4005pt" to="374.101002pt,15.4005pt" stroked="true" strokeweight=".48pt" strokecolor="#000000">
            <v:stroke dashstyle="solid"/>
            <w10:wrap type="topAndBottom"/>
          </v:line>
        </w:pic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5"/>
        <w:rPr>
          <w:rFonts w:ascii="Minion Pro"/>
          <w:sz w:val="21"/>
        </w:rPr>
      </w:pPr>
    </w:p>
    <w:p>
      <w:pPr>
        <w:pStyle w:val="BodyText"/>
        <w:ind w:left="840"/>
      </w:pPr>
      <w:r>
        <w:rPr/>
        <w:t>DEFENDANTS JVONNE BECERRIL and AURELIO MEZA-CUEVAS (“Mrs.</w:t>
      </w:r>
    </w:p>
    <w:p>
      <w:pPr>
        <w:pStyle w:val="BodyText"/>
      </w:pPr>
    </w:p>
    <w:p>
      <w:pPr>
        <w:pStyle w:val="BodyText"/>
        <w:spacing w:line="480" w:lineRule="auto"/>
        <w:ind w:left="120" w:right="1018"/>
        <w:jc w:val="both"/>
      </w:pPr>
      <w:r>
        <w:rPr/>
        <w:t>Becceril” and “Mr. Meza-Cuevas”), by and through counsel, RUEBEL &amp; QUILLEN, LLC, hereby submit their Motion in Limine seeking to exclude any statements, arguments, or inferences at trial regarding “personal safety” and “community safety.”</w:t>
      </w:r>
    </w:p>
    <w:p>
      <w:pPr>
        <w:spacing w:after="0" w:line="480" w:lineRule="auto"/>
        <w:jc w:val="both"/>
        <w:sectPr>
          <w:type w:val="continuous"/>
          <w:pgSz w:w="12240" w:h="15840"/>
          <w:pgMar w:top="1440" w:bottom="280" w:left="1680" w:right="780"/>
        </w:sectPr>
      </w:pPr>
    </w:p>
    <w:p>
      <w:pPr>
        <w:pStyle w:val="Heading1"/>
        <w:spacing w:before="79"/>
      </w:pPr>
      <w:r>
        <w:rPr/>
        <w:t>CERTIFICATE OF RULE 121 CONFERRAL:</w:t>
      </w:r>
    </w:p>
    <w:p>
      <w:pPr>
        <w:pStyle w:val="BodyText"/>
        <w:spacing w:before="9"/>
        <w:rPr>
          <w:b/>
          <w:sz w:val="23"/>
        </w:rPr>
      </w:pPr>
    </w:p>
    <w:p>
      <w:pPr>
        <w:pStyle w:val="BodyText"/>
        <w:spacing w:line="480" w:lineRule="auto"/>
        <w:ind w:left="120" w:right="1017" w:firstLine="720"/>
        <w:jc w:val="both"/>
      </w:pPr>
      <w:r>
        <w:rPr/>
        <w:t>Counsel for Defendants has conferred with Conrsel for Mrs. Windt as to this Motion. Mrs. Windt opposes the Motion.</w:t>
      </w:r>
    </w:p>
    <w:p>
      <w:pPr>
        <w:pStyle w:val="Heading1"/>
        <w:spacing w:before="2"/>
        <w:ind w:left="3539" w:right="4439"/>
        <w:jc w:val="center"/>
      </w:pPr>
      <w:r>
        <w:rPr/>
        <w:t>BACKGROUND</w:t>
      </w:r>
    </w:p>
    <w:p>
      <w:pPr>
        <w:pStyle w:val="BodyText"/>
        <w:spacing w:before="9"/>
        <w:rPr>
          <w:b/>
          <w:sz w:val="23"/>
        </w:rPr>
      </w:pPr>
    </w:p>
    <w:p>
      <w:pPr>
        <w:pStyle w:val="BodyText"/>
        <w:spacing w:line="480" w:lineRule="auto" w:before="1"/>
        <w:ind w:left="120" w:right="1018" w:firstLine="780"/>
        <w:jc w:val="both"/>
      </w:pPr>
      <w:r>
        <w:rPr/>
        <w:t>This matter arises out of an October 3, 2014 motor vehicle accident (“the accident”). Liability for the accident is disputed; both Mrs. Becerril and Mrs. Windt have testified that they entered the intersection immediately prior to the accident on a green light, and both allege that the other ran a red light thereby causing the accident. The investigating police officer was unable to determine fault. Mrs. Windt claims that she incurred physical injuries and lost wages due to the accident. She has filed a Motion to Amend her Counterclaim Complaint to add a claim for exemplary damages based on Mrs. Becerril’s use of a cell phone at the time of the accident. The Motion is currently pending.</w:t>
      </w:r>
    </w:p>
    <w:p>
      <w:pPr>
        <w:pStyle w:val="Heading1"/>
        <w:ind w:left="3046"/>
      </w:pPr>
      <w:r>
        <w:rPr/>
        <w:t>STANDARD OF REVIEW</w:t>
      </w:r>
    </w:p>
    <w:p>
      <w:pPr>
        <w:pStyle w:val="BodyText"/>
        <w:spacing w:before="9"/>
        <w:rPr>
          <w:b/>
          <w:sz w:val="23"/>
        </w:rPr>
      </w:pPr>
    </w:p>
    <w:p>
      <w:pPr>
        <w:pStyle w:val="BodyText"/>
        <w:spacing w:line="480" w:lineRule="auto"/>
        <w:ind w:left="120" w:right="1017" w:firstLine="720"/>
        <w:jc w:val="both"/>
      </w:pPr>
      <w:r>
        <w:rPr/>
        <w:t>Rule 104(a) of the Colorado Rules of Evidence provides that “[p]reliminary questions concerning the qualifications of a person to be a witness, the existence of a privilege, or the admissibility of evidence shall be determined by the court…” The purpose of a motion </w:t>
      </w:r>
      <w:r>
        <w:rPr>
          <w:i/>
        </w:rPr>
        <w:t>in limine </w:t>
      </w:r>
      <w:r>
        <w:rPr/>
        <w:t>is to allow the court to rule in advance of trial on the admissibility and relevance of certain anticipated evidence. </w:t>
      </w:r>
      <w:r>
        <w:rPr>
          <w:i/>
        </w:rPr>
        <w:t>Uptain v. Huntington Lab, </w:t>
      </w:r>
      <w:r>
        <w:rPr>
          <w:i/>
        </w:rPr>
        <w:t>Inc., </w:t>
      </w:r>
      <w:r>
        <w:rPr/>
        <w:t>723 P.2d 1322, 1330 (Colo. 1986). A motion </w:t>
      </w:r>
      <w:r>
        <w:rPr>
          <w:i/>
        </w:rPr>
        <w:t>in limine </w:t>
      </w:r>
      <w:r>
        <w:rPr/>
        <w:t>provides the court with the opportunity to rule on the admissibility of evidence to shorten trial time, simplify the issues, and reduce the possibility of mistrial. </w:t>
      </w:r>
      <w:r>
        <w:rPr>
          <w:i/>
        </w:rPr>
        <w:t>Id. </w:t>
      </w:r>
      <w:r>
        <w:rPr/>
        <w:t>Motions </w:t>
      </w:r>
      <w:r>
        <w:rPr>
          <w:i/>
        </w:rPr>
        <w:t>in limine </w:t>
      </w:r>
      <w:r>
        <w:rPr/>
        <w:t>allow the Court to thoughtfully consider evidentiary issues, expedite trials, eliminate bench conferences,</w:t>
      </w:r>
    </w:p>
    <w:p>
      <w:pPr>
        <w:spacing w:after="0" w:line="480" w:lineRule="auto"/>
        <w:jc w:val="both"/>
        <w:sectPr>
          <w:pgSz w:w="12240" w:h="15840"/>
          <w:pgMar w:top="1360" w:bottom="280" w:left="1680" w:right="780"/>
        </w:sectPr>
      </w:pPr>
    </w:p>
    <w:p>
      <w:pPr>
        <w:pStyle w:val="BodyText"/>
        <w:spacing w:line="480" w:lineRule="auto" w:before="76"/>
        <w:ind w:left="119" w:right="1017"/>
        <w:jc w:val="both"/>
        <w:rPr>
          <w:i/>
        </w:rPr>
      </w:pPr>
      <w:r>
        <w:rPr/>
        <w:t>avoid juror annoyance and permit more accurate rulings. </w:t>
      </w:r>
      <w:r>
        <w:rPr>
          <w:i/>
        </w:rPr>
        <w:t>Uptain v. Huntington Lab, Inc.</w:t>
      </w:r>
      <w:r>
        <w:rPr/>
        <w:t>, 723 P.2d 1322, 1333 (Colo. 1986). A party’s motion </w:t>
      </w:r>
      <w:r>
        <w:rPr>
          <w:i/>
        </w:rPr>
        <w:t>in limine </w:t>
      </w:r>
      <w:r>
        <w:rPr/>
        <w:t>is adequate to preserve  that party’s objection to the evidence that is the subject of the motion </w:t>
      </w:r>
      <w:r>
        <w:rPr>
          <w:i/>
        </w:rPr>
        <w:t>in limine </w:t>
      </w:r>
      <w:r>
        <w:rPr/>
        <w:t>without the need for contemporaneous objections.</w:t>
      </w:r>
      <w:r>
        <w:rPr>
          <w:spacing w:val="58"/>
        </w:rPr>
        <w:t> </w:t>
      </w:r>
      <w:r>
        <w:rPr>
          <w:i/>
        </w:rPr>
        <w:t>Id.</w:t>
      </w:r>
    </w:p>
    <w:p>
      <w:pPr>
        <w:pStyle w:val="Heading1"/>
        <w:spacing w:before="3"/>
        <w:ind w:left="3725"/>
      </w:pPr>
      <w:r>
        <w:rPr/>
        <w:t>ARGUMENT</w:t>
      </w:r>
    </w:p>
    <w:p>
      <w:pPr>
        <w:pStyle w:val="BodyText"/>
        <w:spacing w:before="9"/>
        <w:rPr>
          <w:b/>
          <w:sz w:val="23"/>
        </w:rPr>
      </w:pPr>
    </w:p>
    <w:p>
      <w:pPr>
        <w:pStyle w:val="BodyText"/>
        <w:spacing w:line="480" w:lineRule="auto"/>
        <w:ind w:left="119" w:right="1017" w:firstLine="720"/>
        <w:jc w:val="both"/>
      </w:pPr>
      <w:r>
        <w:rPr/>
        <w:t>Mrs. Becerril and Mr. Meza-Cuevas anticipate that Mrs. Windt may attempt to make “protecting community safety” or “golden rule” type arguments to the jury, particularly in light of their allegations as to Mrs. Becerril’s cell phone use. </w:t>
      </w:r>
      <w:r>
        <w:rPr>
          <w:i/>
        </w:rPr>
        <w:t>See </w:t>
      </w:r>
      <w:r>
        <w:rPr/>
        <w:t>Windt’s Motion to Amend Counterclaim Complaint to Add Claim for Punitive Damages. Such arguments encourage the jury to make a decision on an improper basis and are therefore improper.</w:t>
      </w:r>
    </w:p>
    <w:p>
      <w:pPr>
        <w:pStyle w:val="BodyText"/>
        <w:spacing w:line="480" w:lineRule="auto"/>
        <w:ind w:left="120" w:right="1016" w:firstLine="720"/>
        <w:jc w:val="both"/>
      </w:pPr>
      <w:r>
        <w:rPr/>
        <w:t>Golden rule arguments seek to destroy the impartiality with which jurors are intended to view the evidence at trial. </w:t>
      </w:r>
      <w:r>
        <w:rPr>
          <w:i/>
        </w:rPr>
        <w:t>Blevins v. Cessna Aircraft Co</w:t>
      </w:r>
      <w:r>
        <w:rPr/>
        <w:t>., 728 F.2d 1576, 1580 (10</w:t>
      </w:r>
      <w:r>
        <w:rPr>
          <w:vertAlign w:val="superscript"/>
        </w:rPr>
        <w:t>th</w:t>
      </w:r>
      <w:r>
        <w:rPr>
          <w:vertAlign w:val="baseline"/>
        </w:rPr>
        <w:t> Cir. 1984). They encourage jurors to step into the shoes of a litigant and  award the verdict they would wish for were they in the litigant’s place. </w:t>
      </w:r>
      <w:r>
        <w:rPr>
          <w:i/>
          <w:vertAlign w:val="baseline"/>
        </w:rPr>
        <w:t>See People v. </w:t>
      </w:r>
      <w:r>
        <w:rPr>
          <w:i/>
          <w:vertAlign w:val="baseline"/>
        </w:rPr>
        <w:t>Dunlap</w:t>
      </w:r>
      <w:r>
        <w:rPr>
          <w:vertAlign w:val="baseline"/>
        </w:rPr>
        <w:t>, 124 P.3d 780, 809 (Colo. App. 2004). Such arguments are</w:t>
      </w:r>
      <w:r>
        <w:rPr>
          <w:spacing w:val="54"/>
          <w:vertAlign w:val="baseline"/>
        </w:rPr>
        <w:t> </w:t>
      </w:r>
      <w:r>
        <w:rPr>
          <w:vertAlign w:val="baseline"/>
        </w:rPr>
        <w:t>categorically</w:t>
      </w:r>
    </w:p>
    <w:p>
      <w:pPr>
        <w:spacing w:line="275" w:lineRule="exact" w:before="0"/>
        <w:ind w:left="120" w:right="0" w:firstLine="0"/>
        <w:jc w:val="left"/>
        <w:rPr>
          <w:sz w:val="24"/>
        </w:rPr>
      </w:pPr>
      <w:r>
        <w:rPr>
          <w:sz w:val="24"/>
        </w:rPr>
        <w:t>improper. </w:t>
      </w:r>
      <w:r>
        <w:rPr>
          <w:i/>
          <w:sz w:val="24"/>
        </w:rPr>
        <w:t>See, e.g., Dunlap</w:t>
      </w:r>
      <w:r>
        <w:rPr>
          <w:sz w:val="24"/>
        </w:rPr>
        <w:t>, 124 P.3d at 809; </w:t>
      </w:r>
      <w:r>
        <w:rPr>
          <w:i/>
          <w:sz w:val="24"/>
        </w:rPr>
        <w:t>Blevins, </w:t>
      </w:r>
      <w:r>
        <w:rPr>
          <w:sz w:val="24"/>
        </w:rPr>
        <w:t>728 F.2d at 1580.</w:t>
      </w:r>
    </w:p>
    <w:p>
      <w:pPr>
        <w:pStyle w:val="BodyText"/>
      </w:pPr>
    </w:p>
    <w:p>
      <w:pPr>
        <w:pStyle w:val="BodyText"/>
        <w:spacing w:line="480" w:lineRule="auto"/>
        <w:ind w:left="119" w:right="1016" w:firstLine="720"/>
        <w:jc w:val="both"/>
      </w:pPr>
      <w:r>
        <w:rPr/>
        <w:t>The danger of golden rule arguments is that they have the potential to incite jurors to reach a verdict on the basis of bias or prejudice, or personal interest and emotion, rather than on a rational assessment of the evidence presented. </w:t>
      </w:r>
      <w:r>
        <w:rPr>
          <w:i/>
        </w:rPr>
        <w:t>See, e.g., Dunlap</w:t>
      </w:r>
      <w:r>
        <w:rPr/>
        <w:t>, 124 P.3d at 809 (citations omitted); </w:t>
      </w:r>
      <w:r>
        <w:rPr>
          <w:i/>
        </w:rPr>
        <w:t>Blevins, </w:t>
      </w:r>
      <w:r>
        <w:rPr/>
        <w:t>728 F.2d at 1580; </w:t>
      </w:r>
      <w:r>
        <w:rPr>
          <w:i/>
        </w:rPr>
        <w:t>People v. Munsey</w:t>
      </w:r>
      <w:r>
        <w:rPr/>
        <w:t>, 232 P.3d 113, 123 (Colo. App. 2009). “Reptile” arguments carry the same danger, and, hence, the same</w:t>
      </w:r>
      <w:r>
        <w:rPr>
          <w:spacing w:val="28"/>
        </w:rPr>
        <w:t> </w:t>
      </w:r>
      <w:r>
        <w:rPr/>
        <w:t>impropriety.</w:t>
      </w:r>
      <w:r>
        <w:rPr>
          <w:spacing w:val="57"/>
        </w:rPr>
        <w:t> </w:t>
      </w:r>
      <w:r>
        <w:rPr/>
        <w:t>Reptile</w:t>
      </w:r>
      <w:r>
        <w:rPr>
          <w:spacing w:val="28"/>
        </w:rPr>
        <w:t> </w:t>
      </w:r>
      <w:r>
        <w:rPr/>
        <w:t>arguments</w:t>
      </w:r>
      <w:r>
        <w:rPr>
          <w:spacing w:val="29"/>
        </w:rPr>
        <w:t> </w:t>
      </w:r>
      <w:r>
        <w:rPr/>
        <w:t>assert</w:t>
      </w:r>
      <w:r>
        <w:rPr>
          <w:spacing w:val="27"/>
        </w:rPr>
        <w:t> </w:t>
      </w:r>
      <w:r>
        <w:rPr/>
        <w:t>that</w:t>
      </w:r>
      <w:r>
        <w:rPr>
          <w:spacing w:val="28"/>
        </w:rPr>
        <w:t> </w:t>
      </w:r>
      <w:r>
        <w:rPr/>
        <w:t>jurors</w:t>
      </w:r>
      <w:r>
        <w:rPr>
          <w:spacing w:val="29"/>
        </w:rPr>
        <w:t> </w:t>
      </w:r>
      <w:r>
        <w:rPr/>
        <w:t>have</w:t>
      </w:r>
      <w:r>
        <w:rPr>
          <w:spacing w:val="28"/>
        </w:rPr>
        <w:t> </w:t>
      </w:r>
      <w:r>
        <w:rPr/>
        <w:t>the</w:t>
      </w:r>
      <w:r>
        <w:rPr>
          <w:spacing w:val="29"/>
        </w:rPr>
        <w:t> </w:t>
      </w:r>
      <w:r>
        <w:rPr/>
        <w:t>power</w:t>
      </w:r>
      <w:r>
        <w:rPr>
          <w:spacing w:val="28"/>
        </w:rPr>
        <w:t> </w:t>
      </w:r>
      <w:r>
        <w:rPr/>
        <w:t>to</w:t>
      </w:r>
      <w:r>
        <w:rPr>
          <w:spacing w:val="28"/>
        </w:rPr>
        <w:t> </w:t>
      </w:r>
      <w:r>
        <w:rPr/>
        <w:t>improve</w:t>
      </w:r>
      <w:r>
        <w:rPr>
          <w:spacing w:val="29"/>
        </w:rPr>
        <w:t> </w:t>
      </w:r>
      <w:r>
        <w:rPr/>
        <w:t>the</w:t>
      </w:r>
    </w:p>
    <w:p>
      <w:pPr>
        <w:spacing w:after="0" w:line="480" w:lineRule="auto"/>
        <w:jc w:val="both"/>
        <w:sectPr>
          <w:pgSz w:w="12240" w:h="15840"/>
          <w:pgMar w:top="1360" w:bottom="280" w:left="1680" w:right="780"/>
        </w:sectPr>
      </w:pPr>
    </w:p>
    <w:p>
      <w:pPr>
        <w:pStyle w:val="BodyText"/>
        <w:tabs>
          <w:tab w:pos="8139" w:val="left" w:leader="none"/>
        </w:tabs>
        <w:spacing w:line="480" w:lineRule="auto" w:before="76"/>
        <w:ind w:left="120" w:right="1016"/>
        <w:jc w:val="both"/>
      </w:pPr>
      <w:r>
        <w:rPr/>
        <w:t>safety of themselves and members of their community by awarding an amount which will reduce the number of instances of dangerous behavior like that of which the defendant is allegedly</w:t>
        <w:tab/>
      </w:r>
      <w:r>
        <w:rPr>
          <w:spacing w:val="-3"/>
        </w:rPr>
        <w:t>guilty.</w:t>
      </w:r>
    </w:p>
    <w:p>
      <w:pPr>
        <w:pStyle w:val="BodyText"/>
        <w:spacing w:before="1"/>
        <w:ind w:left="120"/>
        <w:jc w:val="both"/>
      </w:pPr>
      <w:r>
        <w:rPr/>
        <w:t>David Ball, Don Keenan, Gary Johnson, and James Fitzgerald; </w:t>
      </w:r>
      <w:r>
        <w:rPr>
          <w:u w:val="single"/>
        </w:rPr>
        <w:t>Reptile: The 2009</w:t>
      </w:r>
      <w:r>
        <w:rPr>
          <w:spacing w:val="1"/>
          <w:u w:val="single"/>
        </w:rPr>
        <w:t> </w:t>
      </w:r>
      <w:r>
        <w:rPr>
          <w:u w:val="single"/>
        </w:rPr>
        <w:t>Manual</w:t>
      </w:r>
    </w:p>
    <w:p>
      <w:pPr>
        <w:pStyle w:val="BodyText"/>
        <w:spacing w:before="2"/>
        <w:rPr>
          <w:sz w:val="16"/>
        </w:rPr>
      </w:pPr>
    </w:p>
    <w:p>
      <w:pPr>
        <w:pStyle w:val="BodyText"/>
        <w:spacing w:before="90"/>
        <w:ind w:left="120"/>
      </w:pPr>
      <w:r>
        <w:rPr>
          <w:u w:val="single"/>
        </w:rPr>
        <w:t>of the Plaintiff’s Revolution</w:t>
      </w:r>
      <w:r>
        <w:rPr/>
        <w:t> (2009).  The authors of </w:t>
      </w:r>
      <w:r>
        <w:rPr>
          <w:i/>
        </w:rPr>
        <w:t>Reptile </w:t>
      </w:r>
      <w:r>
        <w:rPr/>
        <w:t>teach that when a Reptile</w:t>
      </w:r>
      <w:r>
        <w:rPr>
          <w:spacing w:val="35"/>
        </w:rPr>
        <w:t> </w:t>
      </w:r>
      <w:r>
        <w:rPr/>
        <w:t>[ie,</w:t>
      </w:r>
    </w:p>
    <w:p>
      <w:pPr>
        <w:pStyle w:val="BodyText"/>
        <w:spacing w:before="2"/>
        <w:rPr>
          <w:sz w:val="16"/>
        </w:rPr>
      </w:pPr>
    </w:p>
    <w:p>
      <w:pPr>
        <w:pStyle w:val="BodyText"/>
        <w:spacing w:line="480" w:lineRule="auto" w:before="90"/>
        <w:ind w:left="119" w:right="1017"/>
        <w:jc w:val="both"/>
      </w:pPr>
      <w:r>
        <w:rPr/>
        <w:t>juror] sees a survival danger [ie, the defendant’s conduct] she is impelled to protect herself and the community. Protecting community safety arguments thus seek to appeal to jurors’ personal sense of self-preservation and protection in order to influence the verdict. They seek a verdict based not on logic or the evidence presented but on protective instincts. Any such argument undermines Colorado Jury Instructions. </w:t>
      </w:r>
      <w:r>
        <w:rPr>
          <w:i/>
        </w:rPr>
        <w:t>See </w:t>
      </w:r>
      <w:r>
        <w:rPr/>
        <w:t>CJI-Civ. 3:14, 4:1, 4:1A. It is also irrelevant and unfairly prejudicial and hence disallowed by C.R.E. 402 and 403, as it is intended to trigger “mainsprings of human action” which improperly motivate the verdict. </w:t>
      </w:r>
      <w:r>
        <w:rPr>
          <w:i/>
        </w:rPr>
        <w:t>See People v. Hulsing</w:t>
      </w:r>
      <w:r>
        <w:rPr/>
        <w:t>, 825 P.2d 1027, 1031 (Colo. App.</w:t>
      </w:r>
      <w:r>
        <w:rPr>
          <w:spacing w:val="-1"/>
        </w:rPr>
        <w:t> </w:t>
      </w:r>
      <w:r>
        <w:rPr/>
        <w:t>1991).</w:t>
      </w:r>
    </w:p>
    <w:p>
      <w:pPr>
        <w:pStyle w:val="BodyText"/>
        <w:spacing w:line="480" w:lineRule="auto"/>
        <w:ind w:left="120" w:right="1017" w:firstLine="720"/>
        <w:jc w:val="both"/>
      </w:pPr>
      <w:r>
        <w:rPr/>
        <w:t>The jurors in this case must be instructed to render their verdict based on the evidence presented. Any argument which asks jurors, either directly or indirectly, to render a verdict based on their own fear of future injury and desire to decrease a perceived danger within the community must be</w:t>
      </w:r>
      <w:r>
        <w:rPr>
          <w:spacing w:val="-2"/>
        </w:rPr>
        <w:t> </w:t>
      </w:r>
      <w:r>
        <w:rPr/>
        <w:t>prohibited.</w:t>
      </w:r>
    </w:p>
    <w:p>
      <w:pPr>
        <w:pStyle w:val="BodyText"/>
        <w:spacing w:line="480" w:lineRule="auto"/>
        <w:ind w:left="120" w:right="1017" w:firstLine="720"/>
        <w:jc w:val="both"/>
      </w:pPr>
      <w:r>
        <w:rPr/>
        <w:t>WHEREFORE, Defendants seek an Order prohibiting “golden rule” or “protecting community safety”</w:t>
      </w:r>
      <w:r>
        <w:rPr>
          <w:spacing w:val="-3"/>
        </w:rPr>
        <w:t> </w:t>
      </w:r>
      <w:r>
        <w:rPr/>
        <w:t>arguments.</w:t>
      </w:r>
    </w:p>
    <w:p>
      <w:pPr>
        <w:pStyle w:val="BodyText"/>
        <w:ind w:left="120"/>
        <w:jc w:val="both"/>
      </w:pPr>
      <w:r>
        <w:rPr>
          <w:b/>
        </w:rPr>
        <w:t>DATED </w:t>
      </w:r>
      <w:r>
        <w:rPr/>
        <w:t>this 23</w:t>
      </w:r>
      <w:r>
        <w:rPr>
          <w:vertAlign w:val="superscript"/>
        </w:rPr>
        <w:t>rd</w:t>
      </w:r>
      <w:r>
        <w:rPr>
          <w:vertAlign w:val="baseline"/>
        </w:rPr>
        <w:t> day of January, 2017.</w:t>
      </w:r>
    </w:p>
    <w:p>
      <w:pPr>
        <w:pStyle w:val="BodyText"/>
        <w:rPr>
          <w:sz w:val="30"/>
        </w:rPr>
      </w:pPr>
    </w:p>
    <w:p>
      <w:pPr>
        <w:pStyle w:val="BodyText"/>
        <w:spacing w:before="206"/>
        <w:ind w:left="4566" w:right="2341"/>
      </w:pPr>
      <w:r>
        <w:rPr/>
        <w:t>Respectfully submitted, RUEBEL &amp; QUILLEN, LLC</w:t>
      </w:r>
    </w:p>
    <w:p>
      <w:pPr>
        <w:spacing w:after="0"/>
        <w:sectPr>
          <w:pgSz w:w="12240" w:h="15840"/>
          <w:pgMar w:top="1360" w:bottom="280" w:left="1680" w:right="780"/>
        </w:sectPr>
      </w:pPr>
    </w:p>
    <w:p>
      <w:pPr>
        <w:pStyle w:val="BodyText"/>
        <w:spacing w:before="4"/>
        <w:rPr>
          <w:sz w:val="8"/>
        </w:rPr>
      </w:pPr>
    </w:p>
    <w:p>
      <w:pPr>
        <w:pStyle w:val="BodyText"/>
        <w:ind w:left="4952"/>
        <w:rPr>
          <w:sz w:val="20"/>
        </w:rPr>
      </w:pPr>
      <w:r>
        <w:rPr>
          <w:sz w:val="20"/>
        </w:rPr>
        <w:drawing>
          <wp:inline distT="0" distB="0" distL="0" distR="0">
            <wp:extent cx="1902181" cy="5852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902181" cy="585216"/>
                    </a:xfrm>
                    <a:prstGeom prst="rect">
                      <a:avLst/>
                    </a:prstGeom>
                  </pic:spPr>
                </pic:pic>
              </a:graphicData>
            </a:graphic>
          </wp:inline>
        </w:drawing>
      </w:r>
      <w:r>
        <w:rPr>
          <w:sz w:val="20"/>
        </w:rPr>
      </w:r>
    </w:p>
    <w:p>
      <w:pPr>
        <w:pStyle w:val="BodyText"/>
        <w:spacing w:before="3"/>
        <w:rPr>
          <w:sz w:val="10"/>
        </w:rPr>
      </w:pPr>
    </w:p>
    <w:p>
      <w:pPr>
        <w:pStyle w:val="BodyText"/>
        <w:spacing w:before="90"/>
        <w:ind w:left="4566"/>
      </w:pPr>
      <w:r>
        <w:rPr/>
        <w:t>Katherine L. Brim, No. 46532</w:t>
      </w:r>
    </w:p>
    <w:p>
      <w:pPr>
        <w:pStyle w:val="BodyText"/>
        <w:rPr>
          <w:sz w:val="26"/>
        </w:rPr>
      </w:pPr>
    </w:p>
    <w:p>
      <w:pPr>
        <w:pStyle w:val="BodyText"/>
        <w:rPr>
          <w:sz w:val="26"/>
        </w:rPr>
      </w:pPr>
    </w:p>
    <w:p>
      <w:pPr>
        <w:pStyle w:val="Heading1"/>
        <w:spacing w:before="233"/>
        <w:ind w:left="2846"/>
      </w:pPr>
      <w:r>
        <w:rPr/>
        <w:t>CERTIFICATE OF SERVICE</w:t>
      </w:r>
    </w:p>
    <w:p>
      <w:pPr>
        <w:pStyle w:val="BodyText"/>
        <w:spacing w:before="9"/>
        <w:rPr>
          <w:b/>
          <w:sz w:val="23"/>
        </w:rPr>
      </w:pPr>
    </w:p>
    <w:p>
      <w:pPr>
        <w:pStyle w:val="BodyText"/>
        <w:ind w:left="120" w:right="1020" w:firstLine="720"/>
        <w:jc w:val="both"/>
      </w:pPr>
      <w:r>
        <w:rPr/>
        <w:t>I, the undersigned, hereby certify that a copy of the foregoing Motion in Limine was E-Served by the Court-authorized E-System provider, to the following on this 23</w:t>
      </w:r>
      <w:r>
        <w:rPr>
          <w:vertAlign w:val="superscript"/>
        </w:rPr>
        <w:t>rd</w:t>
      </w:r>
      <w:r>
        <w:rPr>
          <w:vertAlign w:val="baseline"/>
        </w:rPr>
        <w:t> day of January, 2017:</w:t>
      </w:r>
    </w:p>
    <w:p>
      <w:pPr>
        <w:pStyle w:val="BodyText"/>
      </w:pPr>
    </w:p>
    <w:p>
      <w:pPr>
        <w:pStyle w:val="BodyText"/>
        <w:ind w:left="120"/>
      </w:pPr>
      <w:r>
        <w:rPr/>
        <w:t>David Perry</w:t>
      </w:r>
    </w:p>
    <w:p>
      <w:pPr>
        <w:pStyle w:val="BodyText"/>
        <w:ind w:left="119" w:right="6202"/>
      </w:pPr>
      <w:r>
        <w:rPr/>
        <w:t>Law Office of David B. Perry, LLC 7200 East Dry Creek, F203 Centennial, CO 80112</w:t>
      </w:r>
    </w:p>
    <w:p>
      <w:pPr>
        <w:pStyle w:val="BodyText"/>
        <w:tabs>
          <w:tab w:pos="2459" w:val="left" w:leader="none"/>
        </w:tabs>
        <w:spacing w:line="284" w:lineRule="exact"/>
        <w:ind w:left="119"/>
        <w:rPr>
          <w:rFonts w:ascii="MS PGothic" w:hAnsi="MS PGothic"/>
        </w:rPr>
      </w:pPr>
      <w:r>
        <w:rPr/>
        <w:t>Dave@DBP</w:t>
        <w:tab/>
      </w:r>
      <w:r>
        <w:rPr>
          <w:rFonts w:ascii="MS PGothic" w:hAnsi="MS PGothic"/>
          <w:spacing w:val="2"/>
        </w:rPr>
        <w:t>‐Law.com</w:t>
      </w:r>
    </w:p>
    <w:p>
      <w:pPr>
        <w:spacing w:line="269" w:lineRule="exact" w:before="0"/>
        <w:ind w:left="119" w:right="0" w:firstLine="0"/>
        <w:jc w:val="left"/>
        <w:rPr>
          <w:i/>
          <w:sz w:val="24"/>
        </w:rPr>
      </w:pPr>
      <w:r>
        <w:rPr>
          <w:i/>
          <w:sz w:val="24"/>
        </w:rPr>
        <w:t>Counsel for American Family Mutual Insurance Company, as Subrogee of Kathryn Windt</w:t>
      </w:r>
    </w:p>
    <w:p>
      <w:pPr>
        <w:pStyle w:val="BodyText"/>
        <w:spacing w:before="10"/>
        <w:rPr>
          <w:i/>
          <w:sz w:val="23"/>
        </w:rPr>
      </w:pPr>
    </w:p>
    <w:p>
      <w:pPr>
        <w:pStyle w:val="BodyText"/>
        <w:spacing w:before="1"/>
        <w:ind w:left="120"/>
      </w:pPr>
      <w:r>
        <w:rPr/>
        <w:t>COOK &amp; PAGANO, P.C.</w:t>
      </w:r>
    </w:p>
    <w:p>
      <w:pPr>
        <w:pStyle w:val="BodyText"/>
        <w:ind w:left="120" w:right="6840"/>
      </w:pPr>
      <w:r>
        <w:rPr/>
        <w:t>Stephen H. Cook: 6692 James L. Pagano:</w:t>
      </w:r>
      <w:r>
        <w:rPr>
          <w:spacing w:val="59"/>
        </w:rPr>
        <w:t> </w:t>
      </w:r>
      <w:r>
        <w:rPr>
          <w:spacing w:val="-4"/>
        </w:rPr>
        <w:t>39508</w:t>
      </w:r>
    </w:p>
    <w:p>
      <w:pPr>
        <w:pStyle w:val="BodyText"/>
        <w:ind w:left="120"/>
      </w:pPr>
      <w:r>
        <w:rPr/>
        <w:t>2590 Trailridge Drive East, Suite 202</w:t>
      </w:r>
    </w:p>
    <w:p>
      <w:pPr>
        <w:pStyle w:val="BodyText"/>
        <w:ind w:left="120"/>
      </w:pPr>
      <w:r>
        <w:rPr/>
        <w:t>Lafayette, Colorado 80026</w:t>
      </w:r>
    </w:p>
    <w:p>
      <w:pPr>
        <w:spacing w:before="1"/>
        <w:ind w:left="120" w:right="0" w:firstLine="0"/>
        <w:jc w:val="left"/>
        <w:rPr>
          <w:i/>
          <w:sz w:val="24"/>
        </w:rPr>
      </w:pPr>
      <w:r>
        <w:rPr>
          <w:i/>
          <w:sz w:val="24"/>
        </w:rPr>
        <w:t>Counsel for Third Party Defendant Windt</w:t>
      </w:r>
    </w:p>
    <w:p>
      <w:pPr>
        <w:pStyle w:val="BodyText"/>
        <w:spacing w:before="10"/>
        <w:rPr>
          <w:i/>
          <w:sz w:val="23"/>
        </w:rPr>
      </w:pPr>
    </w:p>
    <w:p>
      <w:pPr>
        <w:pStyle w:val="BodyText"/>
        <w:ind w:left="120" w:right="8084"/>
      </w:pPr>
      <w:r>
        <w:rPr/>
        <w:t>Megan </w:t>
      </w:r>
      <w:r>
        <w:rPr>
          <w:spacing w:val="-3"/>
        </w:rPr>
        <w:t>Fountain </w:t>
      </w:r>
      <w:r>
        <w:rPr/>
        <w:t>Dylan Lewis PO Box</w:t>
      </w:r>
      <w:r>
        <w:rPr>
          <w:spacing w:val="-2"/>
        </w:rPr>
        <w:t> </w:t>
      </w:r>
      <w:r>
        <w:rPr/>
        <w:t>3328</w:t>
      </w:r>
    </w:p>
    <w:p>
      <w:pPr>
        <w:pStyle w:val="BodyText"/>
        <w:tabs>
          <w:tab w:pos="2992" w:val="left" w:leader="none"/>
        </w:tabs>
        <w:spacing w:line="283" w:lineRule="exact"/>
        <w:ind w:left="120"/>
        <w:rPr>
          <w:rFonts w:ascii="MS PGothic" w:hAnsi="MS PGothic"/>
        </w:rPr>
      </w:pPr>
      <w:r>
        <w:rPr/>
        <w:t>Englewood,</w:t>
      </w:r>
      <w:r>
        <w:rPr>
          <w:spacing w:val="-1"/>
        </w:rPr>
        <w:t> </w:t>
      </w:r>
      <w:r>
        <w:rPr/>
        <w:t>CO</w:t>
      </w:r>
      <w:r>
        <w:rPr>
          <w:spacing w:val="-2"/>
        </w:rPr>
        <w:t> </w:t>
      </w:r>
      <w:r>
        <w:rPr/>
        <w:t>80155</w:t>
        <w:tab/>
      </w:r>
      <w:r>
        <w:rPr>
          <w:rFonts w:ascii="MS PGothic" w:hAnsi="MS PGothic"/>
        </w:rPr>
        <w:t>‐3328</w:t>
      </w:r>
    </w:p>
    <w:p>
      <w:pPr>
        <w:pStyle w:val="BodyText"/>
        <w:spacing w:line="268" w:lineRule="exact"/>
        <w:ind w:left="120"/>
      </w:pPr>
      <w:hyperlink r:id="rId7">
        <w:r>
          <w:rPr/>
          <w:t>MFountai@AmFam.com</w:t>
        </w:r>
      </w:hyperlink>
    </w:p>
    <w:p>
      <w:pPr>
        <w:spacing w:before="1"/>
        <w:ind w:left="120" w:right="0" w:firstLine="0"/>
        <w:jc w:val="left"/>
        <w:rPr>
          <w:i/>
          <w:sz w:val="24"/>
        </w:rPr>
      </w:pPr>
      <w:r>
        <w:rPr>
          <w:i/>
          <w:sz w:val="24"/>
        </w:rPr>
        <w:t>Counsel for Third Party Defendant Windt</w:t>
      </w:r>
    </w:p>
    <w:p>
      <w:pPr>
        <w:pStyle w:val="BodyText"/>
        <w:rPr>
          <w:i/>
        </w:rPr>
      </w:pPr>
    </w:p>
    <w:p>
      <w:pPr>
        <w:spacing w:line="275" w:lineRule="exact" w:before="0"/>
        <w:ind w:left="5880" w:right="0" w:firstLine="0"/>
        <w:jc w:val="left"/>
        <w:rPr>
          <w:i/>
          <w:sz w:val="24"/>
        </w:rPr>
      </w:pPr>
      <w:r>
        <w:rPr>
          <w:i/>
          <w:sz w:val="24"/>
          <w:u w:val="single"/>
        </w:rPr>
        <w:t>  /s/ Katherine L. Brim</w:t>
      </w:r>
    </w:p>
    <w:p>
      <w:pPr>
        <w:pStyle w:val="BodyText"/>
        <w:spacing w:line="275" w:lineRule="exact"/>
        <w:ind w:left="5880"/>
      </w:pPr>
      <w:r>
        <w:rPr/>
        <w:t>Katherine L. Brim</w:t>
      </w:r>
    </w:p>
    <w:sectPr>
      <w:pgSz w:w="12240" w:h="15840"/>
      <w:pgMar w:top="1500" w:bottom="280" w:left="1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MS PGothic">
    <w:altName w:val="MS PGothic"/>
    <w:charset w:val="0"/>
    <w:family w:val="swiss"/>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11" w:hanging="504"/>
      </w:pPr>
      <w:rPr>
        <w:rFonts w:hint="default" w:ascii="Symbol" w:hAnsi="Symbol" w:eastAsia="Symbol" w:cs="Symbol"/>
        <w:w w:val="100"/>
        <w:sz w:val="24"/>
        <w:szCs w:val="24"/>
      </w:rPr>
    </w:lvl>
    <w:lvl w:ilvl="1">
      <w:start w:val="0"/>
      <w:numFmt w:val="bullet"/>
      <w:lvlText w:val="•"/>
      <w:lvlJc w:val="left"/>
      <w:pPr>
        <w:ind w:left="1187" w:hanging="504"/>
      </w:pPr>
      <w:rPr>
        <w:rFonts w:hint="default"/>
      </w:rPr>
    </w:lvl>
    <w:lvl w:ilvl="2">
      <w:start w:val="0"/>
      <w:numFmt w:val="bullet"/>
      <w:lvlText w:val="•"/>
      <w:lvlJc w:val="left"/>
      <w:pPr>
        <w:ind w:left="1454" w:hanging="504"/>
      </w:pPr>
      <w:rPr>
        <w:rFonts w:hint="default"/>
      </w:rPr>
    </w:lvl>
    <w:lvl w:ilvl="3">
      <w:start w:val="0"/>
      <w:numFmt w:val="bullet"/>
      <w:lvlText w:val="•"/>
      <w:lvlJc w:val="left"/>
      <w:pPr>
        <w:ind w:left="1721" w:hanging="504"/>
      </w:pPr>
      <w:rPr>
        <w:rFonts w:hint="default"/>
      </w:rPr>
    </w:lvl>
    <w:lvl w:ilvl="4">
      <w:start w:val="0"/>
      <w:numFmt w:val="bullet"/>
      <w:lvlText w:val="•"/>
      <w:lvlJc w:val="left"/>
      <w:pPr>
        <w:ind w:left="1988" w:hanging="504"/>
      </w:pPr>
      <w:rPr>
        <w:rFonts w:hint="default"/>
      </w:rPr>
    </w:lvl>
    <w:lvl w:ilvl="5">
      <w:start w:val="0"/>
      <w:numFmt w:val="bullet"/>
      <w:lvlText w:val="•"/>
      <w:lvlJc w:val="left"/>
      <w:pPr>
        <w:ind w:left="2255" w:hanging="504"/>
      </w:pPr>
      <w:rPr>
        <w:rFonts w:hint="default"/>
      </w:rPr>
    </w:lvl>
    <w:lvl w:ilvl="6">
      <w:start w:val="0"/>
      <w:numFmt w:val="bullet"/>
      <w:lvlText w:val="•"/>
      <w:lvlJc w:val="left"/>
      <w:pPr>
        <w:ind w:left="2522" w:hanging="504"/>
      </w:pPr>
      <w:rPr>
        <w:rFonts w:hint="default"/>
      </w:rPr>
    </w:lvl>
    <w:lvl w:ilvl="7">
      <w:start w:val="0"/>
      <w:numFmt w:val="bullet"/>
      <w:lvlText w:val="•"/>
      <w:lvlJc w:val="left"/>
      <w:pPr>
        <w:ind w:left="2789" w:hanging="504"/>
      </w:pPr>
      <w:rPr>
        <w:rFonts w:hint="default"/>
      </w:rPr>
    </w:lvl>
    <w:lvl w:ilvl="8">
      <w:start w:val="0"/>
      <w:numFmt w:val="bullet"/>
      <w:lvlText w:val="•"/>
      <w:lvlJc w:val="left"/>
      <w:pPr>
        <w:ind w:left="3056" w:hanging="50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2006"/>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effrey@rq-law.com" TargetMode="External"/><Relationship Id="rId6" Type="http://schemas.openxmlformats.org/officeDocument/2006/relationships/image" Target="media/image1.jpeg"/><Relationship Id="rId7" Type="http://schemas.openxmlformats.org/officeDocument/2006/relationships/hyperlink" Target="mailto:MFountai@AmFam.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Clay Ruebel</dc:creator>
  <dcterms:created xsi:type="dcterms:W3CDTF">2019-03-22T16:00:56Z</dcterms:created>
  <dcterms:modified xsi:type="dcterms:W3CDTF">2019-03-22T16:00:56Z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Acrobat PDFMaker 10.1 for Word</vt:lpwstr>
  </property>
  <property fmtid="{D5CDD505-2E9C-101B-9397-08002B2CF9AE}" pid="4" name="LastSaved">
    <vt:filetime>2019-03-22T00:00:00Z</vt:filetime>
  </property>
</Properties>
</file>