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7"/>
        <w:gridCol w:w="623"/>
        <w:gridCol w:w="2970"/>
      </w:tblGrid>
      <w:tr>
        <w:trPr>
          <w:trHeight w:val="1339" w:hRule="atLeast"/>
        </w:trPr>
        <w:tc>
          <w:tcPr>
            <w:tcW w:w="5677" w:type="dxa"/>
            <w:tcBorders>
              <w:top w:val="single" w:sz="4" w:space="0" w:color="000000"/>
              <w:left w:val="single" w:sz="4" w:space="0" w:color="000000"/>
            </w:tcBorders>
          </w:tcPr>
          <w:p>
            <w:pPr>
              <w:pStyle w:val="TableParagraph"/>
              <w:ind w:right="1103"/>
              <w:rPr>
                <w:sz w:val="24"/>
              </w:rPr>
            </w:pPr>
            <w:r>
              <w:rPr>
                <w:sz w:val="24"/>
              </w:rPr>
              <w:t>District Court, Jefferson County, Colorado 100 Jefferson County Parkway</w:t>
            </w:r>
          </w:p>
          <w:p>
            <w:pPr>
              <w:pStyle w:val="TableParagraph"/>
              <w:rPr>
                <w:sz w:val="24"/>
              </w:rPr>
            </w:pPr>
            <w:r>
              <w:rPr>
                <w:sz w:val="24"/>
              </w:rPr>
              <w:t>Golden, CO 80401</w:t>
            </w:r>
          </w:p>
        </w:tc>
        <w:tc>
          <w:tcPr>
            <w:tcW w:w="623" w:type="dxa"/>
            <w:tcBorders>
              <w:top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19" w:right="-15"/>
              <w:jc w:val="both"/>
              <w:rPr>
                <w:rFonts w:ascii="Times New Roman"/>
                <w:sz w:val="20"/>
              </w:rPr>
            </w:pPr>
            <w:r>
              <w:rPr>
                <w:rFonts w:ascii="Times New Roman"/>
                <w:color w:val="0000FF"/>
                <w:sz w:val="20"/>
              </w:rPr>
              <w:t>DA FIL CA</w:t>
            </w:r>
          </w:p>
        </w:tc>
        <w:tc>
          <w:tcPr>
            <w:tcW w:w="2970" w:type="dxa"/>
            <w:tcBorders>
              <w:top w:val="single" w:sz="4" w:space="0" w:color="000000"/>
              <w:left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 w:hanging="14"/>
              <w:rPr>
                <w:rFonts w:ascii="Times New Roman"/>
                <w:sz w:val="20"/>
              </w:rPr>
            </w:pPr>
            <w:r>
              <w:rPr>
                <w:rFonts w:ascii="Times New Roman"/>
                <w:color w:val="0000FF"/>
                <w:sz w:val="20"/>
              </w:rPr>
              <w:t>TE FILED: July 21, 2017 3:24 </w:t>
            </w:r>
            <w:r>
              <w:rPr>
                <w:rFonts w:ascii="Times New Roman"/>
                <w:color w:val="0000FF"/>
                <w:spacing w:val="-6"/>
                <w:sz w:val="20"/>
              </w:rPr>
              <w:t>PM </w:t>
            </w:r>
            <w:r>
              <w:rPr>
                <w:rFonts w:ascii="Times New Roman"/>
                <w:color w:val="0000FF"/>
                <w:sz w:val="20"/>
              </w:rPr>
              <w:t>ING ID:</w:t>
            </w:r>
            <w:r>
              <w:rPr>
                <w:rFonts w:ascii="Times New Roman"/>
                <w:color w:val="0000FF"/>
                <w:spacing w:val="11"/>
                <w:sz w:val="20"/>
              </w:rPr>
              <w:t> </w:t>
            </w:r>
            <w:r>
              <w:rPr>
                <w:rFonts w:ascii="Times New Roman"/>
                <w:color w:val="0000FF"/>
                <w:sz w:val="20"/>
              </w:rPr>
              <w:t>E627427B8678A</w:t>
            </w:r>
          </w:p>
          <w:p>
            <w:pPr>
              <w:pStyle w:val="TableParagraph"/>
              <w:spacing w:line="218" w:lineRule="exact"/>
              <w:ind w:left="-27"/>
              <w:rPr>
                <w:rFonts w:ascii="Times New Roman"/>
                <w:sz w:val="20"/>
              </w:rPr>
            </w:pPr>
            <w:r>
              <w:rPr>
                <w:rFonts w:ascii="Times New Roman"/>
                <w:color w:val="0000FF"/>
                <w:sz w:val="20"/>
              </w:rPr>
              <w:t>SE NUMBER: 2016CR1463</w:t>
            </w:r>
          </w:p>
        </w:tc>
      </w:tr>
      <w:tr>
        <w:trPr>
          <w:trHeight w:val="735" w:hRule="atLeast"/>
        </w:trPr>
        <w:tc>
          <w:tcPr>
            <w:tcW w:w="5677" w:type="dxa"/>
            <w:tcBorders>
              <w:left w:val="single" w:sz="4" w:space="0" w:color="000000"/>
            </w:tcBorders>
          </w:tcPr>
          <w:p>
            <w:pPr>
              <w:pStyle w:val="TableParagraph"/>
              <w:spacing w:line="275" w:lineRule="exact" w:before="42"/>
              <w:rPr>
                <w:b/>
                <w:sz w:val="24"/>
              </w:rPr>
            </w:pPr>
            <w:r>
              <w:rPr>
                <w:b/>
                <w:sz w:val="24"/>
              </w:rPr>
              <w:t>PEOPLE OF THE STATE OF COLORADO</w:t>
            </w:r>
          </w:p>
          <w:p>
            <w:pPr>
              <w:pStyle w:val="TableParagraph"/>
              <w:spacing w:line="275" w:lineRule="exact"/>
              <w:rPr>
                <w:sz w:val="24"/>
              </w:rPr>
            </w:pPr>
            <w:r>
              <w:rPr>
                <w:sz w:val="24"/>
              </w:rPr>
              <w:t>v.</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851" w:hRule="atLeast"/>
        </w:trPr>
        <w:tc>
          <w:tcPr>
            <w:tcW w:w="5677" w:type="dxa"/>
            <w:tcBorders>
              <w:left w:val="single" w:sz="4" w:space="0" w:color="000000"/>
            </w:tcBorders>
          </w:tcPr>
          <w:p>
            <w:pPr>
              <w:pStyle w:val="TableParagraph"/>
              <w:spacing w:line="275" w:lineRule="exact" w:before="134"/>
              <w:rPr>
                <w:b/>
                <w:sz w:val="24"/>
              </w:rPr>
            </w:pPr>
            <w:r>
              <w:rPr>
                <w:b/>
                <w:sz w:val="24"/>
              </w:rPr>
              <w:t>GARY LEE NICKAL</w:t>
            </w:r>
          </w:p>
          <w:p>
            <w:pPr>
              <w:pStyle w:val="TableParagraph"/>
              <w:spacing w:line="275" w:lineRule="exact"/>
              <w:rPr>
                <w:sz w:val="24"/>
              </w:rPr>
            </w:pPr>
            <w:r>
              <w:rPr>
                <w:sz w:val="24"/>
              </w:rPr>
              <w:t>Defendant</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2646" w:hRule="atLeast"/>
        </w:trPr>
        <w:tc>
          <w:tcPr>
            <w:tcW w:w="5677" w:type="dxa"/>
            <w:tcBorders>
              <w:left w:val="single" w:sz="4" w:space="0" w:color="000000"/>
              <w:bottom w:val="single" w:sz="4" w:space="0" w:color="000000"/>
            </w:tcBorders>
          </w:tcPr>
          <w:p>
            <w:pPr>
              <w:pStyle w:val="TableParagraph"/>
              <w:spacing w:before="159"/>
              <w:rPr>
                <w:sz w:val="24"/>
              </w:rPr>
            </w:pPr>
            <w:r>
              <w:rPr>
                <w:sz w:val="24"/>
              </w:rPr>
              <w:t>Peter A. Weir, District</w:t>
            </w:r>
            <w:r>
              <w:rPr>
                <w:spacing w:val="-13"/>
                <w:sz w:val="24"/>
              </w:rPr>
              <w:t> </w:t>
            </w:r>
            <w:r>
              <w:rPr>
                <w:sz w:val="24"/>
              </w:rPr>
              <w:t>Attorney</w:t>
            </w:r>
          </w:p>
          <w:p>
            <w:pPr>
              <w:pStyle w:val="TableParagraph"/>
              <w:ind w:right="307"/>
              <w:jc w:val="both"/>
              <w:rPr>
                <w:sz w:val="24"/>
              </w:rPr>
            </w:pPr>
            <w:r>
              <w:rPr>
                <w:sz w:val="24"/>
              </w:rPr>
              <w:t>Eva Wilson, Senior Chief Deputy District Attorney Christian Gardner-Wood, Deputy District Attorney 500 Jefferson County</w:t>
            </w:r>
            <w:r>
              <w:rPr>
                <w:spacing w:val="-2"/>
                <w:sz w:val="24"/>
              </w:rPr>
              <w:t> </w:t>
            </w:r>
            <w:r>
              <w:rPr>
                <w:sz w:val="24"/>
              </w:rPr>
              <w:t>Parkway</w:t>
            </w:r>
          </w:p>
          <w:p>
            <w:pPr>
              <w:pStyle w:val="TableParagraph"/>
              <w:rPr>
                <w:sz w:val="24"/>
              </w:rPr>
            </w:pPr>
            <w:r>
              <w:rPr>
                <w:sz w:val="24"/>
              </w:rPr>
              <w:t>Golden, CO 80401-6002</w:t>
            </w:r>
          </w:p>
          <w:p>
            <w:pPr>
              <w:pStyle w:val="TableParagraph"/>
              <w:rPr>
                <w:sz w:val="24"/>
              </w:rPr>
            </w:pPr>
            <w:r>
              <w:rPr>
                <w:sz w:val="24"/>
              </w:rPr>
              <w:t>Phone Number: </w:t>
            </w:r>
            <w:r>
              <w:rPr>
                <w:sz w:val="22"/>
              </w:rPr>
              <w:t>(</w:t>
            </w:r>
            <w:r>
              <w:rPr>
                <w:sz w:val="24"/>
              </w:rPr>
              <w:t>303) 271-6831</w:t>
            </w:r>
          </w:p>
          <w:p>
            <w:pPr>
              <w:pStyle w:val="TableParagraph"/>
              <w:tabs>
                <w:tab w:pos="1894" w:val="left" w:leader="none"/>
              </w:tabs>
              <w:spacing w:line="270" w:lineRule="atLeast"/>
              <w:ind w:right="2136"/>
              <w:rPr>
                <w:sz w:val="24"/>
              </w:rPr>
            </w:pPr>
            <w:r>
              <w:rPr>
                <w:sz w:val="24"/>
              </w:rPr>
              <w:t>Fax</w:t>
            </w:r>
            <w:r>
              <w:rPr>
                <w:spacing w:val="-3"/>
                <w:sz w:val="24"/>
              </w:rPr>
              <w:t> </w:t>
            </w:r>
            <w:r>
              <w:rPr>
                <w:sz w:val="24"/>
              </w:rPr>
              <w:t>Number:</w:t>
              <w:tab/>
              <w:t>(303)</w:t>
            </w:r>
            <w:r>
              <w:rPr>
                <w:spacing w:val="-8"/>
                <w:sz w:val="24"/>
              </w:rPr>
              <w:t> </w:t>
            </w:r>
            <w:r>
              <w:rPr>
                <w:sz w:val="24"/>
              </w:rPr>
              <w:t>271-6888 E-mail: </w:t>
            </w:r>
            <w:hyperlink r:id="rId6">
              <w:r>
                <w:rPr>
                  <w:color w:val="0000FF"/>
                  <w:sz w:val="24"/>
                  <w:u w:val="single" w:color="0000FF"/>
                </w:rPr>
                <w:t>cgardner@jeffco.us</w:t>
              </w:r>
            </w:hyperlink>
            <w:r>
              <w:rPr>
                <w:color w:val="0000FF"/>
                <w:sz w:val="24"/>
              </w:rPr>
              <w:t> </w:t>
            </w:r>
            <w:r>
              <w:rPr>
                <w:sz w:val="24"/>
              </w:rPr>
              <w:t>Atty. Reg. #:</w:t>
            </w:r>
            <w:r>
              <w:rPr>
                <w:spacing w:val="65"/>
                <w:sz w:val="24"/>
              </w:rPr>
              <w:t> </w:t>
            </w:r>
            <w:r>
              <w:rPr>
                <w:sz w:val="24"/>
              </w:rPr>
              <w:t>38889</w:t>
            </w:r>
          </w:p>
        </w:tc>
        <w:tc>
          <w:tcPr>
            <w:tcW w:w="623" w:type="dxa"/>
            <w:tcBorders>
              <w:bottom w:val="single" w:sz="4" w:space="0" w:color="000000"/>
              <w:right w:val="single" w:sz="4" w:space="0" w:color="000000"/>
            </w:tcBorders>
          </w:tcPr>
          <w:p>
            <w:pPr>
              <w:pStyle w:val="TableParagraph"/>
              <w:ind w:left="0"/>
              <w:rPr>
                <w:rFonts w:ascii="Times New Roman"/>
                <w:sz w:val="22"/>
              </w:rPr>
            </w:pPr>
          </w:p>
        </w:tc>
        <w:tc>
          <w:tcPr>
            <w:tcW w:w="2970" w:type="dxa"/>
            <w:tcBorders>
              <w:left w:val="single" w:sz="4" w:space="0" w:color="000000"/>
              <w:bottom w:val="single" w:sz="4" w:space="0" w:color="000000"/>
              <w:right w:val="single" w:sz="4" w:space="0" w:color="000000"/>
            </w:tcBorders>
          </w:tcPr>
          <w:p>
            <w:pPr>
              <w:pStyle w:val="TableParagraph"/>
              <w:spacing w:before="161"/>
              <w:ind w:left="592" w:right="628"/>
              <w:jc w:val="center"/>
              <w:rPr>
                <w:b/>
                <w:sz w:val="19"/>
              </w:rPr>
            </w:pPr>
            <w:r>
              <w:rPr>
                <w:b/>
                <w:sz w:val="19"/>
              </w:rPr>
              <w:t>COURT USE ONLY</w:t>
            </w:r>
          </w:p>
          <w:p>
            <w:pPr>
              <w:pStyle w:val="TableParagraph"/>
              <w:ind w:left="0"/>
              <w:rPr>
                <w:rFonts w:ascii="Times New Roman"/>
                <w:sz w:val="20"/>
              </w:rPr>
            </w:pPr>
          </w:p>
          <w:p>
            <w:pPr>
              <w:pStyle w:val="TableParagraph"/>
              <w:spacing w:before="121"/>
              <w:rPr>
                <w:sz w:val="24"/>
              </w:rPr>
            </w:pPr>
            <w:r>
              <w:rPr>
                <w:sz w:val="24"/>
              </w:rPr>
              <w:t>Case Number:</w:t>
            </w:r>
          </w:p>
          <w:p>
            <w:pPr>
              <w:pStyle w:val="TableParagraph"/>
              <w:spacing w:before="1"/>
              <w:ind w:left="0"/>
              <w:rPr>
                <w:rFonts w:ascii="Times New Roman"/>
                <w:sz w:val="24"/>
              </w:rPr>
            </w:pPr>
          </w:p>
          <w:p>
            <w:pPr>
              <w:pStyle w:val="TableParagraph"/>
              <w:ind w:left="592" w:right="585"/>
              <w:jc w:val="center"/>
              <w:rPr>
                <w:b/>
                <w:sz w:val="24"/>
              </w:rPr>
            </w:pPr>
            <w:r>
              <w:rPr>
                <w:b/>
                <w:sz w:val="24"/>
              </w:rPr>
              <w:t>16CR1463</w:t>
            </w:r>
          </w:p>
          <w:p>
            <w:pPr>
              <w:pStyle w:val="TableParagraph"/>
              <w:ind w:left="0"/>
              <w:rPr>
                <w:rFonts w:ascii="Times New Roman"/>
                <w:sz w:val="26"/>
              </w:rPr>
            </w:pPr>
          </w:p>
          <w:p>
            <w:pPr>
              <w:pStyle w:val="TableParagraph"/>
              <w:tabs>
                <w:tab w:pos="1122" w:val="left" w:leader="none"/>
              </w:tabs>
              <w:spacing w:before="159"/>
              <w:rPr>
                <w:sz w:val="24"/>
              </w:rPr>
            </w:pPr>
            <w:r>
              <w:rPr>
                <w:sz w:val="24"/>
              </w:rPr>
              <w:t>Div.:</w:t>
            </w:r>
            <w:r>
              <w:rPr>
                <w:spacing w:val="-1"/>
                <w:sz w:val="24"/>
              </w:rPr>
              <w:t> </w:t>
            </w:r>
            <w:r>
              <w:rPr>
                <w:sz w:val="24"/>
              </w:rPr>
              <w:t>12</w:t>
              <w:tab/>
              <w:t>Ctrm:</w:t>
            </w:r>
            <w:r>
              <w:rPr>
                <w:spacing w:val="-4"/>
                <w:sz w:val="24"/>
              </w:rPr>
              <w:t> </w:t>
            </w:r>
            <w:r>
              <w:rPr>
                <w:sz w:val="24"/>
              </w:rPr>
              <w:t>5D</w:t>
            </w:r>
          </w:p>
        </w:tc>
      </w:tr>
      <w:tr>
        <w:trPr>
          <w:trHeight w:val="276" w:hRule="atLeast"/>
        </w:trPr>
        <w:tc>
          <w:tcPr>
            <w:tcW w:w="92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57" w:lineRule="exact"/>
              <w:ind w:left="854"/>
              <w:rPr>
                <w:b/>
                <w:sz w:val="24"/>
              </w:rPr>
            </w:pPr>
            <w:r>
              <w:rPr>
                <w:b/>
                <w:sz w:val="24"/>
              </w:rPr>
              <w:t>MOTION TO DETERMINE COMPETENCY OF CHILD WITNESS (P-4)</w:t>
            </w:r>
          </w:p>
        </w:tc>
      </w:tr>
    </w:tbl>
    <w:p>
      <w:pPr>
        <w:pStyle w:val="BodyText"/>
        <w:spacing w:before="7"/>
        <w:rPr>
          <w:rFonts w:ascii="Times New Roman"/>
          <w:sz w:val="11"/>
        </w:rPr>
      </w:pPr>
      <w:r>
        <w:rPr/>
        <w:pict>
          <v:line style="position:absolute;mso-position-horizontal-relative:page;mso-position-vertical-relative:page;z-index:-4720" from="75.900002pt,127.169998pt" to="383.100002pt,127.169998pt" stroked="true" strokeweight="1.5pt" strokecolor="#000000">
            <v:stroke dashstyle="solid"/>
            <w10:wrap type="none"/>
          </v:line>
        </w:pict>
      </w:r>
      <w:r>
        <w:rPr/>
        <w:pict>
          <v:line style="position:absolute;mso-position-horizontal-relative:page;mso-position-vertical-relative:page;z-index:-4696" from="75.900002pt,226.229996pt" to="383.100002pt,226.229996pt" stroked="true" strokeweight="1.5pt" strokecolor="#000000">
            <v:stroke dashstyle="solid"/>
            <w10:wrap type="none"/>
          </v:line>
        </w:pict>
      </w:r>
      <w:r>
        <w:rPr/>
        <w:pict>
          <v:group style="position:absolute;margin-left:390.899994pt;margin-top:230.400299pt;width:140.7pt;height:11.35pt;mso-position-horizontal-relative:page;mso-position-vertical-relative:page;z-index:-4672" coordorigin="7818,4608" coordsize="2814,227">
            <v:line style="position:absolute" from="7818,4820" to="10632,4820" stroked="true" strokeweight="1.5pt" strokecolor="#000000">
              <v:stroke dashstyle="solid"/>
            </v:line>
            <v:line style="position:absolute" from="10368,4752" to="10368,4708" stroked="true" strokeweight="1pt" strokecolor="#000000">
              <v:stroke dashstyle="solid"/>
            </v:line>
            <v:shape style="position:absolute;left:10308;top:4608;width:120;height:120" coordorigin="10308,4608" coordsize="120,120" path="m10368,4608l10308,4728,10428,4728,10368,4608xe" filled="true" fillcolor="#000000" stroked="false">
              <v:path arrowok="t"/>
              <v:fill type="solid"/>
            </v:shape>
            <v:line style="position:absolute" from="8064,4752" to="8064,4708" stroked="true" strokeweight="1pt" strokecolor="#000000">
              <v:stroke dashstyle="solid"/>
            </v:line>
            <v:shape style="position:absolute;left:8004;top:4608;width:120;height:120" coordorigin="8004,4608" coordsize="120,120" path="m8064,4608l8004,4728,8124,4728,8064,4608xe" filled="true" fillcolor="#000000" stroked="false">
              <v:path arrowok="t"/>
              <v:fill type="solid"/>
            </v:shape>
            <w10:wrap type="none"/>
          </v:group>
        </w:pict>
      </w:r>
    </w:p>
    <w:p>
      <w:pPr>
        <w:pStyle w:val="BodyText"/>
        <w:spacing w:before="92"/>
        <w:ind w:left="120" w:right="141" w:firstLine="720"/>
      </w:pPr>
      <w:r>
        <w:rPr/>
        <w:t>PETER A. WEIR</w:t>
      </w:r>
      <w:r>
        <w:rPr>
          <w:rFonts w:ascii="Times New Roman"/>
          <w:sz w:val="20"/>
        </w:rPr>
        <w:t>, </w:t>
      </w:r>
      <w:r>
        <w:rPr/>
        <w:t>District Attorney in and for the First Judicial District, State of Colorado, respectfully requests this Honorable Court to determine the competency of the child witness who will be under ten years of age at the time of trial. As grounds, the People state:</w:t>
      </w:r>
    </w:p>
    <w:p>
      <w:pPr>
        <w:pStyle w:val="BodyText"/>
      </w:pPr>
    </w:p>
    <w:p>
      <w:pPr>
        <w:pStyle w:val="ListParagraph"/>
        <w:numPr>
          <w:ilvl w:val="0"/>
          <w:numId w:val="1"/>
        </w:numPr>
        <w:tabs>
          <w:tab w:pos="840" w:val="left" w:leader="none"/>
        </w:tabs>
        <w:spacing w:line="240" w:lineRule="auto" w:before="0" w:after="0"/>
        <w:ind w:left="840" w:right="118" w:hanging="360"/>
        <w:jc w:val="left"/>
        <w:rPr>
          <w:sz w:val="24"/>
        </w:rPr>
      </w:pPr>
      <w:r>
        <w:rPr>
          <w:sz w:val="24"/>
        </w:rPr>
        <w:t>The defendant is charged in this criminal prosecution with one count of First Degree Murder. On April 28, 2016, the defendant ambushed his wife, Molly Nickal, while she was on the toilet and he shot her twice with a shotgun. The defendant first shot his wife from the front as she sat on the toilet and inflicted a shotgun wound to her left neck area. The defendant then took a second shot as Molly Nickal lay face down on the bathroom floor. This second shot was a fatal gunshot wound due to the shotgun blast to the top right portion of the back of her head. This fatal shot was a contact or near-contact wound. To compound the tragedy of this intentional murder and the egregiousness of the defendant’s actions, all three of the defendant’s and Molly Nickal’s minor children were in the home at the time of the</w:t>
      </w:r>
      <w:r>
        <w:rPr>
          <w:spacing w:val="-1"/>
          <w:sz w:val="24"/>
        </w:rPr>
        <w:t> </w:t>
      </w:r>
      <w:r>
        <w:rPr>
          <w:sz w:val="24"/>
        </w:rPr>
        <w:t>murder.</w:t>
      </w:r>
    </w:p>
    <w:p>
      <w:pPr>
        <w:pStyle w:val="BodyText"/>
        <w:spacing w:before="1"/>
      </w:pPr>
    </w:p>
    <w:p>
      <w:pPr>
        <w:pStyle w:val="ListParagraph"/>
        <w:numPr>
          <w:ilvl w:val="0"/>
          <w:numId w:val="1"/>
        </w:numPr>
        <w:tabs>
          <w:tab w:pos="840" w:val="left" w:leader="none"/>
        </w:tabs>
        <w:spacing w:line="240" w:lineRule="auto" w:before="0" w:after="0"/>
        <w:ind w:left="840" w:right="520" w:hanging="360"/>
        <w:jc w:val="left"/>
        <w:rPr>
          <w:sz w:val="24"/>
        </w:rPr>
      </w:pPr>
      <w:r>
        <w:rPr>
          <w:sz w:val="24"/>
        </w:rPr>
        <w:t>The People intend to call the two minor daughters of the defendant and</w:t>
      </w:r>
      <w:r>
        <w:rPr>
          <w:spacing w:val="-37"/>
          <w:sz w:val="24"/>
        </w:rPr>
        <w:t> </w:t>
      </w:r>
      <w:r>
        <w:rPr>
          <w:sz w:val="24"/>
        </w:rPr>
        <w:t>Molly Nickal, Alexandra Nickal and Kameryn Nickal at the trial currently set to commence with jury selection on October 5,</w:t>
      </w:r>
      <w:r>
        <w:rPr>
          <w:spacing w:val="-4"/>
          <w:sz w:val="24"/>
        </w:rPr>
        <w:t> </w:t>
      </w:r>
      <w:r>
        <w:rPr>
          <w:sz w:val="24"/>
        </w:rPr>
        <w:t>2017.</w:t>
      </w:r>
    </w:p>
    <w:p>
      <w:pPr>
        <w:pStyle w:val="BodyText"/>
      </w:pPr>
    </w:p>
    <w:p>
      <w:pPr>
        <w:pStyle w:val="ListParagraph"/>
        <w:numPr>
          <w:ilvl w:val="0"/>
          <w:numId w:val="1"/>
        </w:numPr>
        <w:tabs>
          <w:tab w:pos="840" w:val="left" w:leader="none"/>
        </w:tabs>
        <w:spacing w:line="240" w:lineRule="auto" w:before="0" w:after="0"/>
        <w:ind w:left="840" w:right="815" w:hanging="360"/>
        <w:jc w:val="left"/>
        <w:rPr>
          <w:sz w:val="24"/>
        </w:rPr>
      </w:pPr>
      <w:r>
        <w:rPr>
          <w:sz w:val="24"/>
        </w:rPr>
        <w:t>Alexandra Nickal will be ten years old at the time of trial. She was born</w:t>
      </w:r>
      <w:r>
        <w:rPr>
          <w:spacing w:val="-33"/>
          <w:sz w:val="24"/>
        </w:rPr>
        <w:t> </w:t>
      </w:r>
      <w:r>
        <w:rPr>
          <w:sz w:val="24"/>
        </w:rPr>
        <w:t>on August 31, 2007. As she will be ten years old at the time of trial, she</w:t>
      </w:r>
      <w:r>
        <w:rPr>
          <w:spacing w:val="-19"/>
          <w:sz w:val="24"/>
        </w:rPr>
        <w:t> </w:t>
      </w:r>
      <w:r>
        <w:rPr>
          <w:sz w:val="24"/>
        </w:rPr>
        <w:t>is</w:t>
      </w:r>
    </w:p>
    <w:p>
      <w:pPr>
        <w:spacing w:after="0" w:line="240" w:lineRule="auto"/>
        <w:jc w:val="left"/>
        <w:rPr>
          <w:sz w:val="24"/>
        </w:rPr>
        <w:sectPr>
          <w:footerReference w:type="default" r:id="rId5"/>
          <w:type w:val="continuous"/>
          <w:pgSz w:w="12240" w:h="15840"/>
          <w:pgMar w:footer="975" w:top="1440" w:bottom="1160" w:left="1320" w:right="1380"/>
          <w:pgNumType w:start="1"/>
        </w:sectPr>
      </w:pPr>
    </w:p>
    <w:p>
      <w:pPr>
        <w:pStyle w:val="BodyText"/>
        <w:spacing w:before="77"/>
        <w:ind w:left="840" w:right="528"/>
      </w:pPr>
      <w:r>
        <w:rPr/>
        <w:t>presumed competent and the Court need not make a determination as to her competency to testify due to the presumption of competency.</w:t>
      </w:r>
    </w:p>
    <w:p>
      <w:pPr>
        <w:pStyle w:val="BodyText"/>
        <w:spacing w:before="11"/>
        <w:rPr>
          <w:sz w:val="23"/>
        </w:rPr>
      </w:pPr>
    </w:p>
    <w:p>
      <w:pPr>
        <w:pStyle w:val="ListParagraph"/>
        <w:numPr>
          <w:ilvl w:val="1"/>
          <w:numId w:val="1"/>
        </w:numPr>
        <w:tabs>
          <w:tab w:pos="1560" w:val="left" w:leader="none"/>
        </w:tabs>
        <w:spacing w:line="240" w:lineRule="auto" w:before="0" w:after="0"/>
        <w:ind w:left="1560" w:right="105" w:hanging="360"/>
        <w:jc w:val="left"/>
        <w:rPr>
          <w:i/>
          <w:sz w:val="24"/>
        </w:rPr>
      </w:pPr>
      <w:r>
        <w:rPr>
          <w:sz w:val="24"/>
        </w:rPr>
        <w:t>A witness (who is at least ten years old) is generally presumed competent to testify, and the defendant carries the burden to prove otherwise.</w:t>
      </w:r>
      <w:r>
        <w:rPr>
          <w:spacing w:val="-32"/>
          <w:sz w:val="24"/>
        </w:rPr>
        <w:t> </w:t>
      </w:r>
      <w:r>
        <w:rPr>
          <w:i/>
          <w:sz w:val="24"/>
        </w:rPr>
        <w:t>People</w:t>
      </w:r>
    </w:p>
    <w:p>
      <w:pPr>
        <w:spacing w:before="0"/>
        <w:ind w:left="1560" w:right="141" w:firstLine="0"/>
        <w:jc w:val="left"/>
        <w:rPr>
          <w:sz w:val="24"/>
        </w:rPr>
      </w:pPr>
      <w:r>
        <w:rPr>
          <w:i/>
          <w:sz w:val="24"/>
        </w:rPr>
        <w:t>v. Gillispie</w:t>
      </w:r>
      <w:r>
        <w:rPr>
          <w:sz w:val="24"/>
        </w:rPr>
        <w:t>, 767 P.2d 778 (Colo. App. 1988), </w:t>
      </w:r>
      <w:r>
        <w:rPr>
          <w:i/>
          <w:sz w:val="24"/>
        </w:rPr>
        <w:t>citing People v. Galloway</w:t>
      </w:r>
      <w:r>
        <w:rPr>
          <w:sz w:val="24"/>
        </w:rPr>
        <w:t>, 677 P.2d 1380 (Colo.App.1983).</w:t>
      </w:r>
    </w:p>
    <w:p>
      <w:pPr>
        <w:pStyle w:val="BodyText"/>
      </w:pPr>
    </w:p>
    <w:p>
      <w:pPr>
        <w:pStyle w:val="ListParagraph"/>
        <w:numPr>
          <w:ilvl w:val="0"/>
          <w:numId w:val="1"/>
        </w:numPr>
        <w:tabs>
          <w:tab w:pos="840" w:val="left" w:leader="none"/>
        </w:tabs>
        <w:spacing w:line="240" w:lineRule="auto" w:before="0" w:after="0"/>
        <w:ind w:left="840" w:right="241" w:hanging="360"/>
        <w:jc w:val="left"/>
        <w:rPr>
          <w:sz w:val="24"/>
        </w:rPr>
      </w:pPr>
      <w:r>
        <w:rPr>
          <w:sz w:val="24"/>
        </w:rPr>
        <w:t>Kameryn Nickal, however, is under the age of ten. She was born on August 28, 2008 and will be nine years old at the time of</w:t>
      </w:r>
      <w:r>
        <w:rPr>
          <w:spacing w:val="-3"/>
          <w:sz w:val="24"/>
        </w:rPr>
        <w:t> </w:t>
      </w:r>
      <w:r>
        <w:rPr>
          <w:sz w:val="24"/>
        </w:rPr>
        <w:t>trial.</w:t>
      </w:r>
    </w:p>
    <w:p>
      <w:pPr>
        <w:pStyle w:val="BodyText"/>
      </w:pPr>
    </w:p>
    <w:p>
      <w:pPr>
        <w:pStyle w:val="ListParagraph"/>
        <w:numPr>
          <w:ilvl w:val="0"/>
          <w:numId w:val="1"/>
        </w:numPr>
        <w:tabs>
          <w:tab w:pos="840" w:val="left" w:leader="none"/>
        </w:tabs>
        <w:spacing w:line="240" w:lineRule="auto" w:before="0" w:after="0"/>
        <w:ind w:left="840" w:right="319" w:hanging="360"/>
        <w:jc w:val="left"/>
        <w:rPr>
          <w:sz w:val="24"/>
        </w:rPr>
      </w:pPr>
      <w:r>
        <w:rPr>
          <w:sz w:val="24"/>
        </w:rPr>
        <w:t>Pursuant to §13-90-106(1)(b)(I), C.R.S., children under ten years of age are incompetent to testify in a criminal proceeding if they are incapable of receiving just impressions of facts or of relating those facts truly. Thus, if a child, even under ten years of age, is capable of receiving just impressions of facts and is able to relay those facts truly, the child is competent to</w:t>
      </w:r>
      <w:r>
        <w:rPr>
          <w:spacing w:val="-9"/>
          <w:sz w:val="24"/>
        </w:rPr>
        <w:t> </w:t>
      </w:r>
      <w:r>
        <w:rPr>
          <w:sz w:val="24"/>
        </w:rPr>
        <w:t>testify.</w:t>
      </w:r>
    </w:p>
    <w:p>
      <w:pPr>
        <w:pStyle w:val="BodyText"/>
      </w:pPr>
    </w:p>
    <w:p>
      <w:pPr>
        <w:pStyle w:val="ListParagraph"/>
        <w:numPr>
          <w:ilvl w:val="0"/>
          <w:numId w:val="1"/>
        </w:numPr>
        <w:tabs>
          <w:tab w:pos="840" w:val="left" w:leader="none"/>
        </w:tabs>
        <w:spacing w:line="240" w:lineRule="auto" w:before="0" w:after="0"/>
        <w:ind w:left="840" w:right="399" w:hanging="360"/>
        <w:jc w:val="left"/>
        <w:rPr>
          <w:sz w:val="24"/>
        </w:rPr>
      </w:pPr>
      <w:r>
        <w:rPr>
          <w:sz w:val="24"/>
        </w:rPr>
        <w:t>It is the People’s belief that Kameryn Nickal is capable of receiving just impressions of facts and capable of thereafter relaying those facts truly. Therefore, the People assert, and ask this Honorable Court find, that Kameryn Nickal is competent to</w:t>
      </w:r>
      <w:r>
        <w:rPr>
          <w:spacing w:val="-1"/>
          <w:sz w:val="24"/>
        </w:rPr>
        <w:t> </w:t>
      </w:r>
      <w:r>
        <w:rPr>
          <w:sz w:val="24"/>
        </w:rPr>
        <w:t>testify.</w:t>
      </w:r>
    </w:p>
    <w:p>
      <w:pPr>
        <w:pStyle w:val="BodyText"/>
      </w:pPr>
    </w:p>
    <w:p>
      <w:pPr>
        <w:pStyle w:val="ListParagraph"/>
        <w:numPr>
          <w:ilvl w:val="0"/>
          <w:numId w:val="1"/>
        </w:numPr>
        <w:tabs>
          <w:tab w:pos="840" w:val="left" w:leader="none"/>
        </w:tabs>
        <w:spacing w:line="240" w:lineRule="auto" w:before="1" w:after="0"/>
        <w:ind w:left="840" w:right="107" w:hanging="360"/>
        <w:jc w:val="left"/>
        <w:rPr>
          <w:sz w:val="24"/>
        </w:rPr>
      </w:pPr>
      <w:r>
        <w:rPr>
          <w:sz w:val="24"/>
        </w:rPr>
        <w:t>The competency of a child under ten years of age is addressed to the trial</w:t>
      </w:r>
      <w:r>
        <w:rPr>
          <w:spacing w:val="-34"/>
          <w:sz w:val="24"/>
        </w:rPr>
        <w:t> </w:t>
      </w:r>
      <w:r>
        <w:rPr>
          <w:sz w:val="24"/>
        </w:rPr>
        <w:t>court’s discretion. </w:t>
      </w:r>
      <w:r>
        <w:rPr>
          <w:i/>
          <w:sz w:val="24"/>
        </w:rPr>
        <w:t>People v. District Court</w:t>
      </w:r>
      <w:r>
        <w:rPr>
          <w:sz w:val="24"/>
        </w:rPr>
        <w:t>, 791 P.2d 862 (Colo. 1990); </w:t>
      </w:r>
      <w:r>
        <w:rPr>
          <w:i/>
          <w:sz w:val="24"/>
        </w:rPr>
        <w:t>People v. Hise</w:t>
      </w:r>
      <w:r>
        <w:rPr>
          <w:sz w:val="24"/>
        </w:rPr>
        <w:t>, 738 P.2d 13 (Colo. App.</w:t>
      </w:r>
      <w:r>
        <w:rPr>
          <w:spacing w:val="1"/>
          <w:sz w:val="24"/>
        </w:rPr>
        <w:t> </w:t>
      </w:r>
      <w:r>
        <w:rPr>
          <w:sz w:val="24"/>
        </w:rPr>
        <w:t>1986).</w:t>
      </w:r>
    </w:p>
    <w:p>
      <w:pPr>
        <w:pStyle w:val="BodyText"/>
        <w:spacing w:before="10"/>
        <w:rPr>
          <w:sz w:val="23"/>
        </w:rPr>
      </w:pPr>
    </w:p>
    <w:p>
      <w:pPr>
        <w:pStyle w:val="BodyText"/>
        <w:ind w:left="120" w:right="141" w:firstLine="720"/>
      </w:pPr>
      <w:r>
        <w:rPr/>
        <w:t>Wherefore, the People request this Honorable Court determine the competency of the child witness, Kameryn Nickal.</w:t>
      </w:r>
    </w:p>
    <w:p>
      <w:pPr>
        <w:pStyle w:val="BodyText"/>
        <w:spacing w:before="2"/>
      </w:pPr>
    </w:p>
    <w:p>
      <w:pPr>
        <w:pStyle w:val="BodyText"/>
        <w:spacing w:line="550" w:lineRule="atLeast"/>
        <w:ind w:left="119" w:right="6919"/>
      </w:pPr>
      <w:r>
        <w:rPr/>
        <w:drawing>
          <wp:anchor distT="0" distB="0" distL="0" distR="0" allowOverlap="1" layoutInCell="1" locked="0" behindDoc="1" simplePos="0" relativeHeight="268430807">
            <wp:simplePos x="0" y="0"/>
            <wp:positionH relativeFrom="page">
              <wp:posOffset>1208928</wp:posOffset>
            </wp:positionH>
            <wp:positionV relativeFrom="paragraph">
              <wp:posOffset>653679</wp:posOffset>
            </wp:positionV>
            <wp:extent cx="2989158" cy="1426743"/>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989158" cy="1426743"/>
                    </a:xfrm>
                    <a:prstGeom prst="rect">
                      <a:avLst/>
                    </a:prstGeom>
                  </pic:spPr>
                </pic:pic>
              </a:graphicData>
            </a:graphic>
          </wp:anchor>
        </w:drawing>
      </w:r>
      <w:r>
        <w:rPr/>
        <w:t>Respectfully submitted,</w:t>
      </w:r>
      <w:bookmarkStart w:name="PETER A. WEIR" w:id="1"/>
      <w:bookmarkEnd w:id="1"/>
      <w:r>
        <w:rPr/>
      </w:r>
      <w:bookmarkStart w:name="District Attorney" w:id="2"/>
      <w:bookmarkEnd w:id="2"/>
      <w:r>
        <w:rPr/>
      </w:r>
      <w:r>
        <w:rPr/>
        <w:t> PETER A. WEIR</w:t>
      </w:r>
    </w:p>
    <w:p>
      <w:pPr>
        <w:pStyle w:val="BodyText"/>
        <w:spacing w:before="2"/>
        <w:ind w:left="119"/>
      </w:pPr>
      <w:r>
        <w:rPr/>
        <w:t>District Attorney</w:t>
      </w:r>
    </w:p>
    <w:p>
      <w:pPr>
        <w:pStyle w:val="BodyText"/>
        <w:rPr>
          <w:sz w:val="26"/>
        </w:rPr>
      </w:pPr>
    </w:p>
    <w:p>
      <w:pPr>
        <w:pStyle w:val="BodyText"/>
        <w:rPr>
          <w:sz w:val="26"/>
        </w:rPr>
      </w:pPr>
    </w:p>
    <w:p>
      <w:pPr>
        <w:pStyle w:val="BodyText"/>
        <w:tabs>
          <w:tab w:pos="4670" w:val="left" w:leader="none"/>
        </w:tabs>
        <w:spacing w:before="230"/>
        <w:ind w:left="840" w:right="4867" w:hanging="720"/>
      </w:pPr>
      <w:r>
        <w:rPr/>
        <w:t>By:</w:t>
      </w:r>
      <w:r>
        <w:rPr>
          <w:u w:val="single"/>
        </w:rPr>
        <w:tab/>
        <w:tab/>
      </w:r>
      <w:r>
        <w:rPr/>
        <w:t> Christian</w:t>
      </w:r>
      <w:r>
        <w:rPr>
          <w:spacing w:val="-1"/>
        </w:rPr>
        <w:t> </w:t>
      </w:r>
      <w:r>
        <w:rPr/>
        <w:t>Gardner-Wood</w:t>
      </w:r>
    </w:p>
    <w:p>
      <w:pPr>
        <w:pStyle w:val="BodyText"/>
        <w:ind w:left="840" w:right="6159"/>
      </w:pPr>
      <w:r>
        <w:rPr/>
        <w:t>Deputy District Attorney Reg. No. 38889</w:t>
      </w:r>
    </w:p>
    <w:p>
      <w:pPr>
        <w:spacing w:after="0"/>
        <w:sectPr>
          <w:pgSz w:w="12240" w:h="15840"/>
          <w:pgMar w:header="0" w:footer="975" w:top="1360" w:bottom="1160" w:left="1320" w:right="1380"/>
        </w:sectPr>
      </w:pPr>
    </w:p>
    <w:p>
      <w:pPr>
        <w:pStyle w:val="BodyText"/>
        <w:spacing w:before="6"/>
        <w:rPr>
          <w:sz w:val="10"/>
        </w:rPr>
      </w:pPr>
      <w:r>
        <w:rPr/>
        <w:pict>
          <v:group style="position:absolute;margin-left:360pt;margin-top:229.960999pt;width:195.05pt;height:93.15pt;mso-position-horizontal-relative:page;mso-position-vertical-relative:page;z-index:1120" coordorigin="7200,4599" coordsize="3901,1863">
            <v:line style="position:absolute" from="7200,5842" to="10669,5842" stroked="true" strokeweight=".756pt" strokecolor="#000000">
              <v:stroke dashstyle="solid"/>
            </v:line>
            <v:shape style="position:absolute;left:7200;top:4599;width:3901;height:1863" type="#_x0000_t75" alt="þÿ" stroked="false">
              <v:imagedata r:id="rId8" o:title=""/>
            </v:shape>
            <w10:wrap type="none"/>
          </v:group>
        </w:pict>
      </w:r>
    </w:p>
    <w:p>
      <w:pPr>
        <w:spacing w:before="93"/>
        <w:ind w:left="3245" w:right="3188" w:firstLine="0"/>
        <w:jc w:val="center"/>
        <w:rPr>
          <w:b/>
          <w:sz w:val="24"/>
        </w:rPr>
      </w:pPr>
      <w:r>
        <w:rPr>
          <w:b/>
          <w:sz w:val="24"/>
          <w:u w:val="thick"/>
        </w:rPr>
        <w:t>CERTIFICATE OF MAILING</w:t>
      </w:r>
    </w:p>
    <w:p>
      <w:pPr>
        <w:pStyle w:val="BodyText"/>
        <w:spacing w:before="10"/>
        <w:rPr>
          <w:b/>
          <w:sz w:val="15"/>
        </w:rPr>
      </w:pPr>
    </w:p>
    <w:p>
      <w:pPr>
        <w:pStyle w:val="BodyText"/>
        <w:spacing w:before="92"/>
        <w:ind w:left="120" w:right="141" w:firstLine="720"/>
      </w:pPr>
      <w:r>
        <w:rPr/>
        <w:t>I hereby certify that a true and correct copy of the foregoing MOTION TO DETERMINE COMPETENCY OF CHILD WITNESS (P-4) was electronically served through Colorado Courts E-Filing on July 21, 2017, properly addressed to the following:</w:t>
      </w:r>
    </w:p>
    <w:p>
      <w:pPr>
        <w:pStyle w:val="BodyText"/>
      </w:pPr>
    </w:p>
    <w:p>
      <w:pPr>
        <w:pStyle w:val="BodyText"/>
        <w:ind w:left="120" w:right="7383"/>
      </w:pPr>
      <w:r>
        <w:rPr/>
        <w:t>Patrick J. Mulligan Mulligan Breit,</w:t>
      </w:r>
      <w:r>
        <w:rPr>
          <w:spacing w:val="-11"/>
        </w:rPr>
        <w:t> </w:t>
      </w:r>
      <w:r>
        <w:rPr/>
        <w:t>LLC</w:t>
      </w:r>
    </w:p>
    <w:p>
      <w:pPr>
        <w:pStyle w:val="BodyText"/>
      </w:pPr>
    </w:p>
    <w:p>
      <w:pPr>
        <w:pStyle w:val="BodyText"/>
        <w:ind w:left="120"/>
      </w:pPr>
      <w:r>
        <w:rPr/>
        <w:t>Jennifer E.</w:t>
      </w:r>
      <w:r>
        <w:rPr>
          <w:spacing w:val="-10"/>
        </w:rPr>
        <w:t> </w:t>
      </w:r>
      <w:r>
        <w:rPr/>
        <w:t>Longtin</w:t>
      </w:r>
    </w:p>
    <w:p>
      <w:pPr>
        <w:pStyle w:val="BodyText"/>
        <w:ind w:left="120"/>
      </w:pPr>
      <w:r>
        <w:rPr/>
        <w:t>The Law Office of Jennifer E. Longtin, LLC</w:t>
      </w:r>
    </w:p>
    <w:sectPr>
      <w:pgSz w:w="12240" w:h="15840"/>
      <w:pgMar w:header="0" w:footer="975" w:top="1500" w:bottom="116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4720"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spacing w:val="-2"/>
        <w:w w:val="99"/>
        <w:sz w:val="24"/>
        <w:szCs w:val="24"/>
      </w:rPr>
    </w:lvl>
    <w:lvl w:ilvl="1">
      <w:start w:val="1"/>
      <w:numFmt w:val="lowerLetter"/>
      <w:lvlText w:val="%2."/>
      <w:lvlJc w:val="left"/>
      <w:pPr>
        <w:ind w:left="1560" w:hanging="360"/>
        <w:jc w:val="left"/>
      </w:pPr>
      <w:rPr>
        <w:rFonts w:hint="default" w:ascii="Arial" w:hAnsi="Arial" w:eastAsia="Arial" w:cs="Arial"/>
        <w:spacing w:val="-2"/>
        <w:w w:val="99"/>
        <w:sz w:val="24"/>
        <w:szCs w:val="24"/>
      </w:rPr>
    </w:lvl>
    <w:lvl w:ilvl="2">
      <w:start w:val="0"/>
      <w:numFmt w:val="bullet"/>
      <w:lvlText w:val="•"/>
      <w:lvlJc w:val="left"/>
      <w:pPr>
        <w:ind w:left="2446" w:hanging="360"/>
      </w:pPr>
      <w:rPr>
        <w:rFonts w:hint="default"/>
      </w:rPr>
    </w:lvl>
    <w:lvl w:ilvl="3">
      <w:start w:val="0"/>
      <w:numFmt w:val="bullet"/>
      <w:lvlText w:val="•"/>
      <w:lvlJc w:val="left"/>
      <w:pPr>
        <w:ind w:left="3333"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06" w:hanging="360"/>
      </w:pPr>
      <w:rPr>
        <w:rFonts w:hint="default"/>
      </w:rPr>
    </w:lvl>
    <w:lvl w:ilvl="6">
      <w:start w:val="0"/>
      <w:numFmt w:val="bullet"/>
      <w:lvlText w:val="•"/>
      <w:lvlJc w:val="left"/>
      <w:pPr>
        <w:ind w:left="5993" w:hanging="360"/>
      </w:pPr>
      <w:rPr>
        <w:rFonts w:hint="default"/>
      </w:rPr>
    </w:lvl>
    <w:lvl w:ilvl="7">
      <w:start w:val="0"/>
      <w:numFmt w:val="bullet"/>
      <w:lvlText w:val="•"/>
      <w:lvlJc w:val="left"/>
      <w:pPr>
        <w:ind w:left="6880" w:hanging="360"/>
      </w:pPr>
      <w:rPr>
        <w:rFonts w:hint="default"/>
      </w:rPr>
    </w:lvl>
    <w:lvl w:ilvl="8">
      <w:start w:val="0"/>
      <w:numFmt w:val="bullet"/>
      <w:lvlText w:val="•"/>
      <w:lvlJc w:val="left"/>
      <w:pPr>
        <w:ind w:left="776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840" w:right="105"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gardner@jeffco.u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2019-03-20T18:32:55Z</dcterms:created>
  <dcterms:modified xsi:type="dcterms:W3CDTF">2019-03-20T18:32:55Z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