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BodyText"/>
        <w:rPr>
          <w:sz w:val="20"/>
        </w:rPr>
      </w:pPr>
    </w:p>
    <w:p>
      <w:pPr>
        <w:pStyle w:val="BodyText"/>
        <w:spacing w:before="8"/>
        <w:rPr>
          <w:sz w:val="25"/>
        </w:rPr>
      </w:pPr>
    </w:p>
    <w:p>
      <w:pPr>
        <w:spacing w:line="225" w:lineRule="auto" w:before="103"/>
        <w:ind w:left="6510" w:right="3647" w:hanging="36"/>
        <w:jc w:val="center"/>
        <w:rPr>
          <w:sz w:val="20"/>
        </w:rPr>
      </w:pPr>
      <w:r>
        <w:rPr/>
        <w:pict>
          <v:line style="position:absolute;mso-position-horizontal-relative:page;mso-position-vertical-relative:paragraph;z-index:-1024;mso-wrap-distance-left:0;mso-wrap-distance-right:0" from="76.919998pt,31.225769pt" to="392.099998pt,31.225769pt" stroked="true" strokeweight=".72pt" strokecolor="#000000">
            <v:stroke dashstyle="solid"/>
            <w10:wrap type="topAndBottom"/>
          </v:line>
        </w:pict>
      </w:r>
      <w:r>
        <w:rPr/>
        <w:pict>
          <v:shape style="position:absolute;margin-left:407.032013pt;margin-top:19.24877pt;width:11.05pt;height:9.6pt;mso-position-horizontal-relative:page;mso-position-vertical-relative:paragraph;z-index:1048" coordorigin="8141,385" coordsize="221,192" path="m8198,385l8141,576,8361,539,8198,385xe" filled="true" fillcolor="#000000" stroked="false">
            <v:path arrowok="t"/>
            <v:fill type="solid"/>
            <w10:wrap type="none"/>
          </v:shape>
        </w:pict>
      </w:r>
      <w:r>
        <w:rPr/>
        <w:pict>
          <v:shape style="position:absolute;margin-left:543.990295pt;margin-top:19.832069pt;width:10.9pt;height:9.8pt;mso-position-horizontal-relative:page;mso-position-vertical-relative:paragraph;z-index:1072" coordorigin="10880,397" coordsize="218,196" path="m10924,397l10880,592,11097,539,10924,397xe" filled="true" fillcolor="#000000" stroked="false">
            <v:path arrowok="t"/>
            <v:fill type="solid"/>
            <w10:wrap type="none"/>
          </v:shape>
        </w:pict>
      </w:r>
      <w:r>
        <w:rPr/>
        <w:pict>
          <v:shapetype id="_x0000_t202" o:spt="202" coordsize="21600,21600" path="m,l,21600r21600,l21600,xe">
            <v:stroke joinstyle="miter"/>
            <v:path gradientshapeok="t" o:connecttype="rect"/>
          </v:shapetype>
          <v:shape style="position:absolute;margin-left:72.779999pt;margin-top:-48.874229pt;width:503.75pt;height:293.55pt;mso-position-horizontal-relative:page;mso-position-vertical-relative:paragraph;z-index:1096" type="#_x0000_t202" filled="false" stroked="false">
            <v:textbox inset="0,0,0,0">
              <w:txbxContent>
                <w:tbl>
                  <w:tblPr>
                    <w:tblW w:w="0" w:type="auto"/>
                    <w:jc w:val="lef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235"/>
                    <w:gridCol w:w="1225"/>
                    <w:gridCol w:w="3600"/>
                  </w:tblGrid>
                  <w:tr>
                    <w:trPr>
                      <w:trHeight w:val="230" w:hRule="atLeast"/>
                    </w:trPr>
                    <w:tc>
                      <w:tcPr>
                        <w:tcW w:w="5235" w:type="dxa"/>
                        <w:tcBorders>
                          <w:top w:val="single" w:sz="4" w:space="0" w:color="000000"/>
                          <w:left w:val="single" w:sz="4" w:space="0" w:color="000000"/>
                        </w:tcBorders>
                      </w:tcPr>
                      <w:p>
                        <w:pPr>
                          <w:pStyle w:val="TableParagraph"/>
                          <w:spacing w:line="210" w:lineRule="exact"/>
                          <w:ind w:left="107"/>
                          <w:rPr>
                            <w:sz w:val="20"/>
                          </w:rPr>
                        </w:pPr>
                        <w:r>
                          <w:rPr>
                            <w:sz w:val="20"/>
                          </w:rPr>
                          <w:t>DISTRICT COURT, DENVER COUNTY, COLORADO</w:t>
                        </w:r>
                      </w:p>
                    </w:tc>
                    <w:tc>
                      <w:tcPr>
                        <w:tcW w:w="1225" w:type="dxa"/>
                        <w:tcBorders>
                          <w:top w:val="single" w:sz="4" w:space="0" w:color="000000"/>
                          <w:right w:val="single" w:sz="4" w:space="0" w:color="000000"/>
                        </w:tcBorders>
                      </w:tcPr>
                      <w:p>
                        <w:pPr>
                          <w:pStyle w:val="TableParagraph"/>
                          <w:rPr>
                            <w:rFonts w:ascii="Times New Roman"/>
                            <w:sz w:val="16"/>
                          </w:rPr>
                        </w:pPr>
                      </w:p>
                    </w:tc>
                    <w:tc>
                      <w:tcPr>
                        <w:tcW w:w="3600" w:type="dxa"/>
                        <w:tcBorders>
                          <w:top w:val="single" w:sz="4" w:space="0" w:color="000000"/>
                          <w:left w:val="single" w:sz="4" w:space="0" w:color="000000"/>
                          <w:right w:val="single" w:sz="4" w:space="0" w:color="000000"/>
                        </w:tcBorders>
                      </w:tcPr>
                      <w:p>
                        <w:pPr>
                          <w:pStyle w:val="TableParagraph"/>
                          <w:rPr>
                            <w:rFonts w:ascii="Times New Roman"/>
                            <w:sz w:val="16"/>
                          </w:rPr>
                        </w:pPr>
                      </w:p>
                    </w:tc>
                  </w:tr>
                  <w:tr>
                    <w:trPr>
                      <w:trHeight w:val="230" w:hRule="atLeast"/>
                    </w:trPr>
                    <w:tc>
                      <w:tcPr>
                        <w:tcW w:w="5235" w:type="dxa"/>
                        <w:tcBorders>
                          <w:left w:val="single" w:sz="4" w:space="0" w:color="000000"/>
                        </w:tcBorders>
                      </w:tcPr>
                      <w:p>
                        <w:pPr>
                          <w:pStyle w:val="TableParagraph"/>
                          <w:spacing w:line="210" w:lineRule="exact"/>
                          <w:ind w:left="107"/>
                          <w:rPr>
                            <w:sz w:val="20"/>
                          </w:rPr>
                        </w:pPr>
                        <w:r>
                          <w:rPr>
                            <w:sz w:val="20"/>
                          </w:rPr>
                          <w:t>Court Address:</w:t>
                        </w:r>
                      </w:p>
                    </w:tc>
                    <w:tc>
                      <w:tcPr>
                        <w:tcW w:w="1225" w:type="dxa"/>
                        <w:tcBorders>
                          <w:right w:val="single" w:sz="4" w:space="0" w:color="000000"/>
                        </w:tcBorders>
                      </w:tcPr>
                      <w:p>
                        <w:pPr>
                          <w:pStyle w:val="TableParagraph"/>
                          <w:rPr>
                            <w:rFonts w:ascii="Times New Roman"/>
                            <w:sz w:val="16"/>
                          </w:rPr>
                        </w:pPr>
                      </w:p>
                    </w:tc>
                    <w:tc>
                      <w:tcPr>
                        <w:tcW w:w="3600" w:type="dxa"/>
                        <w:tcBorders>
                          <w:left w:val="single" w:sz="4" w:space="0" w:color="000000"/>
                          <w:right w:val="single" w:sz="4" w:space="0" w:color="000000"/>
                        </w:tcBorders>
                      </w:tcPr>
                      <w:p>
                        <w:pPr>
                          <w:pStyle w:val="TableParagraph"/>
                          <w:rPr>
                            <w:rFonts w:ascii="Times New Roman"/>
                            <w:sz w:val="16"/>
                          </w:rPr>
                        </w:pPr>
                      </w:p>
                    </w:tc>
                  </w:tr>
                  <w:tr>
                    <w:trPr>
                      <w:trHeight w:val="229" w:hRule="atLeast"/>
                    </w:trPr>
                    <w:tc>
                      <w:tcPr>
                        <w:tcW w:w="5235" w:type="dxa"/>
                        <w:tcBorders>
                          <w:left w:val="single" w:sz="4" w:space="0" w:color="000000"/>
                        </w:tcBorders>
                      </w:tcPr>
                      <w:p>
                        <w:pPr>
                          <w:pStyle w:val="TableParagraph"/>
                          <w:spacing w:line="210" w:lineRule="exact"/>
                          <w:ind w:left="107"/>
                          <w:rPr>
                            <w:sz w:val="20"/>
                          </w:rPr>
                        </w:pPr>
                        <w:r>
                          <w:rPr>
                            <w:sz w:val="20"/>
                          </w:rPr>
                          <w:t>Denver District Court</w:t>
                        </w:r>
                      </w:p>
                    </w:tc>
                    <w:tc>
                      <w:tcPr>
                        <w:tcW w:w="1225" w:type="dxa"/>
                        <w:tcBorders>
                          <w:right w:val="single" w:sz="4" w:space="0" w:color="000000"/>
                        </w:tcBorders>
                      </w:tcPr>
                      <w:p>
                        <w:pPr>
                          <w:pStyle w:val="TableParagraph"/>
                          <w:rPr>
                            <w:rFonts w:ascii="Times New Roman"/>
                            <w:sz w:val="16"/>
                          </w:rPr>
                        </w:pPr>
                      </w:p>
                    </w:tc>
                    <w:tc>
                      <w:tcPr>
                        <w:tcW w:w="3600" w:type="dxa"/>
                        <w:tcBorders>
                          <w:left w:val="single" w:sz="4" w:space="0" w:color="000000"/>
                          <w:right w:val="single" w:sz="4" w:space="0" w:color="000000"/>
                        </w:tcBorders>
                      </w:tcPr>
                      <w:p>
                        <w:pPr>
                          <w:pStyle w:val="TableParagraph"/>
                          <w:rPr>
                            <w:rFonts w:ascii="Times New Roman"/>
                            <w:sz w:val="16"/>
                          </w:rPr>
                        </w:pPr>
                      </w:p>
                    </w:tc>
                  </w:tr>
                  <w:tr>
                    <w:trPr>
                      <w:trHeight w:val="229" w:hRule="atLeast"/>
                    </w:trPr>
                    <w:tc>
                      <w:tcPr>
                        <w:tcW w:w="5235" w:type="dxa"/>
                        <w:tcBorders>
                          <w:left w:val="single" w:sz="4" w:space="0" w:color="000000"/>
                        </w:tcBorders>
                      </w:tcPr>
                      <w:p>
                        <w:pPr>
                          <w:pStyle w:val="TableParagraph"/>
                          <w:spacing w:line="210" w:lineRule="exact"/>
                          <w:ind w:left="107"/>
                          <w:rPr>
                            <w:sz w:val="20"/>
                          </w:rPr>
                        </w:pPr>
                        <w:r>
                          <w:rPr>
                            <w:sz w:val="20"/>
                          </w:rPr>
                          <w:t>1437 Bannock St., Room 256</w:t>
                        </w:r>
                      </w:p>
                    </w:tc>
                    <w:tc>
                      <w:tcPr>
                        <w:tcW w:w="1225" w:type="dxa"/>
                        <w:tcBorders>
                          <w:right w:val="single" w:sz="4" w:space="0" w:color="000000"/>
                        </w:tcBorders>
                      </w:tcPr>
                      <w:p>
                        <w:pPr>
                          <w:pStyle w:val="TableParagraph"/>
                          <w:rPr>
                            <w:rFonts w:ascii="Times New Roman"/>
                            <w:sz w:val="16"/>
                          </w:rPr>
                        </w:pPr>
                      </w:p>
                    </w:tc>
                    <w:tc>
                      <w:tcPr>
                        <w:tcW w:w="3600" w:type="dxa"/>
                        <w:tcBorders>
                          <w:left w:val="single" w:sz="4" w:space="0" w:color="000000"/>
                          <w:right w:val="single" w:sz="4" w:space="0" w:color="000000"/>
                        </w:tcBorders>
                      </w:tcPr>
                      <w:p>
                        <w:pPr>
                          <w:pStyle w:val="TableParagraph"/>
                          <w:rPr>
                            <w:rFonts w:ascii="Times New Roman"/>
                            <w:sz w:val="16"/>
                          </w:rPr>
                        </w:pPr>
                      </w:p>
                    </w:tc>
                  </w:tr>
                  <w:tr>
                    <w:trPr>
                      <w:trHeight w:val="366" w:hRule="atLeast"/>
                    </w:trPr>
                    <w:tc>
                      <w:tcPr>
                        <w:tcW w:w="5235" w:type="dxa"/>
                        <w:tcBorders>
                          <w:left w:val="single" w:sz="4" w:space="0" w:color="000000"/>
                        </w:tcBorders>
                      </w:tcPr>
                      <w:p>
                        <w:pPr>
                          <w:pStyle w:val="TableParagraph"/>
                          <w:spacing w:line="227" w:lineRule="exact"/>
                          <w:ind w:left="107"/>
                          <w:rPr>
                            <w:sz w:val="20"/>
                          </w:rPr>
                        </w:pPr>
                        <w:r>
                          <w:rPr>
                            <w:sz w:val="20"/>
                          </w:rPr>
                          <w:t>Denver, CO 80202</w:t>
                        </w:r>
                      </w:p>
                    </w:tc>
                    <w:tc>
                      <w:tcPr>
                        <w:tcW w:w="1225" w:type="dxa"/>
                        <w:tcBorders>
                          <w:right w:val="single" w:sz="4" w:space="0" w:color="000000"/>
                        </w:tcBorders>
                      </w:tcPr>
                      <w:p>
                        <w:pPr>
                          <w:pStyle w:val="TableParagraph"/>
                          <w:spacing w:line="207" w:lineRule="exact" w:before="139"/>
                          <w:ind w:right="77"/>
                          <w:jc w:val="right"/>
                          <w:rPr>
                            <w:rFonts w:ascii="Times New Roman"/>
                            <w:sz w:val="20"/>
                          </w:rPr>
                        </w:pPr>
                        <w:r>
                          <w:rPr>
                            <w:rFonts w:ascii="Times New Roman"/>
                            <w:color w:val="0000FF"/>
                            <w:sz w:val="20"/>
                          </w:rPr>
                          <w:t>DATE FI</w:t>
                        </w:r>
                      </w:p>
                    </w:tc>
                    <w:tc>
                      <w:tcPr>
                        <w:tcW w:w="3600" w:type="dxa"/>
                        <w:tcBorders>
                          <w:left w:val="single" w:sz="4" w:space="0" w:color="000000"/>
                          <w:right w:val="single" w:sz="4" w:space="0" w:color="000000"/>
                        </w:tcBorders>
                      </w:tcPr>
                      <w:p>
                        <w:pPr>
                          <w:pStyle w:val="TableParagraph"/>
                          <w:spacing w:line="207" w:lineRule="exact" w:before="139"/>
                          <w:ind w:left="34"/>
                          <w:rPr>
                            <w:rFonts w:ascii="Times New Roman"/>
                            <w:sz w:val="20"/>
                          </w:rPr>
                        </w:pPr>
                        <w:r>
                          <w:rPr>
                            <w:rFonts w:ascii="Times New Roman"/>
                            <w:color w:val="0000FF"/>
                            <w:sz w:val="20"/>
                          </w:rPr>
                          <w:t>ED: February 8, 2016 4:08 PM</w:t>
                        </w:r>
                      </w:p>
                    </w:tc>
                  </w:tr>
                  <w:tr>
                    <w:trPr>
                      <w:trHeight w:val="215" w:hRule="atLeast"/>
                    </w:trPr>
                    <w:tc>
                      <w:tcPr>
                        <w:tcW w:w="5235" w:type="dxa"/>
                        <w:tcBorders>
                          <w:left w:val="single" w:sz="4" w:space="0" w:color="000000"/>
                        </w:tcBorders>
                      </w:tcPr>
                      <w:p>
                        <w:pPr>
                          <w:pStyle w:val="TableParagraph"/>
                          <w:rPr>
                            <w:rFonts w:ascii="Times New Roman"/>
                            <w:sz w:val="14"/>
                          </w:rPr>
                        </w:pPr>
                      </w:p>
                    </w:tc>
                    <w:tc>
                      <w:tcPr>
                        <w:tcW w:w="1225" w:type="dxa"/>
                        <w:tcBorders>
                          <w:right w:val="single" w:sz="4" w:space="0" w:color="000000"/>
                        </w:tcBorders>
                      </w:tcPr>
                      <w:p>
                        <w:pPr>
                          <w:pStyle w:val="TableParagraph"/>
                          <w:spacing w:line="196" w:lineRule="exact"/>
                          <w:ind w:right="64"/>
                          <w:jc w:val="right"/>
                          <w:rPr>
                            <w:rFonts w:ascii="Times New Roman"/>
                            <w:sz w:val="20"/>
                          </w:rPr>
                        </w:pPr>
                        <w:r>
                          <w:rPr>
                            <w:rFonts w:ascii="Times New Roman"/>
                            <w:color w:val="0000FF"/>
                            <w:sz w:val="20"/>
                          </w:rPr>
                          <w:t>FILING I</w:t>
                        </w:r>
                      </w:p>
                    </w:tc>
                    <w:tc>
                      <w:tcPr>
                        <w:tcW w:w="3600" w:type="dxa"/>
                        <w:tcBorders>
                          <w:left w:val="single" w:sz="4" w:space="0" w:color="000000"/>
                          <w:right w:val="single" w:sz="4" w:space="0" w:color="000000"/>
                        </w:tcBorders>
                      </w:tcPr>
                      <w:p>
                        <w:pPr>
                          <w:pStyle w:val="TableParagraph"/>
                          <w:spacing w:line="196" w:lineRule="exact"/>
                          <w:ind w:left="69"/>
                          <w:rPr>
                            <w:rFonts w:ascii="Times New Roman"/>
                            <w:sz w:val="20"/>
                          </w:rPr>
                        </w:pPr>
                        <w:r>
                          <w:rPr>
                            <w:rFonts w:ascii="Times New Roman"/>
                            <w:color w:val="0000FF"/>
                            <w:sz w:val="20"/>
                          </w:rPr>
                          <w:t>: 51F78F906CED9</w:t>
                        </w:r>
                      </w:p>
                    </w:tc>
                  </w:tr>
                  <w:tr>
                    <w:trPr>
                      <w:trHeight w:val="448" w:hRule="atLeast"/>
                    </w:trPr>
                    <w:tc>
                      <w:tcPr>
                        <w:tcW w:w="5235" w:type="dxa"/>
                        <w:tcBorders>
                          <w:left w:val="single" w:sz="4" w:space="0" w:color="000000"/>
                        </w:tcBorders>
                      </w:tcPr>
                      <w:p>
                        <w:pPr>
                          <w:pStyle w:val="TableParagraph"/>
                          <w:spacing w:before="95"/>
                          <w:ind w:left="107"/>
                          <w:rPr>
                            <w:b/>
                            <w:sz w:val="20"/>
                          </w:rPr>
                        </w:pPr>
                        <w:r>
                          <w:rPr>
                            <w:b/>
                            <w:sz w:val="20"/>
                          </w:rPr>
                          <w:t>In The Matter of:</w:t>
                        </w:r>
                      </w:p>
                    </w:tc>
                    <w:tc>
                      <w:tcPr>
                        <w:tcW w:w="1225" w:type="dxa"/>
                        <w:tcBorders>
                          <w:right w:val="single" w:sz="4" w:space="0" w:color="000000"/>
                        </w:tcBorders>
                      </w:tcPr>
                      <w:p>
                        <w:pPr>
                          <w:pStyle w:val="TableParagraph"/>
                          <w:spacing w:line="219" w:lineRule="exact"/>
                          <w:ind w:right="-15"/>
                          <w:jc w:val="right"/>
                          <w:rPr>
                            <w:rFonts w:ascii="Times New Roman"/>
                            <w:sz w:val="20"/>
                          </w:rPr>
                        </w:pPr>
                        <w:r>
                          <w:rPr>
                            <w:rFonts w:ascii="Times New Roman"/>
                            <w:color w:val="0000FF"/>
                            <w:sz w:val="20"/>
                          </w:rPr>
                          <w:t>CASE NU</w:t>
                        </w:r>
                      </w:p>
                    </w:tc>
                    <w:tc>
                      <w:tcPr>
                        <w:tcW w:w="3600" w:type="dxa"/>
                        <w:tcBorders>
                          <w:left w:val="single" w:sz="4" w:space="0" w:color="000000"/>
                          <w:right w:val="single" w:sz="4" w:space="0" w:color="000000"/>
                        </w:tcBorders>
                      </w:tcPr>
                      <w:p>
                        <w:pPr>
                          <w:pStyle w:val="TableParagraph"/>
                          <w:spacing w:line="162" w:lineRule="exact"/>
                          <w:ind w:left="-1"/>
                          <w:rPr>
                            <w:rFonts w:ascii="Times New Roman"/>
                            <w:sz w:val="20"/>
                          </w:rPr>
                        </w:pPr>
                        <w:r>
                          <w:rPr>
                            <w:rFonts w:ascii="Times New Roman"/>
                            <w:color w:val="0000FF"/>
                            <w:sz w:val="20"/>
                          </w:rPr>
                          <w:t>MBER: 2015CV31709</w:t>
                        </w:r>
                      </w:p>
                      <w:p>
                        <w:pPr>
                          <w:pStyle w:val="TableParagraph"/>
                          <w:spacing w:line="174" w:lineRule="exact"/>
                          <w:ind w:left="905"/>
                          <w:rPr>
                            <w:b/>
                            <w:sz w:val="20"/>
                          </w:rPr>
                        </w:pPr>
                        <w:r>
                          <w:rPr>
                            <w:b/>
                            <w:sz w:val="20"/>
                          </w:rPr>
                          <w:t>COURT USE ONLY</w:t>
                        </w:r>
                      </w:p>
                    </w:tc>
                  </w:tr>
                  <w:tr>
                    <w:trPr>
                      <w:trHeight w:val="339" w:hRule="atLeast"/>
                    </w:trPr>
                    <w:tc>
                      <w:tcPr>
                        <w:tcW w:w="5235" w:type="dxa"/>
                        <w:tcBorders>
                          <w:left w:val="single" w:sz="4" w:space="0" w:color="000000"/>
                        </w:tcBorders>
                      </w:tcPr>
                      <w:p>
                        <w:pPr>
                          <w:pStyle w:val="TableParagraph"/>
                          <w:spacing w:line="213" w:lineRule="exact" w:before="106"/>
                          <w:ind w:left="107"/>
                          <w:rPr>
                            <w:b/>
                            <w:sz w:val="20"/>
                          </w:rPr>
                        </w:pPr>
                        <w:r>
                          <w:rPr>
                            <w:b/>
                            <w:sz w:val="20"/>
                          </w:rPr>
                          <w:t>ROBERT ABRAMS,</w:t>
                        </w:r>
                      </w:p>
                    </w:tc>
                    <w:tc>
                      <w:tcPr>
                        <w:tcW w:w="1225" w:type="dxa"/>
                        <w:tcBorders>
                          <w:right w:val="single" w:sz="4" w:space="0" w:color="000000"/>
                        </w:tcBorders>
                      </w:tcPr>
                      <w:p>
                        <w:pPr>
                          <w:pStyle w:val="TableParagraph"/>
                          <w:rPr>
                            <w:rFonts w:ascii="Times New Roman"/>
                            <w:sz w:val="22"/>
                          </w:rPr>
                        </w:pPr>
                      </w:p>
                    </w:tc>
                    <w:tc>
                      <w:tcPr>
                        <w:tcW w:w="3600" w:type="dxa"/>
                        <w:tcBorders>
                          <w:left w:val="single" w:sz="4" w:space="0" w:color="000000"/>
                          <w:right w:val="single" w:sz="4" w:space="0" w:color="000000"/>
                        </w:tcBorders>
                      </w:tcPr>
                      <w:p>
                        <w:pPr>
                          <w:pStyle w:val="TableParagraph"/>
                          <w:rPr>
                            <w:rFonts w:ascii="Times New Roman"/>
                            <w:sz w:val="22"/>
                          </w:rPr>
                        </w:pPr>
                      </w:p>
                    </w:tc>
                  </w:tr>
                  <w:tr>
                    <w:trPr>
                      <w:trHeight w:val="345" w:hRule="atLeast"/>
                    </w:trPr>
                    <w:tc>
                      <w:tcPr>
                        <w:tcW w:w="5235" w:type="dxa"/>
                        <w:tcBorders>
                          <w:left w:val="single" w:sz="4" w:space="0" w:color="000000"/>
                        </w:tcBorders>
                      </w:tcPr>
                      <w:p>
                        <w:pPr>
                          <w:pStyle w:val="TableParagraph"/>
                          <w:spacing w:line="227" w:lineRule="exact"/>
                          <w:ind w:left="107"/>
                          <w:rPr>
                            <w:b/>
                            <w:sz w:val="20"/>
                          </w:rPr>
                        </w:pPr>
                        <w:r>
                          <w:rPr>
                            <w:b/>
                            <w:sz w:val="20"/>
                          </w:rPr>
                          <w:t>Plaintiff</w:t>
                        </w:r>
                      </w:p>
                    </w:tc>
                    <w:tc>
                      <w:tcPr>
                        <w:tcW w:w="1225" w:type="dxa"/>
                        <w:tcBorders>
                          <w:right w:val="single" w:sz="4" w:space="0" w:color="000000"/>
                        </w:tcBorders>
                      </w:tcPr>
                      <w:p>
                        <w:pPr>
                          <w:pStyle w:val="TableParagraph"/>
                          <w:rPr>
                            <w:rFonts w:ascii="Times New Roman"/>
                            <w:sz w:val="22"/>
                          </w:rPr>
                        </w:pPr>
                      </w:p>
                    </w:tc>
                    <w:tc>
                      <w:tcPr>
                        <w:tcW w:w="3600" w:type="dxa"/>
                        <w:tcBorders>
                          <w:left w:val="single" w:sz="4" w:space="0" w:color="000000"/>
                          <w:right w:val="single" w:sz="4" w:space="0" w:color="000000"/>
                        </w:tcBorders>
                      </w:tcPr>
                      <w:p>
                        <w:pPr>
                          <w:pStyle w:val="TableParagraph"/>
                          <w:rPr>
                            <w:rFonts w:ascii="Times New Roman"/>
                            <w:sz w:val="22"/>
                          </w:rPr>
                        </w:pPr>
                      </w:p>
                    </w:tc>
                  </w:tr>
                  <w:tr>
                    <w:trPr>
                      <w:trHeight w:val="459" w:hRule="atLeast"/>
                    </w:trPr>
                    <w:tc>
                      <w:tcPr>
                        <w:tcW w:w="5235" w:type="dxa"/>
                        <w:tcBorders>
                          <w:left w:val="single" w:sz="4" w:space="0" w:color="000000"/>
                        </w:tcBorders>
                      </w:tcPr>
                      <w:p>
                        <w:pPr>
                          <w:pStyle w:val="TableParagraph"/>
                          <w:spacing w:before="111"/>
                          <w:ind w:left="107"/>
                          <w:rPr>
                            <w:b/>
                            <w:sz w:val="20"/>
                          </w:rPr>
                        </w:pPr>
                        <w:r>
                          <w:rPr>
                            <w:b/>
                            <w:sz w:val="20"/>
                          </w:rPr>
                          <w:t>Vs.</w:t>
                        </w:r>
                      </w:p>
                    </w:tc>
                    <w:tc>
                      <w:tcPr>
                        <w:tcW w:w="1225" w:type="dxa"/>
                        <w:tcBorders>
                          <w:right w:val="single" w:sz="4" w:space="0" w:color="000000"/>
                        </w:tcBorders>
                      </w:tcPr>
                      <w:p>
                        <w:pPr>
                          <w:pStyle w:val="TableParagraph"/>
                          <w:rPr>
                            <w:rFonts w:ascii="Times New Roman"/>
                            <w:sz w:val="22"/>
                          </w:rPr>
                        </w:pPr>
                      </w:p>
                    </w:tc>
                    <w:tc>
                      <w:tcPr>
                        <w:tcW w:w="3600" w:type="dxa"/>
                        <w:tcBorders>
                          <w:left w:val="single" w:sz="4" w:space="0" w:color="000000"/>
                          <w:right w:val="single" w:sz="4" w:space="0" w:color="000000"/>
                        </w:tcBorders>
                      </w:tcPr>
                      <w:p>
                        <w:pPr>
                          <w:pStyle w:val="TableParagraph"/>
                          <w:rPr>
                            <w:rFonts w:ascii="Times New Roman"/>
                            <w:sz w:val="22"/>
                          </w:rPr>
                        </w:pPr>
                      </w:p>
                    </w:tc>
                  </w:tr>
                  <w:tr>
                    <w:trPr>
                      <w:trHeight w:val="345" w:hRule="atLeast"/>
                    </w:trPr>
                    <w:tc>
                      <w:tcPr>
                        <w:tcW w:w="5235" w:type="dxa"/>
                        <w:tcBorders>
                          <w:left w:val="single" w:sz="4" w:space="0" w:color="000000"/>
                        </w:tcBorders>
                      </w:tcPr>
                      <w:p>
                        <w:pPr>
                          <w:pStyle w:val="TableParagraph"/>
                          <w:spacing w:line="213" w:lineRule="exact" w:before="111"/>
                          <w:ind w:left="107"/>
                          <w:rPr>
                            <w:b/>
                            <w:sz w:val="20"/>
                          </w:rPr>
                        </w:pPr>
                        <w:r>
                          <w:rPr>
                            <w:b/>
                            <w:sz w:val="20"/>
                          </w:rPr>
                          <w:t>SHAWN BEESON,</w:t>
                        </w:r>
                      </w:p>
                    </w:tc>
                    <w:tc>
                      <w:tcPr>
                        <w:tcW w:w="1225" w:type="dxa"/>
                        <w:tcBorders>
                          <w:right w:val="single" w:sz="4" w:space="0" w:color="000000"/>
                        </w:tcBorders>
                      </w:tcPr>
                      <w:p>
                        <w:pPr>
                          <w:pStyle w:val="TableParagraph"/>
                          <w:rPr>
                            <w:rFonts w:ascii="Times New Roman"/>
                            <w:sz w:val="22"/>
                          </w:rPr>
                        </w:pPr>
                      </w:p>
                    </w:tc>
                    <w:tc>
                      <w:tcPr>
                        <w:tcW w:w="3600" w:type="dxa"/>
                        <w:tcBorders>
                          <w:left w:val="single" w:sz="4" w:space="0" w:color="000000"/>
                          <w:right w:val="single" w:sz="4" w:space="0" w:color="000000"/>
                        </w:tcBorders>
                      </w:tcPr>
                      <w:p>
                        <w:pPr>
                          <w:pStyle w:val="TableParagraph"/>
                          <w:rPr>
                            <w:rFonts w:ascii="Times New Roman"/>
                            <w:sz w:val="22"/>
                          </w:rPr>
                        </w:pPr>
                      </w:p>
                    </w:tc>
                  </w:tr>
                  <w:tr>
                    <w:trPr>
                      <w:trHeight w:val="457" w:hRule="atLeast"/>
                    </w:trPr>
                    <w:tc>
                      <w:tcPr>
                        <w:tcW w:w="5235" w:type="dxa"/>
                        <w:tcBorders>
                          <w:left w:val="single" w:sz="4" w:space="0" w:color="000000"/>
                          <w:bottom w:val="single" w:sz="4" w:space="0" w:color="000000"/>
                        </w:tcBorders>
                      </w:tcPr>
                      <w:p>
                        <w:pPr>
                          <w:pStyle w:val="TableParagraph"/>
                          <w:spacing w:line="227" w:lineRule="exact"/>
                          <w:ind w:left="107"/>
                          <w:rPr>
                            <w:b/>
                            <w:sz w:val="20"/>
                          </w:rPr>
                        </w:pPr>
                        <w:r>
                          <w:rPr>
                            <w:b/>
                            <w:sz w:val="20"/>
                          </w:rPr>
                          <w:t>Defendant</w:t>
                        </w:r>
                      </w:p>
                    </w:tc>
                    <w:tc>
                      <w:tcPr>
                        <w:tcW w:w="1225" w:type="dxa"/>
                        <w:tcBorders>
                          <w:bottom w:val="single" w:sz="4" w:space="0" w:color="000000"/>
                          <w:right w:val="single" w:sz="4" w:space="0" w:color="000000"/>
                        </w:tcBorders>
                      </w:tcPr>
                      <w:p>
                        <w:pPr>
                          <w:pStyle w:val="TableParagraph"/>
                          <w:rPr>
                            <w:rFonts w:ascii="Times New Roman"/>
                            <w:sz w:val="22"/>
                          </w:rPr>
                        </w:pPr>
                      </w:p>
                    </w:tc>
                    <w:tc>
                      <w:tcPr>
                        <w:tcW w:w="3600" w:type="dxa"/>
                        <w:tcBorders>
                          <w:left w:val="single" w:sz="4" w:space="0" w:color="000000"/>
                          <w:bottom w:val="single" w:sz="4" w:space="0" w:color="000000"/>
                          <w:right w:val="single" w:sz="4" w:space="0" w:color="000000"/>
                        </w:tcBorders>
                      </w:tcPr>
                      <w:p>
                        <w:pPr>
                          <w:pStyle w:val="TableParagraph"/>
                          <w:rPr>
                            <w:rFonts w:ascii="Times New Roman"/>
                            <w:sz w:val="22"/>
                          </w:rPr>
                        </w:pPr>
                      </w:p>
                    </w:tc>
                  </w:tr>
                  <w:tr>
                    <w:trPr>
                      <w:trHeight w:val="1379" w:hRule="atLeast"/>
                    </w:trPr>
                    <w:tc>
                      <w:tcPr>
                        <w:tcW w:w="6460" w:type="dxa"/>
                        <w:gridSpan w:val="2"/>
                        <w:tcBorders>
                          <w:top w:val="single" w:sz="4" w:space="0" w:color="000000"/>
                          <w:left w:val="single" w:sz="4" w:space="0" w:color="000000"/>
                          <w:bottom w:val="single" w:sz="4" w:space="0" w:color="000000"/>
                          <w:right w:val="single" w:sz="4" w:space="0" w:color="000000"/>
                        </w:tcBorders>
                      </w:tcPr>
                      <w:p>
                        <w:pPr>
                          <w:pStyle w:val="TableParagraph"/>
                          <w:ind w:left="107" w:right="3166"/>
                          <w:rPr>
                            <w:sz w:val="20"/>
                          </w:rPr>
                        </w:pPr>
                        <w:r>
                          <w:rPr>
                            <w:sz w:val="20"/>
                          </w:rPr>
                          <w:t>Law Office of Michael P. Boyce, PC Michael Boyce</w:t>
                        </w:r>
                      </w:p>
                      <w:p>
                        <w:pPr>
                          <w:pStyle w:val="TableParagraph"/>
                          <w:ind w:left="107" w:right="2610"/>
                          <w:rPr>
                            <w:sz w:val="20"/>
                          </w:rPr>
                        </w:pPr>
                        <w:r>
                          <w:rPr>
                            <w:sz w:val="20"/>
                          </w:rPr>
                          <w:t>3773 Cherry Creek Drive North, Suite 575 Denver, CO 80209</w:t>
                        </w:r>
                      </w:p>
                      <w:p>
                        <w:pPr>
                          <w:pStyle w:val="TableParagraph"/>
                          <w:spacing w:line="230" w:lineRule="exact" w:before="1"/>
                          <w:ind w:left="107" w:right="539"/>
                          <w:rPr>
                            <w:sz w:val="20"/>
                          </w:rPr>
                        </w:pPr>
                        <w:r>
                          <w:rPr>
                            <w:sz w:val="20"/>
                          </w:rPr>
                          <w:t>Phone Number: 303.565.0360 E-mail: </w:t>
                        </w:r>
                        <w:hyperlink r:id="rId5">
                          <w:r>
                            <w:rPr>
                              <w:sz w:val="20"/>
                            </w:rPr>
                            <w:t>mike@boycelawoffice.com</w:t>
                          </w:r>
                        </w:hyperlink>
                        <w:r>
                          <w:rPr>
                            <w:sz w:val="20"/>
                          </w:rPr>
                          <w:t> FAX Number: 303.648.4849 Atty. Reg. #: 35729</w:t>
                        </w:r>
                      </w:p>
                    </w:tc>
                    <w:tc>
                      <w:tcPr>
                        <w:tcW w:w="3600" w:type="dxa"/>
                        <w:tcBorders>
                          <w:top w:val="single" w:sz="4" w:space="0" w:color="000000"/>
                          <w:left w:val="single" w:sz="4" w:space="0" w:color="000000"/>
                          <w:bottom w:val="single" w:sz="4" w:space="0" w:color="000000"/>
                          <w:right w:val="single" w:sz="4" w:space="0" w:color="000000"/>
                        </w:tcBorders>
                      </w:tcPr>
                      <w:p>
                        <w:pPr>
                          <w:pStyle w:val="TableParagraph"/>
                          <w:spacing w:line="228" w:lineRule="exact"/>
                          <w:ind w:left="107"/>
                          <w:rPr>
                            <w:sz w:val="20"/>
                          </w:rPr>
                        </w:pPr>
                        <w:r>
                          <w:rPr>
                            <w:sz w:val="20"/>
                          </w:rPr>
                          <w:t>Case Number: 15CV31709</w:t>
                        </w: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line="212" w:lineRule="exact" w:before="160"/>
                          <w:ind w:left="107"/>
                          <w:rPr>
                            <w:sz w:val="20"/>
                          </w:rPr>
                        </w:pPr>
                        <w:r>
                          <w:rPr>
                            <w:sz w:val="20"/>
                          </w:rPr>
                          <w:t>Division 409</w:t>
                        </w:r>
                      </w:p>
                    </w:tc>
                  </w:tr>
                  <w:tr>
                    <w:trPr>
                      <w:trHeight w:val="551" w:hRule="atLeast"/>
                    </w:trPr>
                    <w:tc>
                      <w:tcPr>
                        <w:tcW w:w="10060" w:type="dxa"/>
                        <w:gridSpan w:val="3"/>
                        <w:tcBorders>
                          <w:top w:val="single" w:sz="4" w:space="0" w:color="000000"/>
                          <w:left w:val="single" w:sz="4" w:space="0" w:color="000000"/>
                          <w:bottom w:val="single" w:sz="4" w:space="0" w:color="000000"/>
                          <w:right w:val="single" w:sz="4" w:space="0" w:color="000000"/>
                        </w:tcBorders>
                      </w:tcPr>
                      <w:p>
                        <w:pPr>
                          <w:pStyle w:val="TableParagraph"/>
                          <w:spacing w:line="276" w:lineRule="exact" w:before="2"/>
                          <w:ind w:left="4616" w:right="119" w:hanging="4467"/>
                          <w:rPr>
                            <w:rFonts w:ascii="Times New Roman" w:hAnsi="Times New Roman"/>
                            <w:b/>
                            <w:sz w:val="24"/>
                          </w:rPr>
                        </w:pPr>
                        <w:r>
                          <w:rPr>
                            <w:rFonts w:ascii="Times New Roman" w:hAnsi="Times New Roman"/>
                            <w:b/>
                            <w:sz w:val="24"/>
                          </w:rPr>
                          <w:t>DEFENDANT BEESON’S MOTION TO DISMISS PLAINTIFF’S BREACH OF CONTRACT CLAIM</w:t>
                        </w:r>
                      </w:p>
                    </w:tc>
                  </w:tr>
                </w:tbl>
                <w:p>
                  <w:pPr>
                    <w:pStyle w:val="BodyText"/>
                  </w:pPr>
                </w:p>
              </w:txbxContent>
            </v:textbox>
            <w10:wrap type="none"/>
          </v:shape>
        </w:pict>
      </w:r>
      <w:r>
        <w:rPr>
          <w:color w:val="0000FF"/>
          <w:sz w:val="20"/>
        </w:rPr>
        <w:t>L D</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8"/>
        <w:rPr>
          <w:sz w:val="17"/>
        </w:rPr>
      </w:pPr>
    </w:p>
    <w:p>
      <w:pPr>
        <w:pStyle w:val="BodyText"/>
        <w:ind w:left="120" w:firstLine="720"/>
      </w:pPr>
      <w:r>
        <w:rPr/>
        <w:t>SHAWN BEESON, through his attorney, Michael Boyce, of the La</w:t>
      </w:r>
      <w:bookmarkStart w:name="COURT USE ONLY" w:id="1"/>
      <w:bookmarkEnd w:id="1"/>
      <w:r>
        <w:rPr/>
        <w:t>w</w:t>
      </w:r>
      <w:r>
        <w:rPr/>
        <w:t> Office of Michael Boyce, P.C., hereby submits his Motion to Dismiss Plaintiff’s Breach of Contract Claim and states as follows:</w:t>
      </w:r>
    </w:p>
    <w:p>
      <w:pPr>
        <w:pStyle w:val="BodyText"/>
      </w:pPr>
    </w:p>
    <w:p>
      <w:pPr>
        <w:pStyle w:val="BodyText"/>
        <w:ind w:left="120"/>
      </w:pPr>
      <w:r>
        <w:rPr/>
        <w:t>CERTIFICATION: C.R.C.P 121 </w:t>
      </w:r>
      <w:r>
        <w:rPr>
          <w:rFonts w:ascii="Arial" w:hAnsi="Arial"/>
          <w:b/>
        </w:rPr>
        <w:t>§ </w:t>
      </w:r>
      <w:r>
        <w:rPr/>
        <w:t>1-15(8): The undersigned states he has conferred with counsel for Plaintiff who objects to the relief requested herein.</w:t>
      </w:r>
    </w:p>
    <w:p>
      <w:pPr>
        <w:pStyle w:val="BodyText"/>
        <w:rPr>
          <w:sz w:val="26"/>
        </w:rPr>
      </w:pPr>
    </w:p>
    <w:p>
      <w:pPr>
        <w:pStyle w:val="BodyText"/>
        <w:spacing w:before="2"/>
        <w:rPr>
          <w:sz w:val="22"/>
        </w:rPr>
      </w:pPr>
    </w:p>
    <w:p>
      <w:pPr>
        <w:spacing w:before="0"/>
        <w:ind w:left="165" w:right="165" w:firstLine="0"/>
        <w:jc w:val="center"/>
        <w:rPr>
          <w:b/>
          <w:sz w:val="24"/>
        </w:rPr>
      </w:pPr>
      <w:r>
        <w:rPr>
          <w:b/>
          <w:sz w:val="24"/>
          <w:u w:val="thick"/>
        </w:rPr>
        <w:t>RELEVANT FACTS</w:t>
      </w:r>
    </w:p>
    <w:p>
      <w:pPr>
        <w:pStyle w:val="BodyText"/>
        <w:rPr>
          <w:b/>
          <w:sz w:val="16"/>
        </w:rPr>
      </w:pPr>
    </w:p>
    <w:p>
      <w:pPr>
        <w:pStyle w:val="ListParagraph"/>
        <w:numPr>
          <w:ilvl w:val="0"/>
          <w:numId w:val="1"/>
        </w:numPr>
        <w:tabs>
          <w:tab w:pos="840" w:val="left" w:leader="none"/>
        </w:tabs>
        <w:spacing w:line="240" w:lineRule="auto" w:before="90" w:after="0"/>
        <w:ind w:left="840" w:right="118" w:hanging="360"/>
        <w:jc w:val="both"/>
        <w:rPr>
          <w:sz w:val="24"/>
        </w:rPr>
      </w:pPr>
      <w:r>
        <w:rPr>
          <w:sz w:val="24"/>
        </w:rPr>
        <w:t>On or about May 27, 2011, Shawn Beeson entered into a contract for legal services on a contingency fee basis with Plaintiff Robert Abrams. This agreement constituted an attorney- client</w:t>
      </w:r>
      <w:r>
        <w:rPr>
          <w:spacing w:val="-1"/>
          <w:sz w:val="24"/>
        </w:rPr>
        <w:t> </w:t>
      </w:r>
      <w:r>
        <w:rPr>
          <w:sz w:val="24"/>
        </w:rPr>
        <w:t>relationship.</w:t>
      </w:r>
    </w:p>
    <w:p>
      <w:pPr>
        <w:pStyle w:val="BodyText"/>
      </w:pPr>
    </w:p>
    <w:p>
      <w:pPr>
        <w:pStyle w:val="ListParagraph"/>
        <w:numPr>
          <w:ilvl w:val="0"/>
          <w:numId w:val="1"/>
        </w:numPr>
        <w:tabs>
          <w:tab w:pos="840" w:val="left" w:leader="none"/>
        </w:tabs>
        <w:spacing w:line="240" w:lineRule="auto" w:before="0" w:after="0"/>
        <w:ind w:left="840" w:right="118" w:hanging="360"/>
        <w:jc w:val="both"/>
        <w:rPr>
          <w:sz w:val="24"/>
        </w:rPr>
      </w:pPr>
      <w:r>
        <w:rPr>
          <w:sz w:val="24"/>
        </w:rPr>
        <w:t>Plaintiff Abrams claims that at some point during the course of his representation of Mr. Beeson, Mr. Beeson terminated Plaintiff Abrams’s representation of Mr.</w:t>
      </w:r>
      <w:r>
        <w:rPr>
          <w:spacing w:val="-7"/>
          <w:sz w:val="24"/>
        </w:rPr>
        <w:t> </w:t>
      </w:r>
      <w:r>
        <w:rPr>
          <w:sz w:val="24"/>
        </w:rPr>
        <w:t>Beeson.</w:t>
      </w:r>
    </w:p>
    <w:p>
      <w:pPr>
        <w:pStyle w:val="BodyText"/>
      </w:pPr>
    </w:p>
    <w:p>
      <w:pPr>
        <w:pStyle w:val="ListParagraph"/>
        <w:numPr>
          <w:ilvl w:val="0"/>
          <w:numId w:val="1"/>
        </w:numPr>
        <w:tabs>
          <w:tab w:pos="840" w:val="left" w:leader="none"/>
        </w:tabs>
        <w:spacing w:line="240" w:lineRule="auto" w:before="0" w:after="0"/>
        <w:ind w:left="840" w:right="119" w:hanging="360"/>
        <w:jc w:val="both"/>
        <w:rPr>
          <w:sz w:val="24"/>
        </w:rPr>
      </w:pPr>
      <w:r>
        <w:rPr>
          <w:sz w:val="24"/>
        </w:rPr>
        <w:t>In Plaintiff’s Third Amended Complaint, Abrams seeks to recover alleged damages from Mr. Beeson for Breach of</w:t>
      </w:r>
      <w:r>
        <w:rPr>
          <w:spacing w:val="-2"/>
          <w:sz w:val="24"/>
        </w:rPr>
        <w:t> </w:t>
      </w:r>
      <w:r>
        <w:rPr>
          <w:sz w:val="24"/>
        </w:rPr>
        <w:t>Contract.</w:t>
      </w:r>
    </w:p>
    <w:p>
      <w:pPr>
        <w:pStyle w:val="BodyText"/>
        <w:spacing w:before="3"/>
      </w:pPr>
    </w:p>
    <w:p>
      <w:pPr>
        <w:spacing w:before="0"/>
        <w:ind w:left="164" w:right="165" w:firstLine="0"/>
        <w:jc w:val="center"/>
        <w:rPr>
          <w:b/>
          <w:sz w:val="24"/>
        </w:rPr>
      </w:pPr>
      <w:r>
        <w:rPr>
          <w:b/>
          <w:sz w:val="24"/>
          <w:u w:val="thick"/>
        </w:rPr>
        <w:t>LAW</w:t>
      </w:r>
    </w:p>
    <w:p>
      <w:pPr>
        <w:pStyle w:val="BodyText"/>
        <w:spacing w:before="2"/>
        <w:rPr>
          <w:b/>
          <w:sz w:val="16"/>
        </w:rPr>
      </w:pPr>
    </w:p>
    <w:p>
      <w:pPr>
        <w:spacing w:before="90"/>
        <w:ind w:left="166" w:right="165" w:firstLine="0"/>
        <w:jc w:val="center"/>
        <w:rPr>
          <w:b/>
          <w:sz w:val="24"/>
        </w:rPr>
      </w:pPr>
      <w:r>
        <w:rPr>
          <w:b/>
          <w:sz w:val="24"/>
        </w:rPr>
        <w:t>Motion to Dismiss Plaintiff’s Claim for Breach of Contract Should Be Granted Because Breach of Contract is Not An Available Cause of Action Where A Client Terminates An Attorney-Client Relationship</w:t>
      </w:r>
    </w:p>
    <w:p>
      <w:pPr>
        <w:pStyle w:val="BodyText"/>
        <w:spacing w:before="8"/>
        <w:rPr>
          <w:b/>
          <w:sz w:val="23"/>
        </w:rPr>
      </w:pPr>
    </w:p>
    <w:p>
      <w:pPr>
        <w:pStyle w:val="ListParagraph"/>
        <w:numPr>
          <w:ilvl w:val="0"/>
          <w:numId w:val="1"/>
        </w:numPr>
        <w:tabs>
          <w:tab w:pos="840" w:val="left" w:leader="none"/>
          <w:tab w:pos="5505" w:val="left" w:leader="none"/>
        </w:tabs>
        <w:spacing w:line="240" w:lineRule="auto" w:before="0" w:after="0"/>
        <w:ind w:left="840" w:right="118" w:hanging="360"/>
        <w:jc w:val="left"/>
        <w:rPr>
          <w:sz w:val="24"/>
        </w:rPr>
      </w:pPr>
      <w:r>
        <w:rPr>
          <w:sz w:val="24"/>
        </w:rPr>
        <w:t>A contingent fee agreement does not create an “ordinary” contract. See Olsen and Brown v. City of  Englewood,  889  P2d  673  (1995)</w:t>
      </w:r>
      <w:r>
        <w:rPr>
          <w:spacing w:val="-8"/>
          <w:sz w:val="24"/>
        </w:rPr>
        <w:t> </w:t>
      </w:r>
      <w:r>
        <w:rPr>
          <w:sz w:val="24"/>
        </w:rPr>
        <w:t>at</w:t>
      </w:r>
      <w:r>
        <w:rPr>
          <w:spacing w:val="49"/>
          <w:sz w:val="24"/>
        </w:rPr>
        <w:t> </w:t>
      </w:r>
      <w:r>
        <w:rPr>
          <w:sz w:val="24"/>
        </w:rPr>
        <w:t>676.</w:t>
        <w:tab/>
        <w:t>Because of the special fiduciary nature of</w:t>
      </w:r>
      <w:r>
        <w:rPr>
          <w:spacing w:val="-15"/>
          <w:sz w:val="24"/>
        </w:rPr>
        <w:t> </w:t>
      </w:r>
      <w:r>
        <w:rPr>
          <w:sz w:val="24"/>
        </w:rPr>
        <w:t>the</w:t>
      </w:r>
    </w:p>
    <w:p>
      <w:pPr>
        <w:spacing w:after="0" w:line="240" w:lineRule="auto"/>
        <w:jc w:val="left"/>
        <w:rPr>
          <w:sz w:val="24"/>
        </w:rPr>
        <w:sectPr>
          <w:type w:val="continuous"/>
          <w:pgSz w:w="12240" w:h="15840"/>
          <w:pgMar w:top="1000" w:bottom="280" w:left="1320" w:right="600"/>
        </w:sectPr>
      </w:pPr>
    </w:p>
    <w:p>
      <w:pPr>
        <w:pStyle w:val="BodyText"/>
        <w:spacing w:before="64"/>
        <w:ind w:left="840" w:right="116"/>
        <w:jc w:val="both"/>
      </w:pPr>
      <w:r>
        <w:rPr/>
        <w:t>attorney-client relationship, </w:t>
      </w:r>
      <w:r>
        <w:rPr>
          <w:i/>
        </w:rPr>
        <w:t>a client’s discharge of an attorney does not constitute a breach of </w:t>
      </w:r>
      <w:r>
        <w:rPr>
          <w:i/>
        </w:rPr>
        <w:t>contract</w:t>
      </w:r>
      <w:r>
        <w:rPr/>
        <w:t>, but is, instead, the client’s exercise of a right inherent in the relationship. (emphasis added). Rather than being able to sue for breach of contract, an attorney’s remedy is limited to “recovery of the reasonable value of services rendered before discharge on the basis of quantum meruit” when the attorney is discharged without cause under a noncontingecy contract for services, id at 677; when the attorney withdraws from representation before successful completion of a contingency fee case and such quantum meruit recovery is expressly described in the fee agreement Elliot v. Joyce 889 p2d 43; or when the attorney’s services are “successfully completed” but the contingent fee agreement was unenforceable because it was not in writing. Lafond v. Sweeney, 345 P.3d 932, 937 (Colo. App.</w:t>
      </w:r>
      <w:r>
        <w:rPr>
          <w:spacing w:val="-1"/>
        </w:rPr>
        <w:t> </w:t>
      </w:r>
      <w:r>
        <w:rPr/>
        <w:t>2012).</w:t>
      </w:r>
    </w:p>
    <w:p>
      <w:pPr>
        <w:pStyle w:val="BodyText"/>
        <w:spacing w:before="1"/>
      </w:pPr>
    </w:p>
    <w:p>
      <w:pPr>
        <w:pStyle w:val="ListParagraph"/>
        <w:numPr>
          <w:ilvl w:val="0"/>
          <w:numId w:val="1"/>
        </w:numPr>
        <w:tabs>
          <w:tab w:pos="840" w:val="left" w:leader="none"/>
        </w:tabs>
        <w:spacing w:line="240" w:lineRule="auto" w:before="0" w:after="0"/>
        <w:ind w:left="840" w:right="131" w:hanging="360"/>
        <w:jc w:val="left"/>
        <w:rPr>
          <w:sz w:val="24"/>
        </w:rPr>
      </w:pPr>
      <w:r>
        <w:rPr>
          <w:sz w:val="24"/>
        </w:rPr>
        <w:t>Colorado Rules of Professional Conduct Rule 1.16 requires an attorney's withdrawal from representation upon discharge by the client. The Comment to this rule states, in pertinent part: “[a] client has a right to discharge a lawyer at any time, with or without cause, subject to liability for payment for the lawyer's services.” </w:t>
      </w:r>
      <w:r>
        <w:rPr>
          <w:sz w:val="24"/>
          <w:u w:val="single"/>
        </w:rPr>
        <w:t>Olsen &amp; Brown v. City of Englewood</w:t>
      </w:r>
      <w:r>
        <w:rPr>
          <w:sz w:val="24"/>
        </w:rPr>
        <w:t>, 889 P.2d 673,</w:t>
      </w:r>
      <w:r>
        <w:rPr>
          <w:spacing w:val="-20"/>
          <w:sz w:val="24"/>
        </w:rPr>
        <w:t> </w:t>
      </w:r>
      <w:r>
        <w:rPr>
          <w:sz w:val="24"/>
        </w:rPr>
        <w:t>676 (Colo.</w:t>
      </w:r>
      <w:r>
        <w:rPr>
          <w:spacing w:val="-1"/>
          <w:sz w:val="24"/>
        </w:rPr>
        <w:t> </w:t>
      </w:r>
      <w:r>
        <w:rPr>
          <w:sz w:val="24"/>
        </w:rPr>
        <w:t>1995).</w:t>
      </w:r>
    </w:p>
    <w:p>
      <w:pPr>
        <w:pStyle w:val="BodyText"/>
        <w:rPr>
          <w:sz w:val="26"/>
        </w:rPr>
      </w:pPr>
    </w:p>
    <w:p>
      <w:pPr>
        <w:spacing w:before="219"/>
        <w:ind w:left="165" w:right="165" w:firstLine="0"/>
        <w:jc w:val="center"/>
        <w:rPr>
          <w:b/>
          <w:sz w:val="24"/>
        </w:rPr>
      </w:pPr>
      <w:r>
        <w:rPr>
          <w:b/>
          <w:sz w:val="24"/>
          <w:u w:val="thick"/>
        </w:rPr>
        <w:t>Argument</w:t>
      </w:r>
    </w:p>
    <w:p>
      <w:pPr>
        <w:pStyle w:val="BodyText"/>
        <w:rPr>
          <w:b/>
          <w:sz w:val="16"/>
        </w:rPr>
      </w:pPr>
    </w:p>
    <w:p>
      <w:pPr>
        <w:pStyle w:val="ListParagraph"/>
        <w:numPr>
          <w:ilvl w:val="0"/>
          <w:numId w:val="1"/>
        </w:numPr>
        <w:tabs>
          <w:tab w:pos="840" w:val="left" w:leader="none"/>
        </w:tabs>
        <w:spacing w:line="240" w:lineRule="auto" w:before="90" w:after="0"/>
        <w:ind w:left="840" w:right="118" w:hanging="360"/>
        <w:jc w:val="both"/>
        <w:rPr>
          <w:sz w:val="24"/>
        </w:rPr>
      </w:pPr>
      <w:r>
        <w:rPr>
          <w:sz w:val="24"/>
        </w:rPr>
        <w:t>Here, there was a contract for legal services between an attorney (Abrams) and Mr. Beeson. Assuming arguendo, that everything the Plaintiff has alleged in his complaint is true, (and Mr. Beeson makes no statement as to whether the allegations are true or not), Plaintiff’s breach of contract claim fails because it is not a cause of action available to the Plaintiff against his former client.</w:t>
      </w:r>
    </w:p>
    <w:p>
      <w:pPr>
        <w:pStyle w:val="BodyText"/>
      </w:pPr>
    </w:p>
    <w:p>
      <w:pPr>
        <w:pStyle w:val="ListParagraph"/>
        <w:numPr>
          <w:ilvl w:val="0"/>
          <w:numId w:val="1"/>
        </w:numPr>
        <w:tabs>
          <w:tab w:pos="840" w:val="left" w:leader="none"/>
        </w:tabs>
        <w:spacing w:line="240" w:lineRule="auto" w:before="0" w:after="0"/>
        <w:ind w:left="840" w:right="116" w:hanging="360"/>
        <w:jc w:val="both"/>
        <w:rPr>
          <w:sz w:val="24"/>
        </w:rPr>
      </w:pPr>
      <w:r>
        <w:rPr>
          <w:sz w:val="24"/>
        </w:rPr>
        <w:t>Lafond v. Sweeney, </w:t>
      </w:r>
      <w:r>
        <w:rPr>
          <w:i/>
          <w:sz w:val="24"/>
        </w:rPr>
        <w:t>supra</w:t>
      </w:r>
      <w:r>
        <w:rPr>
          <w:sz w:val="24"/>
        </w:rPr>
        <w:t>, is directly on point. The case, and the cases it cites, states in no uncertain terms that, while there are remedies available for recovery of disputed fees, breach of contract is not one of the available causes of action where a client terminates the services of an attorney.</w:t>
      </w:r>
    </w:p>
    <w:p>
      <w:pPr>
        <w:pStyle w:val="BodyText"/>
        <w:rPr>
          <w:sz w:val="26"/>
        </w:rPr>
      </w:pPr>
    </w:p>
    <w:p>
      <w:pPr>
        <w:pStyle w:val="BodyText"/>
        <w:spacing w:before="1"/>
        <w:rPr>
          <w:sz w:val="22"/>
        </w:rPr>
      </w:pPr>
    </w:p>
    <w:p>
      <w:pPr>
        <w:spacing w:before="0"/>
        <w:ind w:left="165" w:right="165" w:firstLine="0"/>
        <w:jc w:val="center"/>
        <w:rPr>
          <w:b/>
          <w:sz w:val="24"/>
        </w:rPr>
      </w:pPr>
      <w:r>
        <w:rPr>
          <w:b/>
          <w:sz w:val="24"/>
          <w:u w:val="thick"/>
        </w:rPr>
        <w:t>CONCLUSION</w:t>
      </w:r>
    </w:p>
    <w:p>
      <w:pPr>
        <w:pStyle w:val="BodyText"/>
        <w:rPr>
          <w:b/>
          <w:sz w:val="20"/>
        </w:rPr>
      </w:pPr>
    </w:p>
    <w:p>
      <w:pPr>
        <w:pStyle w:val="BodyText"/>
        <w:rPr>
          <w:b/>
          <w:sz w:val="20"/>
        </w:rPr>
      </w:pPr>
    </w:p>
    <w:p>
      <w:pPr>
        <w:pStyle w:val="ListParagraph"/>
        <w:numPr>
          <w:ilvl w:val="0"/>
          <w:numId w:val="1"/>
        </w:numPr>
        <w:tabs>
          <w:tab w:pos="840" w:val="left" w:leader="none"/>
        </w:tabs>
        <w:spacing w:line="240" w:lineRule="auto" w:before="90" w:after="0"/>
        <w:ind w:left="840" w:right="580" w:hanging="360"/>
        <w:jc w:val="left"/>
        <w:rPr>
          <w:sz w:val="24"/>
        </w:rPr>
      </w:pPr>
      <w:r>
        <w:rPr>
          <w:sz w:val="24"/>
        </w:rPr>
        <w:t>Plaintiff cannot recover on his claim for breach of contract because it is not a cause of action available when an attorney is fired by his</w:t>
      </w:r>
      <w:r>
        <w:rPr>
          <w:spacing w:val="-2"/>
          <w:sz w:val="24"/>
        </w:rPr>
        <w:t> </w:t>
      </w:r>
      <w:r>
        <w:rPr>
          <w:sz w:val="24"/>
        </w:rPr>
        <w:t>client.</w:t>
      </w:r>
    </w:p>
    <w:p>
      <w:pPr>
        <w:pStyle w:val="BodyText"/>
      </w:pPr>
    </w:p>
    <w:p>
      <w:pPr>
        <w:pStyle w:val="ListParagraph"/>
        <w:numPr>
          <w:ilvl w:val="0"/>
          <w:numId w:val="1"/>
        </w:numPr>
        <w:tabs>
          <w:tab w:pos="899" w:val="left" w:leader="none"/>
          <w:tab w:pos="900" w:val="left" w:leader="none"/>
        </w:tabs>
        <w:spacing w:line="240" w:lineRule="auto" w:before="0" w:after="0"/>
        <w:ind w:left="900" w:right="0" w:hanging="420"/>
        <w:jc w:val="left"/>
        <w:rPr>
          <w:sz w:val="24"/>
        </w:rPr>
      </w:pPr>
      <w:r>
        <w:rPr>
          <w:sz w:val="24"/>
        </w:rPr>
        <w:t>Plaintiff’s claim for breach of contract against Mr. Beeson must be</w:t>
      </w:r>
      <w:r>
        <w:rPr>
          <w:spacing w:val="-10"/>
          <w:sz w:val="24"/>
        </w:rPr>
        <w:t> </w:t>
      </w:r>
      <w:r>
        <w:rPr>
          <w:sz w:val="24"/>
        </w:rPr>
        <w:t>dismissed.</w:t>
      </w:r>
    </w:p>
    <w:p>
      <w:pPr>
        <w:pStyle w:val="BodyText"/>
      </w:pPr>
    </w:p>
    <w:p>
      <w:pPr>
        <w:pStyle w:val="ListParagraph"/>
        <w:numPr>
          <w:ilvl w:val="0"/>
          <w:numId w:val="1"/>
        </w:numPr>
        <w:tabs>
          <w:tab w:pos="840" w:val="left" w:leader="none"/>
        </w:tabs>
        <w:spacing w:line="240" w:lineRule="auto" w:before="0" w:after="0"/>
        <w:ind w:left="840" w:right="207" w:hanging="360"/>
        <w:jc w:val="left"/>
        <w:rPr>
          <w:sz w:val="24"/>
        </w:rPr>
      </w:pPr>
      <w:r>
        <w:rPr>
          <w:sz w:val="24"/>
        </w:rPr>
        <w:t>Plaintiff has not properly stated any cause of action entitling him to recover the reasonable value of services rendered before his alleged discharge ( a claim Defendant asserts never occurred in fact and has no bearing on whether the parties performed under the terms and conditions of the contract) on the basis of quantum</w:t>
      </w:r>
      <w:r>
        <w:rPr>
          <w:spacing w:val="-5"/>
          <w:sz w:val="24"/>
        </w:rPr>
        <w:t> </w:t>
      </w:r>
      <w:r>
        <w:rPr>
          <w:sz w:val="24"/>
        </w:rPr>
        <w:t>meruit.</w:t>
      </w:r>
    </w:p>
    <w:p>
      <w:pPr>
        <w:pStyle w:val="BodyText"/>
      </w:pPr>
    </w:p>
    <w:p>
      <w:pPr>
        <w:pStyle w:val="ListParagraph"/>
        <w:numPr>
          <w:ilvl w:val="0"/>
          <w:numId w:val="1"/>
        </w:numPr>
        <w:tabs>
          <w:tab w:pos="840" w:val="left" w:leader="none"/>
        </w:tabs>
        <w:spacing w:line="240" w:lineRule="auto" w:before="0" w:after="0"/>
        <w:ind w:left="840" w:right="172" w:hanging="360"/>
        <w:jc w:val="left"/>
        <w:rPr>
          <w:sz w:val="24"/>
        </w:rPr>
      </w:pPr>
      <w:r>
        <w:rPr>
          <w:sz w:val="24"/>
        </w:rPr>
        <w:t>Furthermore, Plaintiff’s Partial Motion for Summary Judgment as to the breach of contract claim must be</w:t>
      </w:r>
      <w:r>
        <w:rPr>
          <w:spacing w:val="-1"/>
          <w:sz w:val="24"/>
        </w:rPr>
        <w:t> </w:t>
      </w:r>
      <w:r>
        <w:rPr>
          <w:sz w:val="24"/>
        </w:rPr>
        <w:t>denied.</w:t>
      </w:r>
    </w:p>
    <w:p>
      <w:pPr>
        <w:spacing w:after="0" w:line="240" w:lineRule="auto"/>
        <w:jc w:val="left"/>
        <w:rPr>
          <w:sz w:val="24"/>
        </w:rPr>
        <w:sectPr>
          <w:pgSz w:w="12240" w:h="15840"/>
          <w:pgMar w:top="940" w:bottom="280" w:left="1320" w:right="600"/>
        </w:sectPr>
      </w:pPr>
    </w:p>
    <w:p>
      <w:pPr>
        <w:pStyle w:val="BodyText"/>
        <w:spacing w:before="64"/>
        <w:ind w:left="119" w:right="422"/>
      </w:pPr>
      <w:r>
        <w:rPr/>
        <w:t>WHEREFORE, Shawn Beeson, through counsel, respectfully requests this Honorable Court grant the relief requested in this Motion to Dismiss Plaintiff’s Breach of Contract Claim.</w:t>
      </w:r>
    </w:p>
    <w:p>
      <w:pPr>
        <w:pStyle w:val="BodyText"/>
        <w:rPr>
          <w:sz w:val="26"/>
        </w:rPr>
      </w:pPr>
    </w:p>
    <w:p>
      <w:pPr>
        <w:pStyle w:val="BodyText"/>
        <w:spacing w:before="208"/>
        <w:ind w:left="120"/>
      </w:pPr>
      <w:r>
        <w:rPr/>
        <w:t>Respectfully submitted this 8</w:t>
      </w:r>
      <w:r>
        <w:rPr>
          <w:vertAlign w:val="superscript"/>
        </w:rPr>
        <w:t>th</w:t>
      </w:r>
      <w:r>
        <w:rPr>
          <w:vertAlign w:val="baseline"/>
        </w:rPr>
        <w:t> day of February, 2016.</w:t>
      </w:r>
    </w:p>
    <w:p>
      <w:pPr>
        <w:pStyle w:val="BodyText"/>
        <w:spacing w:before="10"/>
        <w:rPr>
          <w:sz w:val="43"/>
        </w:rPr>
      </w:pPr>
    </w:p>
    <w:p>
      <w:pPr>
        <w:spacing w:before="1"/>
        <w:ind w:left="5160" w:right="0" w:firstLine="0"/>
        <w:jc w:val="left"/>
        <w:rPr>
          <w:sz w:val="24"/>
        </w:rPr>
      </w:pPr>
      <w:r>
        <w:rPr>
          <w:sz w:val="24"/>
        </w:rPr>
        <w:t>T</w:t>
      </w:r>
      <w:r>
        <w:rPr>
          <w:sz w:val="19"/>
        </w:rPr>
        <w:t>HE </w:t>
      </w:r>
      <w:r>
        <w:rPr>
          <w:sz w:val="24"/>
        </w:rPr>
        <w:t>L</w:t>
      </w:r>
      <w:r>
        <w:rPr>
          <w:sz w:val="19"/>
        </w:rPr>
        <w:t>AW </w:t>
      </w:r>
      <w:r>
        <w:rPr>
          <w:sz w:val="24"/>
        </w:rPr>
        <w:t>O</w:t>
      </w:r>
      <w:r>
        <w:rPr>
          <w:sz w:val="19"/>
        </w:rPr>
        <w:t>FFICE OF </w:t>
      </w:r>
      <w:r>
        <w:rPr>
          <w:sz w:val="24"/>
        </w:rPr>
        <w:t>M</w:t>
      </w:r>
      <w:r>
        <w:rPr>
          <w:sz w:val="19"/>
        </w:rPr>
        <w:t>ICHAEL </w:t>
      </w:r>
      <w:r>
        <w:rPr>
          <w:sz w:val="24"/>
        </w:rPr>
        <w:t>P. B</w:t>
      </w:r>
      <w:r>
        <w:rPr>
          <w:sz w:val="19"/>
        </w:rPr>
        <w:t>OYCE</w:t>
      </w:r>
      <w:r>
        <w:rPr>
          <w:sz w:val="24"/>
        </w:rPr>
        <w:t>, PC.</w:t>
      </w:r>
    </w:p>
    <w:p>
      <w:pPr>
        <w:pStyle w:val="BodyText"/>
        <w:spacing w:before="2"/>
        <w:rPr>
          <w:sz w:val="16"/>
        </w:rPr>
      </w:pPr>
    </w:p>
    <w:p>
      <w:pPr>
        <w:pStyle w:val="BodyText"/>
        <w:spacing w:before="90"/>
        <w:ind w:left="5400"/>
      </w:pPr>
      <w:r>
        <w:rPr/>
        <w:pict>
          <v:group style="position:absolute;margin-left:324pt;margin-top:17.023106pt;width:204.3pt;height:1.3pt;mso-position-horizontal-relative:page;mso-position-vertical-relative:paragraph;z-index:1120" coordorigin="6480,340" coordsize="4086,26">
            <v:shape style="position:absolute;left:6480;top:361;width:4086;height:2" coordorigin="6480,361" coordsize="4086,0" path="m6480,361l6720,361m9246,361l10566,361e" filled="false" stroked="true" strokeweight=".48pt" strokecolor="#000000">
              <v:path arrowok="t"/>
              <v:stroke dashstyle="solid"/>
            </v:shape>
            <v:line style="position:absolute" from="6480,346" to="9246,346" stroked="true" strokeweight=".6pt" strokecolor="#000000">
              <v:stroke dashstyle="solid"/>
            </v:line>
            <w10:wrap type="none"/>
          </v:group>
        </w:pict>
      </w:r>
      <w:r>
        <w:rPr/>
        <w:t>/s/ Michael Boyce #35729</w:t>
      </w:r>
    </w:p>
    <w:p>
      <w:pPr>
        <w:spacing w:before="0"/>
        <w:ind w:left="5160" w:right="0" w:firstLine="0"/>
        <w:jc w:val="left"/>
        <w:rPr>
          <w:sz w:val="20"/>
        </w:rPr>
      </w:pPr>
      <w:r>
        <w:rPr>
          <w:sz w:val="20"/>
        </w:rPr>
        <w:t>Attorney for Defendant</w:t>
      </w:r>
    </w:p>
    <w:p>
      <w:pPr>
        <w:pStyle w:val="BodyText"/>
        <w:spacing w:before="1"/>
        <w:rPr>
          <w:sz w:val="20"/>
        </w:rPr>
      </w:pPr>
    </w:p>
    <w:p>
      <w:pPr>
        <w:spacing w:before="0"/>
        <w:ind w:left="5160" w:right="0" w:firstLine="0"/>
        <w:jc w:val="left"/>
        <w:rPr>
          <w:i/>
          <w:sz w:val="22"/>
        </w:rPr>
      </w:pPr>
      <w:r>
        <w:rPr>
          <w:i/>
          <w:sz w:val="22"/>
        </w:rPr>
        <w:t>(Original signature on file at The Law Office of Michael</w:t>
      </w:r>
    </w:p>
    <w:p>
      <w:pPr>
        <w:spacing w:before="0"/>
        <w:ind w:left="5160" w:right="0" w:firstLine="0"/>
        <w:jc w:val="left"/>
        <w:rPr>
          <w:i/>
          <w:sz w:val="22"/>
        </w:rPr>
      </w:pPr>
      <w:r>
        <w:rPr>
          <w:i/>
          <w:sz w:val="22"/>
        </w:rPr>
        <w:t>P. Boyce, P.C.)</w:t>
      </w:r>
    </w:p>
    <w:p>
      <w:pPr>
        <w:spacing w:after="0"/>
        <w:jc w:val="left"/>
        <w:rPr>
          <w:sz w:val="22"/>
        </w:rPr>
        <w:sectPr>
          <w:pgSz w:w="12240" w:h="15840"/>
          <w:pgMar w:top="940" w:bottom="280" w:left="1320" w:right="600"/>
        </w:sectPr>
      </w:pPr>
    </w:p>
    <w:p>
      <w:pPr>
        <w:pStyle w:val="Heading1"/>
        <w:spacing w:before="67"/>
        <w:ind w:left="3566" w:right="0"/>
        <w:jc w:val="left"/>
      </w:pPr>
      <w:r>
        <w:rPr/>
        <w:t>CERTIFICATE OF SERVICE</w:t>
      </w:r>
    </w:p>
    <w:p>
      <w:pPr>
        <w:pStyle w:val="BodyText"/>
        <w:spacing w:before="9"/>
        <w:rPr>
          <w:b/>
          <w:sz w:val="23"/>
        </w:rPr>
      </w:pPr>
    </w:p>
    <w:p>
      <w:pPr>
        <w:pStyle w:val="BodyText"/>
        <w:ind w:left="119" w:right="311"/>
      </w:pPr>
      <w:r>
        <w:rPr/>
        <w:t>I hereby certify that I have delivered a true and correct copy of Defendant Beeson’s Motion to Dismiss Plaintiff’s Breach of Contract Claim.</w:t>
      </w:r>
    </w:p>
    <w:p>
      <w:pPr>
        <w:pStyle w:val="BodyText"/>
        <w:spacing w:before="1"/>
      </w:pPr>
    </w:p>
    <w:p>
      <w:pPr>
        <w:spacing w:before="0"/>
        <w:ind w:left="119" w:right="7514" w:firstLine="0"/>
        <w:jc w:val="left"/>
        <w:rPr>
          <w:sz w:val="24"/>
        </w:rPr>
      </w:pPr>
      <w:r>
        <w:rPr>
          <w:i/>
          <w:sz w:val="24"/>
        </w:rPr>
        <w:t>Email/Electronic Filing </w:t>
      </w:r>
      <w:r>
        <w:rPr>
          <w:sz w:val="24"/>
        </w:rPr>
        <w:t>Abrams &amp; Associates, LLC Robert Abrams</w:t>
      </w:r>
    </w:p>
    <w:p>
      <w:pPr>
        <w:pStyle w:val="BodyText"/>
        <w:spacing w:line="275" w:lineRule="exact"/>
        <w:ind w:left="119"/>
      </w:pPr>
      <w:r>
        <w:rPr/>
        <w:t>700 17</w:t>
      </w:r>
      <w:r>
        <w:rPr>
          <w:vertAlign w:val="superscript"/>
        </w:rPr>
        <w:t>th</w:t>
      </w:r>
      <w:r>
        <w:rPr>
          <w:vertAlign w:val="baseline"/>
        </w:rPr>
        <w:t> Street, Suite</w:t>
      </w:r>
      <w:r>
        <w:rPr>
          <w:spacing w:val="-10"/>
          <w:vertAlign w:val="baseline"/>
        </w:rPr>
        <w:t> </w:t>
      </w:r>
      <w:r>
        <w:rPr>
          <w:vertAlign w:val="baseline"/>
        </w:rPr>
        <w:t>650</w:t>
      </w:r>
    </w:p>
    <w:p>
      <w:pPr>
        <w:pStyle w:val="BodyText"/>
        <w:ind w:left="120" w:right="7514"/>
      </w:pPr>
      <w:r>
        <w:rPr/>
        <w:t>Denver, CO 80202</w:t>
      </w:r>
      <w:hyperlink r:id="rId6">
        <w:r>
          <w:rPr/>
          <w:t> </w:t>
        </w:r>
        <w:r>
          <w:rPr>
            <w:spacing w:val="-1"/>
          </w:rPr>
          <w:t>Robert@AbramsLaw.net</w:t>
        </w:r>
      </w:hyperlink>
    </w:p>
    <w:p>
      <w:pPr>
        <w:pStyle w:val="BodyText"/>
        <w:spacing w:before="1"/>
      </w:pPr>
    </w:p>
    <w:p>
      <w:pPr>
        <w:spacing w:line="275" w:lineRule="exact" w:before="1"/>
        <w:ind w:left="120" w:right="0" w:firstLine="0"/>
        <w:jc w:val="left"/>
        <w:rPr>
          <w:i/>
          <w:sz w:val="24"/>
        </w:rPr>
      </w:pPr>
      <w:r>
        <w:rPr>
          <w:i/>
          <w:sz w:val="24"/>
        </w:rPr>
        <w:t>Email/Electronic Filing</w:t>
      </w:r>
    </w:p>
    <w:p>
      <w:pPr>
        <w:pStyle w:val="BodyText"/>
        <w:ind w:left="120" w:right="7052"/>
      </w:pPr>
      <w:r>
        <w:rPr/>
        <w:t>Elkus Sisson &amp; Rosenstein, P.C. Steven Mandelaris</w:t>
      </w:r>
    </w:p>
    <w:p>
      <w:pPr>
        <w:pStyle w:val="BodyText"/>
        <w:ind w:left="119"/>
      </w:pPr>
      <w:r>
        <w:rPr/>
        <w:t>501 S. Cherry Street, Suite 920</w:t>
      </w:r>
    </w:p>
    <w:p>
      <w:pPr>
        <w:pStyle w:val="BodyText"/>
        <w:ind w:left="119" w:right="6833"/>
      </w:pPr>
      <w:r>
        <w:rPr/>
        <w:t>Denver, CO 80246 </w:t>
      </w:r>
      <w:hyperlink r:id="rId7">
        <w:r>
          <w:rPr/>
          <w:t>smandelaris@elkusandsission.com</w:t>
        </w:r>
      </w:hyperlink>
    </w:p>
    <w:p>
      <w:pPr>
        <w:pStyle w:val="BodyText"/>
        <w:rPr>
          <w:sz w:val="20"/>
        </w:rPr>
      </w:pPr>
    </w:p>
    <w:p>
      <w:pPr>
        <w:pStyle w:val="BodyText"/>
        <w:spacing w:before="1"/>
        <w:rPr>
          <w:sz w:val="20"/>
        </w:rPr>
      </w:pPr>
    </w:p>
    <w:p>
      <w:pPr>
        <w:pStyle w:val="BodyText"/>
        <w:tabs>
          <w:tab w:pos="6239" w:val="left" w:leader="none"/>
          <w:tab w:pos="9365" w:val="left" w:leader="none"/>
        </w:tabs>
        <w:spacing w:before="90"/>
        <w:ind w:left="5880"/>
      </w:pPr>
      <w:r>
        <w:rPr>
          <w:u w:val="single"/>
        </w:rPr>
        <w:t> </w:t>
        <w:tab/>
        <w:t>/s/ Michael Boyce</w:t>
      </w:r>
      <w:r>
        <w:rPr>
          <w:spacing w:val="-7"/>
          <w:u w:val="single"/>
        </w:rPr>
        <w:t> </w:t>
      </w:r>
      <w:r>
        <w:rPr>
          <w:u w:val="single"/>
        </w:rPr>
        <w:t>#35729</w:t>
        <w:tab/>
      </w:r>
    </w:p>
    <w:p>
      <w:pPr>
        <w:pStyle w:val="BodyText"/>
        <w:rPr>
          <w:sz w:val="20"/>
        </w:rPr>
      </w:pPr>
    </w:p>
    <w:p>
      <w:pPr>
        <w:pStyle w:val="BodyText"/>
        <w:spacing w:before="4"/>
        <w:rPr>
          <w:sz w:val="20"/>
        </w:rPr>
      </w:pPr>
    </w:p>
    <w:p>
      <w:pPr>
        <w:spacing w:before="90"/>
        <w:ind w:left="5880" w:right="0" w:firstLine="0"/>
        <w:jc w:val="left"/>
        <w:rPr>
          <w:i/>
          <w:sz w:val="22"/>
        </w:rPr>
      </w:pPr>
      <w:r>
        <w:rPr>
          <w:i/>
          <w:sz w:val="22"/>
        </w:rPr>
        <w:t>(Original signature on file at The Law Office of </w:t>
      </w:r>
      <w:r>
        <w:rPr>
          <w:i/>
          <w:sz w:val="22"/>
        </w:rPr>
        <w:t>Michael P. Boyce, P.C.)</w:t>
      </w:r>
    </w:p>
    <w:sectPr>
      <w:pgSz w:w="12240" w:h="15840"/>
      <w:pgMar w:top="940" w:bottom="280" w:left="132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40" w:hanging="360"/>
        <w:jc w:val="left"/>
      </w:pPr>
      <w:rPr>
        <w:rFonts w:hint="default" w:ascii="Times New Roman" w:hAnsi="Times New Roman" w:eastAsia="Times New Roman" w:cs="Times New Roman"/>
        <w:spacing w:val="-26"/>
        <w:w w:val="99"/>
        <w:sz w:val="24"/>
        <w:szCs w:val="24"/>
      </w:rPr>
    </w:lvl>
    <w:lvl w:ilvl="1">
      <w:start w:val="0"/>
      <w:numFmt w:val="bullet"/>
      <w:lvlText w:val="•"/>
      <w:lvlJc w:val="left"/>
      <w:pPr>
        <w:ind w:left="5400" w:hanging="360"/>
      </w:pPr>
      <w:rPr>
        <w:rFonts w:hint="default"/>
      </w:rPr>
    </w:lvl>
    <w:lvl w:ilvl="2">
      <w:start w:val="0"/>
      <w:numFmt w:val="bullet"/>
      <w:lvlText w:val="•"/>
      <w:lvlJc w:val="left"/>
      <w:pPr>
        <w:ind w:left="5946" w:hanging="360"/>
      </w:pPr>
      <w:rPr>
        <w:rFonts w:hint="default"/>
      </w:rPr>
    </w:lvl>
    <w:lvl w:ilvl="3">
      <w:start w:val="0"/>
      <w:numFmt w:val="bullet"/>
      <w:lvlText w:val="•"/>
      <w:lvlJc w:val="left"/>
      <w:pPr>
        <w:ind w:left="6493" w:hanging="360"/>
      </w:pPr>
      <w:rPr>
        <w:rFonts w:hint="default"/>
      </w:rPr>
    </w:lvl>
    <w:lvl w:ilvl="4">
      <w:start w:val="0"/>
      <w:numFmt w:val="bullet"/>
      <w:lvlText w:val="•"/>
      <w:lvlJc w:val="left"/>
      <w:pPr>
        <w:ind w:left="7040" w:hanging="360"/>
      </w:pPr>
      <w:rPr>
        <w:rFonts w:hint="default"/>
      </w:rPr>
    </w:lvl>
    <w:lvl w:ilvl="5">
      <w:start w:val="0"/>
      <w:numFmt w:val="bullet"/>
      <w:lvlText w:val="•"/>
      <w:lvlJc w:val="left"/>
      <w:pPr>
        <w:ind w:left="7586" w:hanging="360"/>
      </w:pPr>
      <w:rPr>
        <w:rFonts w:hint="default"/>
      </w:rPr>
    </w:lvl>
    <w:lvl w:ilvl="6">
      <w:start w:val="0"/>
      <w:numFmt w:val="bullet"/>
      <w:lvlText w:val="•"/>
      <w:lvlJc w:val="left"/>
      <w:pPr>
        <w:ind w:left="8133" w:hanging="360"/>
      </w:pPr>
      <w:rPr>
        <w:rFonts w:hint="default"/>
      </w:rPr>
    </w:lvl>
    <w:lvl w:ilvl="7">
      <w:start w:val="0"/>
      <w:numFmt w:val="bullet"/>
      <w:lvlText w:val="•"/>
      <w:lvlJc w:val="left"/>
      <w:pPr>
        <w:ind w:left="8680" w:hanging="360"/>
      </w:pPr>
      <w:rPr>
        <w:rFonts w:hint="default"/>
      </w:rPr>
    </w:lvl>
    <w:lvl w:ilvl="8">
      <w:start w:val="0"/>
      <w:numFmt w:val="bullet"/>
      <w:lvlText w:val="•"/>
      <w:lvlJc w:val="left"/>
      <w:pPr>
        <w:ind w:left="9226"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165" w:right="165"/>
      <w:jc w:val="center"/>
      <w:outlineLvl w:val="1"/>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840" w:right="118" w:hanging="360"/>
    </w:pPr>
    <w:rPr>
      <w:rFonts w:ascii="Times New Roman" w:hAnsi="Times New Roman" w:eastAsia="Times New Roman" w:cs="Times New Roman"/>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mike@boycelawoffice.com" TargetMode="External"/><Relationship Id="rId6" Type="http://schemas.openxmlformats.org/officeDocument/2006/relationships/hyperlink" Target="mailto:Robert@AbramsLaw.net" TargetMode="External"/><Relationship Id="rId7" Type="http://schemas.openxmlformats.org/officeDocument/2006/relationships/hyperlink" Target="mailto:smandelaris@elkusandsission.com"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2019-03-18T21:28:44Z</dcterms:created>
  <dcterms:modified xsi:type="dcterms:W3CDTF">2019-03-18T21:28:44Z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2017-09-28T00:00:00Z</vt:filetime>
  </property>
  <property fmtid="{D5CDD505-2E9C-101B-9397-08002B2CF9AE}" pid="3" name="LastSaved">
    <vt:filetime>2019-03-18T00:00:00Z</vt:filetime>
  </property>
</Properties>
</file>