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66.360001pt;margin-top:72pt;width:469.65pt;height:350.55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439" w:hRule="atLeast"/>
                    </w:trPr>
                    <w:tc>
                      <w:tcPr>
                        <w:tcW w:w="5958" w:type="dxa"/>
                      </w:tcPr>
                      <w:p>
                        <w:pPr>
                          <w:pStyle w:val="TableParagraph"/>
                          <w:spacing w:line="211" w:lineRule="auto" w:before="6"/>
                          <w:ind w:right="2566"/>
                          <w:rPr>
                            <w:sz w:val="24"/>
                          </w:rPr>
                        </w:pPr>
                        <w:r>
                          <w:rPr>
                            <w:sz w:val="24"/>
                          </w:rPr>
                          <w:t>District Court, Criminal Matters Adams County, State of Colorado </w:t>
                        </w:r>
                        <w:r>
                          <w:rPr>
                            <w:b/>
                            <w:sz w:val="24"/>
                          </w:rPr>
                          <w:t>Court Address</w:t>
                        </w:r>
                        <w:r>
                          <w:rPr>
                            <w:sz w:val="24"/>
                          </w:rPr>
                          <w:t>:</w:t>
                        </w:r>
                      </w:p>
                      <w:p>
                        <w:pPr>
                          <w:pStyle w:val="TableParagraph"/>
                          <w:spacing w:line="211" w:lineRule="auto"/>
                          <w:ind w:right="2566"/>
                          <w:rPr>
                            <w:sz w:val="24"/>
                          </w:rPr>
                        </w:pPr>
                        <w:r>
                          <w:rPr>
                            <w:sz w:val="24"/>
                          </w:rPr>
                          <w:t>1100 Judicial Center Drive Brighton, Colorado 80601</w:t>
                        </w:r>
                      </w:p>
                    </w:tc>
                    <w:tc>
                      <w:tcPr>
                        <w:tcW w:w="3420" w:type="dxa"/>
                        <w:vMerge w:val="restart"/>
                      </w:tcPr>
                      <w:p>
                        <w:pPr>
                          <w:pStyle w:val="TableParagraph"/>
                          <w:ind w:left="0"/>
                          <w:rPr>
                            <w:sz w:val="26"/>
                          </w:rPr>
                        </w:pPr>
                      </w:p>
                      <w:p>
                        <w:pPr>
                          <w:pStyle w:val="TableParagraph"/>
                          <w:spacing w:before="1"/>
                          <w:ind w:left="0"/>
                          <w:rPr>
                            <w:sz w:val="35"/>
                          </w:rPr>
                        </w:pPr>
                      </w:p>
                      <w:p>
                        <w:pPr>
                          <w:pStyle w:val="TableParagraph"/>
                          <w:spacing w:line="220" w:lineRule="auto"/>
                          <w:ind w:left="792" w:right="6"/>
                          <w:rPr>
                            <w:rFonts w:ascii="Minion Pro"/>
                            <w:sz w:val="19"/>
                          </w:rPr>
                        </w:pPr>
                        <w:r>
                          <w:rPr>
                            <w:rFonts w:ascii="Minion Pro"/>
                            <w:color w:val="0000FF"/>
                            <w:spacing w:val="-6"/>
                            <w:w w:val="105"/>
                            <w:sz w:val="19"/>
                          </w:rPr>
                          <w:t>DATE </w:t>
                        </w:r>
                        <w:r>
                          <w:rPr>
                            <w:rFonts w:ascii="Minion Pro"/>
                            <w:color w:val="0000FF"/>
                            <w:w w:val="105"/>
                            <w:sz w:val="19"/>
                          </w:rPr>
                          <w:t>FILED: February 23, </w:t>
                        </w:r>
                        <w:r>
                          <w:rPr>
                            <w:rFonts w:ascii="Minion Pro"/>
                            <w:color w:val="0000FF"/>
                            <w:spacing w:val="-3"/>
                            <w:w w:val="105"/>
                            <w:sz w:val="19"/>
                          </w:rPr>
                          <w:t>2017 </w:t>
                        </w:r>
                        <w:r>
                          <w:rPr>
                            <w:rFonts w:ascii="Minion Pro"/>
                            <w:color w:val="0000FF"/>
                            <w:w w:val="105"/>
                            <w:sz w:val="19"/>
                          </w:rPr>
                          <w:t>FILING ID: E1F3CE56D9F23 CASE NUMBER: 2016CR2658</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3"/>
                          <w:ind w:left="0"/>
                          <w:rPr>
                            <w:sz w:val="34"/>
                          </w:rPr>
                        </w:pPr>
                      </w:p>
                      <w:p>
                        <w:pPr>
                          <w:pStyle w:val="TableParagraph"/>
                          <w:spacing w:line="268" w:lineRule="exact"/>
                          <w:ind w:left="472"/>
                          <w:rPr>
                            <w:rFonts w:ascii="PMingLiU-ExtB" w:hAnsi="PMingLiU-ExtB"/>
                            <w:sz w:val="24"/>
                          </w:rPr>
                        </w:pPr>
                        <w:r>
                          <w:rPr>
                            <w:rFonts w:ascii="PMingLiU-ExtB" w:hAnsi="PMingLiU-ExtB"/>
                            <w:sz w:val="24"/>
                          </w:rPr>
                          <w:t></w:t>
                        </w:r>
                        <w:r>
                          <w:rPr>
                            <w:sz w:val="24"/>
                          </w:rPr>
                          <w:t>COURT USE ONLY </w:t>
                        </w:r>
                        <w:r>
                          <w:rPr>
                            <w:rFonts w:ascii="PMingLiU-ExtB" w:hAnsi="PMingLiU-ExtB"/>
                            <w:sz w:val="24"/>
                          </w:rPr>
                          <w:t></w:t>
                        </w:r>
                      </w:p>
                    </w:tc>
                  </w:tr>
                  <w:tr>
                    <w:trPr>
                      <w:trHeight w:val="2400" w:hRule="atLeast"/>
                    </w:trPr>
                    <w:tc>
                      <w:tcPr>
                        <w:tcW w:w="5958" w:type="dxa"/>
                      </w:tcPr>
                      <w:p>
                        <w:pPr>
                          <w:pStyle w:val="TableParagraph"/>
                          <w:spacing w:line="256" w:lineRule="exact" w:before="221"/>
                          <w:rPr>
                            <w:sz w:val="24"/>
                          </w:rPr>
                        </w:pPr>
                        <w:r>
                          <w:rPr>
                            <w:sz w:val="24"/>
                          </w:rPr>
                          <w:t>THE PEOPLE OF THE STATE OF COLORADO,</w:t>
                        </w:r>
                      </w:p>
                      <w:p>
                        <w:pPr>
                          <w:pStyle w:val="TableParagraph"/>
                          <w:spacing w:line="256" w:lineRule="exact"/>
                          <w:rPr>
                            <w:sz w:val="24"/>
                          </w:rPr>
                        </w:pPr>
                        <w:r>
                          <w:rPr>
                            <w:sz w:val="24"/>
                          </w:rPr>
                          <w:t>Plaintiff</w:t>
                        </w:r>
                      </w:p>
                      <w:p>
                        <w:pPr>
                          <w:pStyle w:val="TableParagraph"/>
                          <w:ind w:left="0"/>
                          <w:rPr>
                            <w:sz w:val="26"/>
                          </w:rPr>
                        </w:pPr>
                      </w:p>
                      <w:p>
                        <w:pPr>
                          <w:pStyle w:val="TableParagraph"/>
                          <w:spacing w:before="153"/>
                          <w:rPr>
                            <w:sz w:val="24"/>
                          </w:rPr>
                        </w:pPr>
                        <w:r>
                          <w:rPr>
                            <w:sz w:val="24"/>
                          </w:rPr>
                          <w:t>v.</w:t>
                        </w:r>
                      </w:p>
                      <w:p>
                        <w:pPr>
                          <w:pStyle w:val="TableParagraph"/>
                          <w:spacing w:line="256" w:lineRule="exact" w:before="207"/>
                          <w:rPr>
                            <w:sz w:val="24"/>
                          </w:rPr>
                        </w:pPr>
                        <w:r>
                          <w:rPr>
                            <w:sz w:val="24"/>
                          </w:rPr>
                          <w:t>JAMES WALKER,</w:t>
                        </w:r>
                      </w:p>
                      <w:p>
                        <w:pPr>
                          <w:pStyle w:val="TableParagraph"/>
                          <w:spacing w:line="256" w:lineRule="exact"/>
                          <w:rPr>
                            <w:sz w:val="24"/>
                          </w:rPr>
                        </w:pPr>
                        <w:r>
                          <w:rPr>
                            <w:sz w:val="24"/>
                          </w:rPr>
                          <w:t>Defendant</w:t>
                        </w:r>
                      </w:p>
                    </w:tc>
                    <w:tc>
                      <w:tcPr>
                        <w:tcW w:w="3420" w:type="dxa"/>
                        <w:vMerge/>
                        <w:tcBorders>
                          <w:top w:val="nil"/>
                        </w:tcBorders>
                      </w:tcPr>
                      <w:p>
                        <w:pPr>
                          <w:rPr>
                            <w:sz w:val="2"/>
                            <w:szCs w:val="2"/>
                          </w:rPr>
                        </w:pPr>
                      </w:p>
                    </w:tc>
                  </w:tr>
                  <w:tr>
                    <w:trPr>
                      <w:trHeight w:val="2159" w:hRule="atLeast"/>
                    </w:trPr>
                    <w:tc>
                      <w:tcPr>
                        <w:tcW w:w="5958" w:type="dxa"/>
                      </w:tcPr>
                      <w:p>
                        <w:pPr>
                          <w:pStyle w:val="TableParagraph"/>
                          <w:spacing w:line="237" w:lineRule="exact"/>
                          <w:rPr>
                            <w:b/>
                            <w:sz w:val="24"/>
                          </w:rPr>
                        </w:pPr>
                        <w:r>
                          <w:rPr>
                            <w:b/>
                            <w:sz w:val="24"/>
                          </w:rPr>
                          <w:t>Attorney:</w:t>
                        </w:r>
                      </w:p>
                      <w:p>
                        <w:pPr>
                          <w:pStyle w:val="TableParagraph"/>
                          <w:spacing w:line="239" w:lineRule="exact"/>
                          <w:rPr>
                            <w:sz w:val="24"/>
                          </w:rPr>
                        </w:pPr>
                        <w:r>
                          <w:rPr>
                            <w:sz w:val="24"/>
                          </w:rPr>
                          <w:t>Danielle M. McCarthy, #34573</w:t>
                        </w:r>
                      </w:p>
                      <w:p>
                        <w:pPr>
                          <w:pStyle w:val="TableParagraph"/>
                          <w:spacing w:line="241" w:lineRule="exact"/>
                          <w:rPr>
                            <w:b/>
                            <w:sz w:val="24"/>
                          </w:rPr>
                        </w:pPr>
                        <w:r>
                          <w:rPr>
                            <w:b/>
                            <w:sz w:val="24"/>
                          </w:rPr>
                          <w:t>DANIELLE M. MCCARTHY P.C.</w:t>
                        </w:r>
                      </w:p>
                      <w:p>
                        <w:pPr>
                          <w:pStyle w:val="TableParagraph"/>
                          <w:spacing w:line="240" w:lineRule="exact"/>
                          <w:rPr>
                            <w:sz w:val="24"/>
                          </w:rPr>
                        </w:pPr>
                        <w:r>
                          <w:rPr>
                            <w:sz w:val="24"/>
                          </w:rPr>
                          <w:t>1175 Osage Street, Suite 200</w:t>
                        </w:r>
                      </w:p>
                      <w:p>
                        <w:pPr>
                          <w:pStyle w:val="TableParagraph"/>
                          <w:spacing w:line="240" w:lineRule="exact"/>
                          <w:rPr>
                            <w:sz w:val="24"/>
                          </w:rPr>
                        </w:pPr>
                        <w:r>
                          <w:rPr>
                            <w:sz w:val="24"/>
                          </w:rPr>
                          <w:t>Denver, Colorado 80204</w:t>
                        </w:r>
                      </w:p>
                      <w:p>
                        <w:pPr>
                          <w:pStyle w:val="TableParagraph"/>
                          <w:spacing w:line="240" w:lineRule="exact"/>
                          <w:rPr>
                            <w:sz w:val="24"/>
                          </w:rPr>
                        </w:pPr>
                        <w:r>
                          <w:rPr>
                            <w:sz w:val="24"/>
                          </w:rPr>
                          <w:t>Phone: (303) 350-1550</w:t>
                        </w:r>
                      </w:p>
                      <w:p>
                        <w:pPr>
                          <w:pStyle w:val="TableParagraph"/>
                          <w:spacing w:line="240" w:lineRule="exact"/>
                          <w:rPr>
                            <w:sz w:val="24"/>
                          </w:rPr>
                        </w:pPr>
                        <w:r>
                          <w:rPr>
                            <w:sz w:val="24"/>
                          </w:rPr>
                          <w:t>Facsimile: (303) 350-1555</w:t>
                        </w:r>
                      </w:p>
                      <w:p>
                        <w:pPr>
                          <w:pStyle w:val="TableParagraph"/>
                          <w:spacing w:line="256" w:lineRule="exact"/>
                          <w:rPr>
                            <w:sz w:val="24"/>
                          </w:rPr>
                        </w:pPr>
                        <w:r>
                          <w:rPr>
                            <w:sz w:val="24"/>
                          </w:rPr>
                          <w:t>E-mai</w:t>
                        </w:r>
                        <w:hyperlink r:id="rId5">
                          <w:r>
                            <w:rPr>
                              <w:sz w:val="24"/>
                            </w:rPr>
                            <w:t>l: daniellemccarthy11@gmail.com</w:t>
                          </w:r>
                        </w:hyperlink>
                      </w:p>
                    </w:tc>
                    <w:tc>
                      <w:tcPr>
                        <w:tcW w:w="3420" w:type="dxa"/>
                      </w:tcPr>
                      <w:p>
                        <w:pPr>
                          <w:pStyle w:val="TableParagraph"/>
                          <w:tabs>
                            <w:tab w:pos="1688" w:val="left" w:leader="none"/>
                          </w:tabs>
                          <w:spacing w:line="633" w:lineRule="auto" w:before="220"/>
                          <w:ind w:right="818"/>
                          <w:rPr>
                            <w:sz w:val="24"/>
                          </w:rPr>
                        </w:pPr>
                        <w:r>
                          <w:rPr>
                            <w:sz w:val="24"/>
                          </w:rPr>
                          <w:t>Case Number: 16CR2658 Division:</w:t>
                          <w:tab/>
                          <w:t>G</w:t>
                        </w:r>
                      </w:p>
                      <w:p>
                        <w:pPr>
                          <w:pStyle w:val="TableParagraph"/>
                          <w:tabs>
                            <w:tab w:pos="1559" w:val="left" w:leader="none"/>
                          </w:tabs>
                          <w:spacing w:before="1"/>
                          <w:rPr>
                            <w:sz w:val="24"/>
                          </w:rPr>
                        </w:pPr>
                        <w:r>
                          <w:rPr>
                            <w:sz w:val="24"/>
                          </w:rPr>
                          <w:t>Courtroom:</w:t>
                          <w:tab/>
                          <w:t>406</w:t>
                        </w:r>
                      </w:p>
                    </w:tc>
                  </w:tr>
                  <w:tr>
                    <w:trPr>
                      <w:trHeight w:val="960" w:hRule="atLeast"/>
                    </w:trPr>
                    <w:tc>
                      <w:tcPr>
                        <w:tcW w:w="9378" w:type="dxa"/>
                        <w:gridSpan w:val="2"/>
                      </w:tcPr>
                      <w:p>
                        <w:pPr>
                          <w:pStyle w:val="TableParagraph"/>
                          <w:spacing w:before="7"/>
                          <w:ind w:left="0"/>
                          <w:rPr>
                            <w:sz w:val="21"/>
                          </w:rPr>
                        </w:pPr>
                      </w:p>
                      <w:p>
                        <w:pPr>
                          <w:pStyle w:val="TableParagraph"/>
                          <w:spacing w:line="208" w:lineRule="auto"/>
                          <w:ind w:left="4181" w:right="390" w:hanging="3764"/>
                          <w:rPr>
                            <w:b/>
                            <w:sz w:val="24"/>
                          </w:rPr>
                        </w:pPr>
                        <w:r>
                          <w:rPr>
                            <w:b/>
                            <w:sz w:val="24"/>
                          </w:rPr>
                          <w:t>MOTION TO ORDER THE PROSECUTION TO PRODUCE VICTIM ADVOCATE REPORTS</w:t>
                        </w:r>
                      </w:p>
                    </w:tc>
                  </w:tr>
                </w:tbl>
                <w:p>
                  <w:pPr>
                    <w:pStyle w:val="BodyText"/>
                  </w:pPr>
                </w:p>
              </w:txbxContent>
            </v:textbox>
            <w10:wrap type="none"/>
          </v:shape>
        </w:pict>
      </w:r>
    </w:p>
    <w:p>
      <w:pPr>
        <w:pStyle w:val="BodyText"/>
        <w:rPr>
          <w:rFonts w:ascii="Times New Roman"/>
          <w:sz w:val="20"/>
        </w:rPr>
      </w:pPr>
    </w:p>
    <w:p>
      <w:pPr>
        <w:spacing w:before="229"/>
        <w:ind w:left="9473" w:right="0" w:firstLine="0"/>
        <w:jc w:val="left"/>
        <w:rPr>
          <w:rFonts w:ascii="Minion Pro"/>
          <w:sz w:val="19"/>
        </w:rPr>
      </w:pPr>
      <w:r>
        <w:rPr>
          <w:rFonts w:ascii="Minion Pro"/>
          <w:color w:val="0000FF"/>
          <w:w w:val="105"/>
          <w:sz w:val="19"/>
        </w:rPr>
        <w:t>4:13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1"/>
        <w:rPr>
          <w:rFonts w:ascii="Minion Pro"/>
          <w:sz w:val="25"/>
        </w:rPr>
      </w:pPr>
    </w:p>
    <w:p>
      <w:pPr>
        <w:pStyle w:val="BodyText"/>
        <w:spacing w:line="211" w:lineRule="auto"/>
        <w:ind w:left="219" w:right="656"/>
        <w:jc w:val="both"/>
      </w:pPr>
      <w:r>
        <w:rPr/>
        <w:t>Mr. James Walker, by and through undersigned counsel, requests that this Court order the prosecution to produce to defense counsel the victim advocate notes and reports pertaining to this case. As grounds, Mr. Walker states as follows:</w:t>
      </w:r>
    </w:p>
    <w:p>
      <w:pPr>
        <w:pStyle w:val="BodyText"/>
        <w:spacing w:before="2"/>
        <w:rPr>
          <w:sz w:val="21"/>
        </w:rPr>
      </w:pPr>
    </w:p>
    <w:p>
      <w:pPr>
        <w:pStyle w:val="ListParagraph"/>
        <w:numPr>
          <w:ilvl w:val="0"/>
          <w:numId w:val="1"/>
        </w:numPr>
        <w:tabs>
          <w:tab w:pos="1659" w:val="left" w:leader="none"/>
          <w:tab w:pos="1660" w:val="left" w:leader="none"/>
        </w:tabs>
        <w:spacing w:line="211" w:lineRule="auto" w:before="0" w:after="0"/>
        <w:ind w:left="220" w:right="656" w:firstLine="720"/>
        <w:jc w:val="both"/>
        <w:rPr>
          <w:sz w:val="24"/>
        </w:rPr>
      </w:pPr>
      <w:r>
        <w:rPr>
          <w:sz w:val="24"/>
        </w:rPr>
        <w:t>Colorado Rules of Criminal Procedure 16(a)(1) states the following information is discoverable and should be provided to defense counsel: “Police, arrest, crime or offense reports, including statements of all witnesses.” This guideline by Criminal Procedure Rule 16 is all- inclusive; if there is a statement in the possession of the District Attorney, by a witness, it  should be disclosed. Criminal Procedure Rule 16(a)(1) makes no reference to whether or not the statement needs to be exculpatory or not; it makes no reference to who the statement was made. The only requirement for it to fall under discoverable information is that it is a statement by a witness. Criminal Procedure Rule 16 is self-executing. These statements should have been provided to defense counsel no later than twenty days after the accused’s appearance or at the time of filing of</w:t>
      </w:r>
      <w:r>
        <w:rPr>
          <w:spacing w:val="-1"/>
          <w:sz w:val="24"/>
        </w:rPr>
        <w:t> </w:t>
      </w:r>
      <w:r>
        <w:rPr>
          <w:sz w:val="24"/>
        </w:rPr>
        <w:t>charges.</w:t>
      </w:r>
    </w:p>
    <w:p>
      <w:pPr>
        <w:pStyle w:val="BodyText"/>
        <w:spacing w:before="3"/>
        <w:rPr>
          <w:sz w:val="21"/>
        </w:rPr>
      </w:pPr>
    </w:p>
    <w:p>
      <w:pPr>
        <w:pStyle w:val="ListParagraph"/>
        <w:numPr>
          <w:ilvl w:val="0"/>
          <w:numId w:val="1"/>
        </w:numPr>
        <w:tabs>
          <w:tab w:pos="1659" w:val="left" w:leader="none"/>
          <w:tab w:pos="1660" w:val="left" w:leader="none"/>
        </w:tabs>
        <w:spacing w:line="211" w:lineRule="auto" w:before="0" w:after="0"/>
        <w:ind w:left="220" w:right="656" w:firstLine="720"/>
        <w:jc w:val="both"/>
        <w:rPr>
          <w:sz w:val="24"/>
        </w:rPr>
      </w:pPr>
      <w:r>
        <w:rPr>
          <w:sz w:val="24"/>
        </w:rPr>
        <w:t>In addition, Rule 16(a)(2) states that the “prosecuting attorney shall disclose to defense counsel any material or information within his possession or control which tends to negate the guilt of the accused as to the offense charged or would tend to reduce the punishment therefor.” This duty is then extended in Rule 16(a)(3) by stating “the prosecuting attorney’s obligations under this section (a) extend to material and information in the possession or control of members of his staff and of any others who have participated in the investigation or evaluation of the case and who either regularly report, or with reference to the particular case, have reported to his</w:t>
      </w:r>
      <w:r>
        <w:rPr>
          <w:spacing w:val="-1"/>
          <w:sz w:val="24"/>
        </w:rPr>
        <w:t> </w:t>
      </w:r>
      <w:r>
        <w:rPr>
          <w:sz w:val="24"/>
        </w:rPr>
        <w:t>office.”</w:t>
      </w:r>
    </w:p>
    <w:p>
      <w:pPr>
        <w:spacing w:after="0" w:line="211" w:lineRule="auto"/>
        <w:jc w:val="both"/>
        <w:rPr>
          <w:sz w:val="24"/>
        </w:rPr>
        <w:sectPr>
          <w:type w:val="continuous"/>
          <w:pgSz w:w="12240" w:h="15840"/>
          <w:pgMar w:top="1440" w:bottom="280" w:left="1220" w:right="780"/>
        </w:sectPr>
      </w:pPr>
    </w:p>
    <w:p>
      <w:pPr>
        <w:pStyle w:val="ListParagraph"/>
        <w:numPr>
          <w:ilvl w:val="0"/>
          <w:numId w:val="1"/>
        </w:numPr>
        <w:tabs>
          <w:tab w:pos="1659" w:val="left" w:leader="none"/>
          <w:tab w:pos="1660" w:val="left" w:leader="none"/>
        </w:tabs>
        <w:spacing w:line="208" w:lineRule="auto" w:before="188" w:after="0"/>
        <w:ind w:left="220" w:right="656" w:firstLine="720"/>
        <w:jc w:val="both"/>
        <w:rPr>
          <w:sz w:val="24"/>
        </w:rPr>
      </w:pPr>
      <w:r>
        <w:rPr>
          <w:sz w:val="24"/>
        </w:rPr>
        <w:t>The Deputy District Attorney has the victim advocate interview the victim/witness. Notes and any reports from these interviews are then given to the prosecuting attorney. The notes are discoverable under Rule 16. The Colorado Court of Appeals has already addressed this issue and has stated clearly that these notes are not work product. A report of an interview of a witness by a lay investigator is not prosecutor’s work product, and hence, is automatically discoverable under subsection (I)(a)(1)(I). </w:t>
      </w:r>
      <w:r>
        <w:rPr>
          <w:rFonts w:ascii="Times New Roman" w:hAnsi="Times New Roman"/>
          <w:b/>
          <w:i/>
          <w:spacing w:val="4"/>
          <w:sz w:val="25"/>
        </w:rPr>
        <w:t>People </w:t>
      </w:r>
      <w:r>
        <w:rPr>
          <w:rFonts w:ascii="Times New Roman" w:hAnsi="Times New Roman"/>
          <w:b/>
          <w:i/>
          <w:spacing w:val="3"/>
          <w:sz w:val="25"/>
        </w:rPr>
        <w:t>v. </w:t>
      </w:r>
      <w:r>
        <w:rPr>
          <w:rFonts w:ascii="Times New Roman" w:hAnsi="Times New Roman"/>
          <w:b/>
          <w:i/>
          <w:spacing w:val="4"/>
          <w:sz w:val="25"/>
        </w:rPr>
        <w:t>Alberico</w:t>
      </w:r>
      <w:r>
        <w:rPr>
          <w:i/>
          <w:spacing w:val="4"/>
          <w:sz w:val="24"/>
        </w:rPr>
        <w:t>, </w:t>
      </w:r>
      <w:r>
        <w:rPr>
          <w:sz w:val="24"/>
        </w:rPr>
        <w:t>817 P.2d 573 (Colo.App.</w:t>
      </w:r>
      <w:r>
        <w:rPr>
          <w:spacing w:val="-1"/>
          <w:sz w:val="24"/>
        </w:rPr>
        <w:t> </w:t>
      </w:r>
      <w:r>
        <w:rPr>
          <w:sz w:val="24"/>
        </w:rPr>
        <w:t>1991).</w:t>
      </w:r>
    </w:p>
    <w:p>
      <w:pPr>
        <w:pStyle w:val="BodyText"/>
        <w:spacing w:before="6"/>
        <w:rPr>
          <w:sz w:val="21"/>
        </w:rPr>
      </w:pPr>
    </w:p>
    <w:p>
      <w:pPr>
        <w:pStyle w:val="ListParagraph"/>
        <w:numPr>
          <w:ilvl w:val="0"/>
          <w:numId w:val="1"/>
        </w:numPr>
        <w:tabs>
          <w:tab w:pos="1659" w:val="left" w:leader="none"/>
          <w:tab w:pos="1660" w:val="left" w:leader="none"/>
        </w:tabs>
        <w:spacing w:line="201" w:lineRule="auto" w:before="0" w:after="0"/>
        <w:ind w:left="220" w:right="656" w:firstLine="720"/>
        <w:jc w:val="both"/>
        <w:rPr>
          <w:sz w:val="24"/>
        </w:rPr>
      </w:pPr>
      <w:r>
        <w:rPr>
          <w:sz w:val="24"/>
        </w:rPr>
        <w:t>Whether the information in these notes and/or reports is exculpatory is for defense counsel to decide. Determination of relevance and usefulness of statements is the defense function, not the prosecution function. Only the defense can determine what will be material and helpful to its case. </w:t>
      </w:r>
      <w:r>
        <w:rPr>
          <w:rFonts w:ascii="Times New Roman"/>
          <w:b/>
          <w:i/>
          <w:spacing w:val="4"/>
          <w:sz w:val="25"/>
        </w:rPr>
        <w:t>People </w:t>
      </w:r>
      <w:r>
        <w:rPr>
          <w:rFonts w:ascii="Times New Roman"/>
          <w:b/>
          <w:i/>
          <w:spacing w:val="3"/>
          <w:sz w:val="25"/>
        </w:rPr>
        <w:t>v. </w:t>
      </w:r>
      <w:r>
        <w:rPr>
          <w:rFonts w:ascii="Times New Roman"/>
          <w:b/>
          <w:i/>
          <w:spacing w:val="5"/>
          <w:sz w:val="25"/>
        </w:rPr>
        <w:t>Smith</w:t>
      </w:r>
      <w:r>
        <w:rPr>
          <w:i/>
          <w:spacing w:val="5"/>
          <w:sz w:val="24"/>
        </w:rPr>
        <w:t>, </w:t>
      </w:r>
      <w:r>
        <w:rPr>
          <w:sz w:val="24"/>
        </w:rPr>
        <w:t>185 Colo 369, 524 P.2d 607 (1974); </w:t>
      </w:r>
      <w:r>
        <w:rPr>
          <w:rFonts w:ascii="Times New Roman"/>
          <w:b/>
          <w:i/>
          <w:spacing w:val="4"/>
          <w:sz w:val="25"/>
        </w:rPr>
        <w:t>People </w:t>
      </w:r>
      <w:r>
        <w:rPr>
          <w:rFonts w:ascii="Times New Roman"/>
          <w:b/>
          <w:i/>
          <w:spacing w:val="3"/>
          <w:sz w:val="25"/>
        </w:rPr>
        <w:t>v. </w:t>
      </w:r>
      <w:r>
        <w:rPr>
          <w:rFonts w:ascii="Times New Roman"/>
          <w:b/>
          <w:i/>
          <w:spacing w:val="3"/>
          <w:sz w:val="25"/>
        </w:rPr>
        <w:t>Gallegos</w:t>
      </w:r>
      <w:r>
        <w:rPr>
          <w:i/>
          <w:spacing w:val="3"/>
          <w:sz w:val="24"/>
        </w:rPr>
        <w:t>, </w:t>
      </w:r>
      <w:r>
        <w:rPr>
          <w:sz w:val="24"/>
        </w:rPr>
        <w:t>644 P.2d 920 (Colo.App.</w:t>
      </w:r>
      <w:r>
        <w:rPr>
          <w:spacing w:val="-8"/>
          <w:sz w:val="24"/>
        </w:rPr>
        <w:t> </w:t>
      </w:r>
      <w:r>
        <w:rPr>
          <w:sz w:val="24"/>
        </w:rPr>
        <w:t>1981).</w:t>
      </w:r>
    </w:p>
    <w:p>
      <w:pPr>
        <w:pStyle w:val="ListParagraph"/>
        <w:numPr>
          <w:ilvl w:val="0"/>
          <w:numId w:val="1"/>
        </w:numPr>
        <w:tabs>
          <w:tab w:pos="1659" w:val="left" w:leader="none"/>
          <w:tab w:pos="1660" w:val="left" w:leader="none"/>
        </w:tabs>
        <w:spacing w:line="208" w:lineRule="auto" w:before="248" w:after="0"/>
        <w:ind w:left="220" w:right="657" w:firstLine="720"/>
        <w:jc w:val="both"/>
        <w:rPr>
          <w:sz w:val="24"/>
        </w:rPr>
      </w:pPr>
      <w:r>
        <w:rPr>
          <w:sz w:val="24"/>
        </w:rPr>
        <w:t>If the prosecution claims that portions of these notes are non-discoverable for these or other reasons, the prosecution must notify the defense counsel in writing that this information has not been disclosed. Defense counsel will then request an </w:t>
      </w:r>
      <w:r>
        <w:rPr>
          <w:i/>
          <w:sz w:val="24"/>
        </w:rPr>
        <w:t>in camera hearing </w:t>
      </w:r>
      <w:r>
        <w:rPr>
          <w:sz w:val="24"/>
        </w:rPr>
        <w:t>to determine the status of this information. The prosecution should not be determining “work product” and “exculpatory” issues on its own while leaving the Court and the Accused in the dark concerning this information. The authority of this request is Colorado Rules of Criminal Procedure Rule</w:t>
      </w:r>
      <w:r>
        <w:rPr>
          <w:spacing w:val="-1"/>
          <w:sz w:val="24"/>
        </w:rPr>
        <w:t> </w:t>
      </w:r>
      <w:r>
        <w:rPr>
          <w:sz w:val="24"/>
        </w:rPr>
        <w:t>16(b)(1).</w:t>
      </w:r>
    </w:p>
    <w:p>
      <w:pPr>
        <w:pStyle w:val="BodyText"/>
        <w:spacing w:before="9"/>
        <w:rPr>
          <w:sz w:val="20"/>
        </w:rPr>
      </w:pPr>
    </w:p>
    <w:p>
      <w:pPr>
        <w:pStyle w:val="BodyText"/>
        <w:spacing w:line="211" w:lineRule="auto" w:before="1"/>
        <w:ind w:left="220" w:right="657" w:firstLine="720"/>
        <w:jc w:val="both"/>
      </w:pPr>
      <w:r>
        <w:rPr/>
        <w:t>WHEREFORE, Mr. Walker requests this Court order the prosecution to produce all victim advocate notes and</w:t>
      </w:r>
      <w:r>
        <w:rPr>
          <w:spacing w:val="-1"/>
        </w:rPr>
        <w:t> </w:t>
      </w:r>
      <w:r>
        <w:rPr/>
        <w:t>reports.</w:t>
      </w:r>
    </w:p>
    <w:p>
      <w:pPr>
        <w:pStyle w:val="BodyText"/>
        <w:rPr>
          <w:sz w:val="26"/>
        </w:rPr>
      </w:pPr>
    </w:p>
    <w:p>
      <w:pPr>
        <w:pStyle w:val="BodyText"/>
        <w:spacing w:line="422" w:lineRule="auto" w:before="159"/>
        <w:ind w:left="220" w:right="6683"/>
      </w:pPr>
      <w:bookmarkStart w:name="Dated:  February 23, 2017." w:id="1"/>
      <w:bookmarkEnd w:id="1"/>
      <w:r>
        <w:rPr/>
      </w:r>
      <w:r>
        <w:rPr/>
        <w:t>Dated: February 23, 2017. Respectfully Submitted:</w:t>
      </w:r>
      <w:bookmarkStart w:name="DANIELLE M. MCCARTHY, P.C." w:id="2"/>
      <w:bookmarkEnd w:id="2"/>
      <w:r>
        <w:rPr/>
      </w:r>
      <w:r>
        <w:rPr/>
        <w:t> DANIELLE M. MCCARTHY,</w:t>
      </w:r>
      <w:r>
        <w:rPr>
          <w:spacing w:val="-13"/>
        </w:rPr>
        <w:t> </w:t>
      </w:r>
      <w:r>
        <w:rPr/>
        <w:t>P.C.</w:t>
      </w:r>
    </w:p>
    <w:p>
      <w:pPr>
        <w:spacing w:line="276" w:lineRule="exact" w:before="0"/>
        <w:ind w:left="220" w:right="0" w:firstLine="0"/>
        <w:jc w:val="left"/>
        <w:rPr>
          <w:i/>
          <w:sz w:val="24"/>
        </w:rPr>
      </w:pPr>
      <w:r>
        <w:rPr>
          <w:i/>
          <w:sz w:val="24"/>
        </w:rPr>
        <w:t>Danielle M. McCarthy</w:t>
      </w:r>
    </w:p>
    <w:p>
      <w:pPr>
        <w:pStyle w:val="BodyText"/>
        <w:rPr>
          <w:i/>
          <w:sz w:val="20"/>
        </w:rPr>
      </w:pPr>
    </w:p>
    <w:p>
      <w:pPr>
        <w:pStyle w:val="BodyText"/>
        <w:spacing w:before="5"/>
        <w:rPr>
          <w:i/>
          <w:sz w:val="16"/>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8"/>
        <w:gridCol w:w="6403"/>
      </w:tblGrid>
      <w:tr>
        <w:trPr>
          <w:trHeight w:val="1458" w:hRule="atLeast"/>
        </w:trPr>
        <w:tc>
          <w:tcPr>
            <w:tcW w:w="3158" w:type="dxa"/>
            <w:tcBorders>
              <w:top w:val="single" w:sz="4" w:space="0" w:color="000000"/>
            </w:tcBorders>
          </w:tcPr>
          <w:p>
            <w:pPr>
              <w:pStyle w:val="TableParagraph"/>
              <w:spacing w:line="258" w:lineRule="exact"/>
              <w:ind w:left="0"/>
              <w:rPr>
                <w:sz w:val="24"/>
              </w:rPr>
            </w:pPr>
            <w:r>
              <w:rPr>
                <w:sz w:val="24"/>
              </w:rPr>
              <w:t>Danielle M. McCarthy, #34573</w:t>
            </w:r>
          </w:p>
        </w:tc>
        <w:tc>
          <w:tcPr>
            <w:tcW w:w="6403" w:type="dxa"/>
          </w:tcPr>
          <w:p>
            <w:pPr>
              <w:pStyle w:val="TableParagraph"/>
              <w:spacing w:line="242" w:lineRule="exact"/>
              <w:ind w:left="3428"/>
              <w:rPr>
                <w:b/>
                <w:sz w:val="24"/>
              </w:rPr>
            </w:pPr>
            <w:r>
              <w:rPr>
                <w:b/>
                <w:sz w:val="24"/>
                <w:u w:val="single"/>
              </w:rPr>
              <w:t>Certificate of</w:t>
            </w:r>
            <w:r>
              <w:rPr>
                <w:b/>
                <w:spacing w:val="-10"/>
                <w:sz w:val="24"/>
                <w:u w:val="single"/>
              </w:rPr>
              <w:t> </w:t>
            </w:r>
            <w:r>
              <w:rPr>
                <w:b/>
                <w:sz w:val="24"/>
                <w:u w:val="single"/>
              </w:rPr>
              <w:t>Service</w:t>
            </w:r>
          </w:p>
          <w:p>
            <w:pPr>
              <w:pStyle w:val="TableParagraph"/>
              <w:spacing w:line="211" w:lineRule="auto" w:before="9"/>
              <w:ind w:left="2799" w:right="197"/>
              <w:jc w:val="both"/>
              <w:rPr>
                <w:sz w:val="24"/>
              </w:rPr>
            </w:pPr>
            <w:r>
              <w:rPr>
                <w:sz w:val="24"/>
              </w:rPr>
              <w:t>I hereby certify that on 2/23/17, copies of the foregoing document were served on all opposing counsel of record via</w:t>
            </w:r>
            <w:r>
              <w:rPr>
                <w:spacing w:val="-3"/>
                <w:sz w:val="24"/>
              </w:rPr>
              <w:t> </w:t>
            </w:r>
            <w:r>
              <w:rPr>
                <w:sz w:val="24"/>
              </w:rPr>
              <w:t>ICCES.</w:t>
            </w:r>
          </w:p>
          <w:p>
            <w:pPr>
              <w:pStyle w:val="TableParagraph"/>
              <w:tabs>
                <w:tab w:pos="5022" w:val="left" w:leader="none"/>
              </w:tabs>
              <w:spacing w:line="228" w:lineRule="exact"/>
              <w:ind w:left="2799"/>
              <w:jc w:val="both"/>
              <w:rPr>
                <w:sz w:val="24"/>
              </w:rPr>
            </w:pPr>
            <w:r>
              <w:rPr>
                <w:sz w:val="24"/>
              </w:rPr>
              <w:t>By: </w:t>
            </w:r>
            <w:r>
              <w:rPr>
                <w:spacing w:val="47"/>
                <w:sz w:val="24"/>
              </w:rPr>
              <w:t> </w:t>
            </w:r>
            <w:r>
              <w:rPr>
                <w:sz w:val="24"/>
              </w:rPr>
              <w:t>_DMM</w:t>
            </w:r>
            <w:r>
              <w:rPr>
                <w:sz w:val="24"/>
                <w:u w:val="single"/>
              </w:rPr>
              <w:t> </w:t>
              <w:tab/>
            </w:r>
          </w:p>
        </w:tc>
      </w:tr>
    </w:tbl>
    <w:sectPr>
      <w:pgSz w:w="12240" w:h="15840"/>
      <w:pgMar w:top="150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fornian FB">
    <w:altName w:val="Californian FB"/>
    <w:charset w:val="0"/>
    <w:family w:val="roman"/>
    <w:pitch w:val="variable"/>
  </w:font>
  <w:font w:name="Minion Pro">
    <w:altName w:val="Minion Pro"/>
    <w:charset w:val="0"/>
    <w:family w:val="roman"/>
    <w:pitch w:val="variable"/>
  </w:font>
  <w:font w:name="PMingLiU-ExtB">
    <w:altName w:val="PMingLiU-ExtB"/>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20"/>
        <w:jc w:val="left"/>
      </w:pPr>
      <w:rPr>
        <w:rFonts w:hint="default" w:ascii="Californian FB" w:hAnsi="Californian FB" w:eastAsia="Californian FB" w:cs="Californian FB"/>
        <w:spacing w:val="-21"/>
        <w:w w:val="100"/>
        <w:sz w:val="24"/>
        <w:szCs w:val="24"/>
      </w:rPr>
    </w:lvl>
    <w:lvl w:ilvl="1">
      <w:start w:val="0"/>
      <w:numFmt w:val="bullet"/>
      <w:lvlText w:val="•"/>
      <w:lvlJc w:val="left"/>
      <w:pPr>
        <w:ind w:left="1222" w:hanging="720"/>
      </w:pPr>
      <w:rPr>
        <w:rFonts w:hint="default"/>
      </w:rPr>
    </w:lvl>
    <w:lvl w:ilvl="2">
      <w:start w:val="0"/>
      <w:numFmt w:val="bullet"/>
      <w:lvlText w:val="•"/>
      <w:lvlJc w:val="left"/>
      <w:pPr>
        <w:ind w:left="2224" w:hanging="720"/>
      </w:pPr>
      <w:rPr>
        <w:rFonts w:hint="default"/>
      </w:rPr>
    </w:lvl>
    <w:lvl w:ilvl="3">
      <w:start w:val="0"/>
      <w:numFmt w:val="bullet"/>
      <w:lvlText w:val="•"/>
      <w:lvlJc w:val="left"/>
      <w:pPr>
        <w:ind w:left="3226" w:hanging="720"/>
      </w:pPr>
      <w:rPr>
        <w:rFonts w:hint="default"/>
      </w:rPr>
    </w:lvl>
    <w:lvl w:ilvl="4">
      <w:start w:val="0"/>
      <w:numFmt w:val="bullet"/>
      <w:lvlText w:val="•"/>
      <w:lvlJc w:val="left"/>
      <w:pPr>
        <w:ind w:left="4228" w:hanging="720"/>
      </w:pPr>
      <w:rPr>
        <w:rFonts w:hint="default"/>
      </w:rPr>
    </w:lvl>
    <w:lvl w:ilvl="5">
      <w:start w:val="0"/>
      <w:numFmt w:val="bullet"/>
      <w:lvlText w:val="•"/>
      <w:lvlJc w:val="left"/>
      <w:pPr>
        <w:ind w:left="5230" w:hanging="720"/>
      </w:pPr>
      <w:rPr>
        <w:rFonts w:hint="default"/>
      </w:rPr>
    </w:lvl>
    <w:lvl w:ilvl="6">
      <w:start w:val="0"/>
      <w:numFmt w:val="bullet"/>
      <w:lvlText w:val="•"/>
      <w:lvlJc w:val="left"/>
      <w:pPr>
        <w:ind w:left="6232" w:hanging="720"/>
      </w:pPr>
      <w:rPr>
        <w:rFonts w:hint="default"/>
      </w:rPr>
    </w:lvl>
    <w:lvl w:ilvl="7">
      <w:start w:val="0"/>
      <w:numFmt w:val="bullet"/>
      <w:lvlText w:val="•"/>
      <w:lvlJc w:val="left"/>
      <w:pPr>
        <w:ind w:left="7234" w:hanging="720"/>
      </w:pPr>
      <w:rPr>
        <w:rFonts w:hint="default"/>
      </w:rPr>
    </w:lvl>
    <w:lvl w:ilvl="8">
      <w:start w:val="0"/>
      <w:numFmt w:val="bullet"/>
      <w:lvlText w:val="•"/>
      <w:lvlJc w:val="left"/>
      <w:pPr>
        <w:ind w:left="823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fornian FB" w:hAnsi="Californian FB" w:eastAsia="Californian FB" w:cs="Californian FB"/>
    </w:rPr>
  </w:style>
  <w:style w:styleId="BodyText" w:type="paragraph">
    <w:name w:val="Body Text"/>
    <w:basedOn w:val="Normal"/>
    <w:uiPriority w:val="1"/>
    <w:qFormat/>
    <w:pPr/>
    <w:rPr>
      <w:rFonts w:ascii="Californian FB" w:hAnsi="Californian FB" w:eastAsia="Californian FB" w:cs="Californian FB"/>
      <w:sz w:val="24"/>
      <w:szCs w:val="24"/>
    </w:rPr>
  </w:style>
  <w:style w:styleId="ListParagraph" w:type="paragraph">
    <w:name w:val="List Paragraph"/>
    <w:basedOn w:val="Normal"/>
    <w:uiPriority w:val="1"/>
    <w:qFormat/>
    <w:pPr>
      <w:ind w:left="220" w:right="656" w:firstLine="720"/>
      <w:jc w:val="both"/>
    </w:pPr>
    <w:rPr>
      <w:rFonts w:ascii="Californian FB" w:hAnsi="Californian FB" w:eastAsia="Californian FB" w:cs="Californian FB"/>
    </w:rPr>
  </w:style>
  <w:style w:styleId="TableParagraph" w:type="paragraph">
    <w:name w:val="Table Paragraph"/>
    <w:basedOn w:val="Normal"/>
    <w:uiPriority w:val="1"/>
    <w:qFormat/>
    <w:pPr>
      <w:ind w:left="107"/>
    </w:pPr>
    <w:rPr>
      <w:rFonts w:ascii="Californian FB" w:hAnsi="Californian FB" w:eastAsia="Californian FB" w:cs="Californian F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Public Defender</dc:creator>
  <dc:title>Denver District Court Motion</dc:title>
  <dcterms:created xsi:type="dcterms:W3CDTF">2019-03-20T18:08:09Z</dcterms:created>
  <dcterms:modified xsi:type="dcterms:W3CDTF">2019-03-20T18:08:09Z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10.1 for Word</vt:lpwstr>
  </property>
  <property fmtid="{D5CDD505-2E9C-101B-9397-08002B2CF9AE}" pid="4" name="LastSaved">
    <vt:filetime>2019-03-20T00:00:00Z</vt:filetime>
  </property>
</Properties>
</file>