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5"/>
        </w:rPr>
      </w:pPr>
    </w:p>
    <w:p>
      <w:pPr>
        <w:spacing w:line="451" w:lineRule="auto" w:before="92"/>
        <w:ind w:left="5993" w:right="3758" w:firstLine="10"/>
        <w:jc w:val="center"/>
        <w:rPr>
          <w:sz w:val="20"/>
        </w:rPr>
      </w:pPr>
      <w:r>
        <w:rPr/>
        <w:pict>
          <v:shape style="position:absolute;margin-left:66.384003pt;margin-top:-48.864075pt;width:469.8pt;height:278.6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27" w:hRule="atLeast"/>
                    </w:trPr>
                    <w:tc>
                      <w:tcPr>
                        <w:tcW w:w="5960" w:type="dxa"/>
                      </w:tcPr>
                      <w:p>
                        <w:pPr>
                          <w:pStyle w:val="TableParagraph"/>
                          <w:ind w:left="107" w:right="1409"/>
                          <w:rPr>
                            <w:sz w:val="24"/>
                          </w:rPr>
                        </w:pPr>
                        <w:r>
                          <w:rPr>
                            <w:sz w:val="24"/>
                          </w:rPr>
                          <w:t>District Court, Adams County, Colorado Court Address: 1100 Judicial Center Drive</w:t>
                        </w:r>
                      </w:p>
                      <w:p>
                        <w:pPr>
                          <w:pStyle w:val="TableParagraph"/>
                          <w:spacing w:line="261" w:lineRule="exact"/>
                          <w:ind w:left="1607"/>
                          <w:rPr>
                            <w:sz w:val="24"/>
                          </w:rPr>
                        </w:pPr>
                        <w:r>
                          <w:rPr>
                            <w:sz w:val="24"/>
                          </w:rPr>
                          <w:t>Brighton, CO 80601</w:t>
                        </w:r>
                      </w:p>
                    </w:tc>
                    <w:tc>
                      <w:tcPr>
                        <w:tcW w:w="34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
                          <w:rPr>
                            <w:sz w:val="27"/>
                          </w:rPr>
                        </w:pPr>
                      </w:p>
                      <w:p>
                        <w:pPr>
                          <w:pStyle w:val="TableParagraph"/>
                          <w:spacing w:line="225" w:lineRule="auto"/>
                          <w:ind w:left="68" w:right="76" w:hanging="14"/>
                          <w:rPr>
                            <w:sz w:val="20"/>
                          </w:rPr>
                        </w:pPr>
                        <w:r>
                          <w:rPr>
                            <w:color w:val="0000FF"/>
                            <w:sz w:val="20"/>
                          </w:rPr>
                          <w:t>ILED: November 26, 2017 10:05 AM ID: 1B271DEBF8F87</w:t>
                        </w:r>
                      </w:p>
                      <w:p>
                        <w:pPr>
                          <w:pStyle w:val="TableParagraph"/>
                          <w:spacing w:line="218" w:lineRule="exact"/>
                          <w:ind w:left="66"/>
                          <w:rPr>
                            <w:sz w:val="20"/>
                          </w:rPr>
                        </w:pPr>
                        <w:r>
                          <w:rPr>
                            <w:color w:val="0000FF"/>
                            <w:sz w:val="20"/>
                          </w:rPr>
                          <w:t>UMBER: 2016CR2117</w:t>
                        </w:r>
                      </w:p>
                      <w:p>
                        <w:pPr>
                          <w:pStyle w:val="TableParagraph"/>
                          <w:rPr>
                            <w:sz w:val="22"/>
                          </w:rPr>
                        </w:pPr>
                      </w:p>
                      <w:p>
                        <w:pPr>
                          <w:pStyle w:val="TableParagraph"/>
                          <w:rPr>
                            <w:sz w:val="22"/>
                          </w:rPr>
                        </w:pPr>
                      </w:p>
                      <w:p>
                        <w:pPr>
                          <w:pStyle w:val="TableParagraph"/>
                          <w:spacing w:before="2"/>
                          <w:rPr>
                            <w:sz w:val="21"/>
                          </w:rPr>
                        </w:pPr>
                      </w:p>
                      <w:p>
                        <w:pPr>
                          <w:pStyle w:val="TableParagraph"/>
                          <w:spacing w:line="279" w:lineRule="exact"/>
                          <w:ind w:left="475"/>
                          <w:rPr>
                            <w:rFonts w:ascii="Symbol" w:hAnsi="Symbol"/>
                            <w:sz w:val="24"/>
                          </w:rPr>
                        </w:pPr>
                        <w:r>
                          <w:rPr>
                            <w:rFonts w:ascii="Symbol" w:hAnsi="Symbol"/>
                            <w:sz w:val="24"/>
                          </w:rPr>
                          <w:t></w:t>
                        </w:r>
                        <w:r>
                          <w:rPr>
                            <w:sz w:val="24"/>
                          </w:rPr>
                          <w:t> COURT USE ONLY </w:t>
                        </w:r>
                        <w:r>
                          <w:rPr>
                            <w:rFonts w:ascii="Symbol" w:hAnsi="Symbol"/>
                            <w:sz w:val="24"/>
                          </w:rPr>
                          <w:t></w:t>
                        </w:r>
                      </w:p>
                    </w:tc>
                  </w:tr>
                  <w:tr>
                    <w:trPr>
                      <w:trHeight w:val="1931" w:hRule="atLeast"/>
                    </w:trPr>
                    <w:tc>
                      <w:tcPr>
                        <w:tcW w:w="5960" w:type="dxa"/>
                      </w:tcPr>
                      <w:p>
                        <w:pPr>
                          <w:pStyle w:val="TableParagraph"/>
                          <w:spacing w:line="244" w:lineRule="exact"/>
                          <w:ind w:left="107"/>
                          <w:rPr>
                            <w:sz w:val="24"/>
                          </w:rPr>
                        </w:pPr>
                        <w:r>
                          <w:rPr>
                            <w:sz w:val="24"/>
                          </w:rPr>
                          <w:t>THE PEOPLE OF THE STATE OF COLORADO,</w:t>
                        </w:r>
                      </w:p>
                      <w:p>
                        <w:pPr>
                          <w:pStyle w:val="TableParagraph"/>
                          <w:tabs>
                            <w:tab w:pos="5285" w:val="left" w:leader="none"/>
                          </w:tabs>
                          <w:spacing w:line="248" w:lineRule="exact"/>
                          <w:ind w:left="107"/>
                          <w:rPr>
                            <w:sz w:val="20"/>
                          </w:rPr>
                        </w:pPr>
                        <w:r>
                          <w:rPr>
                            <w:sz w:val="24"/>
                          </w:rPr>
                          <w:t>Plaintiff</w:t>
                          <w:tab/>
                        </w:r>
                        <w:r>
                          <w:rPr>
                            <w:color w:val="0000FF"/>
                            <w:position w:val="9"/>
                            <w:sz w:val="20"/>
                          </w:rPr>
                          <w:t>DATE</w:t>
                        </w:r>
                      </w:p>
                      <w:p>
                        <w:pPr>
                          <w:pStyle w:val="TableParagraph"/>
                          <w:spacing w:line="169" w:lineRule="exact"/>
                          <w:ind w:right="-15"/>
                          <w:jc w:val="right"/>
                          <w:rPr>
                            <w:sz w:val="20"/>
                          </w:rPr>
                        </w:pPr>
                        <w:r>
                          <w:rPr>
                            <w:color w:val="0000FF"/>
                            <w:sz w:val="20"/>
                          </w:rPr>
                          <w:t>FILING</w:t>
                        </w:r>
                      </w:p>
                      <w:p>
                        <w:pPr>
                          <w:pStyle w:val="TableParagraph"/>
                          <w:spacing w:line="192" w:lineRule="exact"/>
                          <w:ind w:right="143"/>
                          <w:jc w:val="right"/>
                          <w:rPr>
                            <w:sz w:val="20"/>
                          </w:rPr>
                        </w:pPr>
                        <w:r>
                          <w:rPr>
                            <w:color w:val="0000FF"/>
                            <w:sz w:val="20"/>
                          </w:rPr>
                          <w:t>CASE</w:t>
                        </w:r>
                      </w:p>
                      <w:p>
                        <w:pPr>
                          <w:pStyle w:val="TableParagraph"/>
                          <w:spacing w:line="245" w:lineRule="exact"/>
                          <w:ind w:left="107"/>
                          <w:rPr>
                            <w:sz w:val="24"/>
                          </w:rPr>
                        </w:pPr>
                        <w:r>
                          <w:rPr>
                            <w:sz w:val="24"/>
                          </w:rPr>
                          <w:t>v.</w:t>
                        </w:r>
                      </w:p>
                      <w:p>
                        <w:pPr>
                          <w:pStyle w:val="TableParagraph"/>
                          <w:rPr>
                            <w:sz w:val="24"/>
                          </w:rPr>
                        </w:pPr>
                      </w:p>
                      <w:p>
                        <w:pPr>
                          <w:pStyle w:val="TableParagraph"/>
                          <w:ind w:left="107"/>
                          <w:rPr>
                            <w:sz w:val="24"/>
                          </w:rPr>
                        </w:pPr>
                        <w:r>
                          <w:rPr>
                            <w:sz w:val="24"/>
                          </w:rPr>
                          <w:t>JUAN RAMIREZ-CABRERA,</w:t>
                        </w:r>
                      </w:p>
                      <w:p>
                        <w:pPr>
                          <w:pStyle w:val="TableParagraph"/>
                          <w:spacing w:line="261" w:lineRule="exact"/>
                          <w:ind w:left="107"/>
                          <w:rPr>
                            <w:sz w:val="24"/>
                          </w:rPr>
                        </w:pPr>
                        <w:r>
                          <w:rPr>
                            <w:sz w:val="24"/>
                          </w:rPr>
                          <w:t>Defendant</w:t>
                        </w:r>
                      </w:p>
                    </w:tc>
                    <w:tc>
                      <w:tcPr>
                        <w:tcW w:w="3420" w:type="dxa"/>
                        <w:vMerge/>
                        <w:tcBorders>
                          <w:top w:val="nil"/>
                        </w:tcBorders>
                      </w:tcPr>
                      <w:p>
                        <w:pPr>
                          <w:rPr>
                            <w:sz w:val="2"/>
                            <w:szCs w:val="2"/>
                          </w:rPr>
                        </w:pPr>
                      </w:p>
                    </w:tc>
                  </w:tr>
                  <w:tr>
                    <w:trPr>
                      <w:trHeight w:val="1932" w:hRule="atLeast"/>
                    </w:trPr>
                    <w:tc>
                      <w:tcPr>
                        <w:tcW w:w="5960" w:type="dxa"/>
                      </w:tcPr>
                      <w:p>
                        <w:pPr>
                          <w:pStyle w:val="TableParagraph"/>
                          <w:ind w:left="107" w:right="797"/>
                          <w:rPr>
                            <w:sz w:val="24"/>
                          </w:rPr>
                        </w:pPr>
                        <w:r>
                          <w:rPr>
                            <w:sz w:val="24"/>
                          </w:rPr>
                          <w:t>Douglas K. Wilson, Colorado State Public Defender Renae L. Mundis #44821</w:t>
                        </w:r>
                      </w:p>
                      <w:p>
                        <w:pPr>
                          <w:pStyle w:val="TableParagraph"/>
                          <w:ind w:left="107" w:right="2137"/>
                          <w:rPr>
                            <w:sz w:val="24"/>
                          </w:rPr>
                        </w:pPr>
                        <w:r>
                          <w:rPr>
                            <w:sz w:val="24"/>
                          </w:rPr>
                          <w:t>Deputy State Public Defender Brighton Regional Public Defenders</w:t>
                        </w:r>
                      </w:p>
                      <w:p>
                        <w:pPr>
                          <w:pStyle w:val="TableParagraph"/>
                          <w:ind w:left="107"/>
                          <w:rPr>
                            <w:sz w:val="24"/>
                          </w:rPr>
                        </w:pPr>
                        <w:r>
                          <w:rPr>
                            <w:sz w:val="24"/>
                          </w:rPr>
                          <w:t>4710 East Bromley Lane, Brighton CO</w:t>
                        </w:r>
                        <w:r>
                          <w:rPr>
                            <w:spacing w:val="57"/>
                            <w:sz w:val="24"/>
                          </w:rPr>
                          <w:t> </w:t>
                        </w:r>
                        <w:r>
                          <w:rPr>
                            <w:sz w:val="24"/>
                          </w:rPr>
                          <w:t>80601</w:t>
                        </w:r>
                      </w:p>
                      <w:p>
                        <w:pPr>
                          <w:pStyle w:val="TableParagraph"/>
                          <w:tabs>
                            <w:tab w:pos="3354" w:val="left" w:leader="none"/>
                          </w:tabs>
                          <w:ind w:left="107"/>
                          <w:rPr>
                            <w:sz w:val="24"/>
                          </w:rPr>
                        </w:pPr>
                        <w:r>
                          <w:rPr>
                            <w:sz w:val="24"/>
                          </w:rPr>
                          <w:t>Phone:</w:t>
                        </w:r>
                        <w:r>
                          <w:rPr>
                            <w:spacing w:val="59"/>
                            <w:sz w:val="24"/>
                          </w:rPr>
                          <w:t> </w:t>
                        </w:r>
                        <w:r>
                          <w:rPr>
                            <w:sz w:val="24"/>
                          </w:rPr>
                          <w:t>(303)</w:t>
                        </w:r>
                        <w:r>
                          <w:rPr>
                            <w:spacing w:val="-2"/>
                            <w:sz w:val="24"/>
                          </w:rPr>
                          <w:t> </w:t>
                        </w:r>
                        <w:r>
                          <w:rPr>
                            <w:sz w:val="24"/>
                          </w:rPr>
                          <w:t>659-4274</w:t>
                          <w:tab/>
                          <w:t>Fax: (303) 659-6935</w:t>
                        </w:r>
                      </w:p>
                      <w:p>
                        <w:pPr>
                          <w:pStyle w:val="TableParagraph"/>
                          <w:spacing w:line="261" w:lineRule="exact"/>
                          <w:ind w:left="107"/>
                          <w:rPr>
                            <w:sz w:val="24"/>
                          </w:rPr>
                        </w:pPr>
                        <w:r>
                          <w:rPr>
                            <w:sz w:val="24"/>
                          </w:rPr>
                          <w:t>E-mail: </w:t>
                        </w:r>
                        <w:hyperlink r:id="rId6">
                          <w:r>
                            <w:rPr>
                              <w:sz w:val="24"/>
                            </w:rPr>
                            <w:t>brighton.defenders@state.co.us</w:t>
                          </w:r>
                        </w:hyperlink>
                      </w:p>
                    </w:tc>
                    <w:tc>
                      <w:tcPr>
                        <w:tcW w:w="3420" w:type="dxa"/>
                      </w:tcPr>
                      <w:p>
                        <w:pPr>
                          <w:pStyle w:val="TableParagraph"/>
                          <w:spacing w:before="5"/>
                          <w:rPr>
                            <w:sz w:val="23"/>
                          </w:rPr>
                        </w:pPr>
                      </w:p>
                      <w:p>
                        <w:pPr>
                          <w:pStyle w:val="TableParagraph"/>
                          <w:ind w:left="105"/>
                          <w:rPr>
                            <w:sz w:val="24"/>
                          </w:rPr>
                        </w:pPr>
                        <w:r>
                          <w:rPr>
                            <w:sz w:val="24"/>
                          </w:rPr>
                          <w:t>Case No.</w:t>
                        </w:r>
                        <w:r>
                          <w:rPr>
                            <w:spacing w:val="57"/>
                            <w:sz w:val="24"/>
                          </w:rPr>
                          <w:t> </w:t>
                        </w:r>
                        <w:r>
                          <w:rPr>
                            <w:sz w:val="24"/>
                          </w:rPr>
                          <w:t>16CR2117</w:t>
                        </w:r>
                      </w:p>
                      <w:p>
                        <w:pPr>
                          <w:pStyle w:val="TableParagraph"/>
                          <w:rPr>
                            <w:sz w:val="26"/>
                          </w:rPr>
                        </w:pPr>
                      </w:p>
                      <w:p>
                        <w:pPr>
                          <w:pStyle w:val="TableParagraph"/>
                          <w:rPr>
                            <w:sz w:val="26"/>
                          </w:rPr>
                        </w:pPr>
                      </w:p>
                      <w:p>
                        <w:pPr>
                          <w:pStyle w:val="TableParagraph"/>
                          <w:rPr>
                            <w:sz w:val="26"/>
                          </w:rPr>
                        </w:pPr>
                      </w:p>
                      <w:p>
                        <w:pPr>
                          <w:pStyle w:val="TableParagraph"/>
                          <w:spacing w:line="261" w:lineRule="exact" w:before="208"/>
                          <w:ind w:left="105"/>
                          <w:rPr>
                            <w:sz w:val="24"/>
                          </w:rPr>
                        </w:pPr>
                        <w:r>
                          <w:rPr>
                            <w:sz w:val="24"/>
                          </w:rPr>
                          <w:t>Division L</w:t>
                        </w:r>
                      </w:p>
                    </w:tc>
                  </w:tr>
                  <w:tr>
                    <w:trPr>
                      <w:trHeight w:val="830" w:hRule="atLeast"/>
                    </w:trPr>
                    <w:tc>
                      <w:tcPr>
                        <w:tcW w:w="9380" w:type="dxa"/>
                        <w:gridSpan w:val="2"/>
                      </w:tcPr>
                      <w:p>
                        <w:pPr>
                          <w:pStyle w:val="TableParagraph"/>
                          <w:spacing w:before="10"/>
                          <w:rPr>
                            <w:sz w:val="23"/>
                          </w:rPr>
                        </w:pPr>
                      </w:p>
                      <w:p>
                        <w:pPr>
                          <w:pStyle w:val="TableParagraph"/>
                          <w:ind w:left="830"/>
                          <w:rPr>
                            <w:b/>
                            <w:sz w:val="24"/>
                          </w:rPr>
                        </w:pPr>
                        <w:r>
                          <w:rPr>
                            <w:b/>
                            <w:sz w:val="24"/>
                          </w:rPr>
                          <w:t>MOTION TO RECONSIDER SENTENCE PURSUANT TO C.R.C.P 35(b)</w:t>
                        </w:r>
                      </w:p>
                    </w:tc>
                  </w:tr>
                </w:tbl>
                <w:p>
                  <w:pPr>
                    <w:pStyle w:val="BodyText"/>
                  </w:pPr>
                </w:p>
              </w:txbxContent>
            </v:textbox>
            <w10:wrap type="none"/>
          </v:shape>
        </w:pict>
      </w:r>
      <w:r>
        <w:rPr>
          <w:color w:val="0000FF"/>
          <w:sz w:val="20"/>
        </w:rPr>
        <w:t>F 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1"/>
        </w:rPr>
      </w:pPr>
    </w:p>
    <w:p>
      <w:pPr>
        <w:pStyle w:val="BodyText"/>
        <w:ind w:left="220" w:right="400" w:firstLine="719"/>
        <w:jc w:val="both"/>
      </w:pPr>
      <w:r>
        <w:rPr/>
        <w:t>Juan Ramirez-Cabrera, by and through counsel, respectfully requests this Court to reconsider his sentence from the 18 months in community corrections to a period of probation. As grounds for this request, Mr. Ramirez-Cabrera states the following:</w:t>
      </w:r>
    </w:p>
    <w:p>
      <w:pPr>
        <w:pStyle w:val="BodyText"/>
        <w:spacing w:before="3"/>
        <w:rPr>
          <w:sz w:val="21"/>
        </w:rPr>
      </w:pPr>
    </w:p>
    <w:p>
      <w:pPr>
        <w:pStyle w:val="Heading1"/>
        <w:numPr>
          <w:ilvl w:val="0"/>
          <w:numId w:val="1"/>
        </w:numPr>
        <w:tabs>
          <w:tab w:pos="495" w:val="left" w:leader="none"/>
        </w:tabs>
        <w:spacing w:line="240" w:lineRule="auto" w:before="1" w:after="0"/>
        <w:ind w:left="494" w:right="0" w:hanging="274"/>
        <w:jc w:val="left"/>
      </w:pPr>
      <w:r>
        <w:rPr/>
        <w:t>Facts</w:t>
      </w:r>
    </w:p>
    <w:p>
      <w:pPr>
        <w:pStyle w:val="BodyText"/>
        <w:spacing w:before="6"/>
        <w:rPr>
          <w:b/>
          <w:sz w:val="23"/>
        </w:rPr>
      </w:pPr>
    </w:p>
    <w:p>
      <w:pPr>
        <w:pStyle w:val="BodyText"/>
        <w:spacing w:before="1"/>
        <w:ind w:left="796" w:right="675" w:hanging="576"/>
        <w:jc w:val="both"/>
      </w:pPr>
      <w:r>
        <w:rPr/>
        <w:t>1. On November 20, 2017, Mr. Ramirez-Cabrera was sentenced on a class 6 felony of Aggravated Motor Vehicle Theft. The presentence report recommended  probation with increased cognitive therapy as a focus for Mr. Ramirez-Cabrera’s repeat offending with similar</w:t>
      </w:r>
      <w:r>
        <w:rPr>
          <w:spacing w:val="-1"/>
        </w:rPr>
        <w:t> </w:t>
      </w:r>
      <w:r>
        <w:rPr/>
        <w:t>crimes.</w:t>
      </w:r>
    </w:p>
    <w:p>
      <w:pPr>
        <w:pStyle w:val="BodyText"/>
        <w:spacing w:before="3"/>
        <w:rPr>
          <w:sz w:val="21"/>
        </w:rPr>
      </w:pPr>
    </w:p>
    <w:p>
      <w:pPr>
        <w:pStyle w:val="Heading1"/>
        <w:numPr>
          <w:ilvl w:val="0"/>
          <w:numId w:val="1"/>
        </w:numPr>
        <w:tabs>
          <w:tab w:pos="528" w:val="left" w:leader="none"/>
        </w:tabs>
        <w:spacing w:line="240" w:lineRule="auto" w:before="0" w:after="0"/>
        <w:ind w:left="527" w:right="0" w:hanging="307"/>
        <w:jc w:val="left"/>
      </w:pPr>
      <w:r>
        <w:rPr/>
        <w:t>Law</w:t>
      </w:r>
    </w:p>
    <w:p>
      <w:pPr>
        <w:pStyle w:val="BodyText"/>
        <w:spacing w:before="7"/>
        <w:rPr>
          <w:b/>
          <w:sz w:val="23"/>
        </w:rPr>
      </w:pPr>
    </w:p>
    <w:p>
      <w:pPr>
        <w:pStyle w:val="ListParagraph"/>
        <w:numPr>
          <w:ilvl w:val="0"/>
          <w:numId w:val="2"/>
        </w:numPr>
        <w:tabs>
          <w:tab w:pos="797" w:val="left" w:leader="none"/>
        </w:tabs>
        <w:spacing w:line="240" w:lineRule="auto" w:before="0" w:after="0"/>
        <w:ind w:left="796" w:right="676" w:hanging="576"/>
        <w:jc w:val="both"/>
        <w:rPr>
          <w:sz w:val="24"/>
        </w:rPr>
      </w:pPr>
      <w:r>
        <w:rPr>
          <w:sz w:val="24"/>
        </w:rPr>
        <w:t>In ruling on a motion for sentence reconsideration, relevant and material factors include new evidence as well as facts known at the time the original sentence was pronounced. </w:t>
      </w:r>
      <w:r>
        <w:rPr>
          <w:i/>
          <w:sz w:val="24"/>
          <w:u w:val="single"/>
        </w:rPr>
        <w:t>See</w:t>
      </w:r>
      <w:r>
        <w:rPr>
          <w:i/>
          <w:sz w:val="24"/>
        </w:rPr>
        <w:t> Mikkleson v. People</w:t>
      </w:r>
      <w:r>
        <w:rPr>
          <w:sz w:val="24"/>
        </w:rPr>
        <w:t>, 618 P.2d 1101 (Colo. 1980) (court  may  consider all relevant and material factors which may affect decision whether to reduce original sentence); </w:t>
      </w:r>
      <w:r>
        <w:rPr>
          <w:i/>
          <w:sz w:val="24"/>
        </w:rPr>
        <w:t>People v. Bridges</w:t>
      </w:r>
      <w:r>
        <w:rPr>
          <w:sz w:val="24"/>
        </w:rPr>
        <w:t>, 662 P.2d 161 (Colo. 1983) (court may consider developments subsequent to filing of motion for reconsideration which are favorable to granting of motion); </w:t>
      </w:r>
      <w:r>
        <w:rPr>
          <w:i/>
          <w:sz w:val="24"/>
        </w:rPr>
        <w:t>Ghrist v. People</w:t>
      </w:r>
      <w:r>
        <w:rPr>
          <w:sz w:val="24"/>
        </w:rPr>
        <w:t>, 897 P.2d 809 (Colo. 1995) (court may consider all evidence presented at reconsideration hearing, including evidence of exemplary conduct while</w:t>
      </w:r>
      <w:r>
        <w:rPr>
          <w:spacing w:val="-2"/>
          <w:sz w:val="24"/>
        </w:rPr>
        <w:t> </w:t>
      </w:r>
      <w:r>
        <w:rPr>
          <w:sz w:val="24"/>
        </w:rPr>
        <w:t>incarcerated).</w:t>
      </w:r>
    </w:p>
    <w:p>
      <w:pPr>
        <w:pStyle w:val="BodyText"/>
        <w:spacing w:before="8"/>
        <w:rPr>
          <w:sz w:val="20"/>
        </w:rPr>
      </w:pPr>
    </w:p>
    <w:p>
      <w:pPr>
        <w:pStyle w:val="ListParagraph"/>
        <w:numPr>
          <w:ilvl w:val="0"/>
          <w:numId w:val="2"/>
        </w:numPr>
        <w:tabs>
          <w:tab w:pos="796" w:val="left" w:leader="none"/>
          <w:tab w:pos="797" w:val="left" w:leader="none"/>
        </w:tabs>
        <w:spacing w:line="240" w:lineRule="auto" w:before="0" w:after="0"/>
        <w:ind w:left="796" w:right="0" w:hanging="576"/>
        <w:jc w:val="left"/>
        <w:rPr>
          <w:sz w:val="24"/>
        </w:rPr>
      </w:pPr>
      <w:r>
        <w:rPr>
          <w:sz w:val="24"/>
        </w:rPr>
        <w:t>The</w:t>
      </w:r>
      <w:r>
        <w:rPr>
          <w:spacing w:val="40"/>
          <w:sz w:val="24"/>
        </w:rPr>
        <w:t> </w:t>
      </w:r>
      <w:r>
        <w:rPr>
          <w:sz w:val="24"/>
        </w:rPr>
        <w:t>Court</w:t>
      </w:r>
      <w:r>
        <w:rPr>
          <w:spacing w:val="42"/>
          <w:sz w:val="24"/>
        </w:rPr>
        <w:t> </w:t>
      </w:r>
      <w:r>
        <w:rPr>
          <w:sz w:val="24"/>
        </w:rPr>
        <w:t>in</w:t>
      </w:r>
      <w:r>
        <w:rPr>
          <w:spacing w:val="43"/>
          <w:sz w:val="24"/>
        </w:rPr>
        <w:t> </w:t>
      </w:r>
      <w:r>
        <w:rPr>
          <w:sz w:val="24"/>
        </w:rPr>
        <w:t>general</w:t>
      </w:r>
      <w:r>
        <w:rPr>
          <w:spacing w:val="42"/>
          <w:sz w:val="24"/>
        </w:rPr>
        <w:t> </w:t>
      </w:r>
      <w:r>
        <w:rPr>
          <w:sz w:val="24"/>
        </w:rPr>
        <w:t>sentencing</w:t>
      </w:r>
      <w:r>
        <w:rPr>
          <w:spacing w:val="41"/>
          <w:sz w:val="24"/>
        </w:rPr>
        <w:t> </w:t>
      </w:r>
      <w:r>
        <w:rPr>
          <w:sz w:val="24"/>
        </w:rPr>
        <w:t>should</w:t>
      </w:r>
      <w:r>
        <w:rPr>
          <w:spacing w:val="42"/>
          <w:sz w:val="24"/>
        </w:rPr>
        <w:t> </w:t>
      </w:r>
      <w:r>
        <w:rPr>
          <w:sz w:val="24"/>
        </w:rPr>
        <w:t>weigh</w:t>
      </w:r>
      <w:r>
        <w:rPr>
          <w:spacing w:val="42"/>
          <w:sz w:val="24"/>
        </w:rPr>
        <w:t> </w:t>
      </w:r>
      <w:r>
        <w:rPr>
          <w:sz w:val="24"/>
        </w:rPr>
        <w:t>the</w:t>
      </w:r>
      <w:r>
        <w:rPr>
          <w:spacing w:val="41"/>
          <w:sz w:val="24"/>
        </w:rPr>
        <w:t> </w:t>
      </w:r>
      <w:r>
        <w:rPr>
          <w:sz w:val="24"/>
        </w:rPr>
        <w:t>purposes</w:t>
      </w:r>
      <w:r>
        <w:rPr>
          <w:spacing w:val="43"/>
          <w:sz w:val="24"/>
        </w:rPr>
        <w:t> </w:t>
      </w:r>
      <w:r>
        <w:rPr>
          <w:sz w:val="24"/>
        </w:rPr>
        <w:t>of</w:t>
      </w:r>
      <w:r>
        <w:rPr>
          <w:spacing w:val="42"/>
          <w:sz w:val="24"/>
        </w:rPr>
        <w:t> </w:t>
      </w:r>
      <w:r>
        <w:rPr>
          <w:sz w:val="24"/>
        </w:rPr>
        <w:t>sentencing</w:t>
      </w:r>
      <w:r>
        <w:rPr>
          <w:spacing w:val="39"/>
          <w:sz w:val="24"/>
        </w:rPr>
        <w:t> </w:t>
      </w:r>
      <w:r>
        <w:rPr>
          <w:sz w:val="24"/>
        </w:rPr>
        <w:t>found</w:t>
      </w:r>
      <w:r>
        <w:rPr>
          <w:spacing w:val="42"/>
          <w:sz w:val="24"/>
        </w:rPr>
        <w:t> </w:t>
      </w:r>
      <w:r>
        <w:rPr>
          <w:sz w:val="24"/>
        </w:rPr>
        <w:t>in</w:t>
      </w:r>
    </w:p>
    <w:p>
      <w:pPr>
        <w:pStyle w:val="BodyText"/>
        <w:ind w:left="796" w:right="675"/>
        <w:jc w:val="both"/>
      </w:pPr>
      <w:r>
        <w:rPr/>
        <w:t>C.R.S. § 18-1-102.5, which paraphrased are (1) punishment, (2) fair and consistent treatment by eliminating unjustified disparities, (3) prevention of crime and promoting respect for the law both in the general public (“general deterrence”) and in the individual offender (“specific deterrence”), and (4) rehabilitation.</w:t>
      </w:r>
    </w:p>
    <w:p>
      <w:pPr>
        <w:spacing w:after="0"/>
        <w:jc w:val="both"/>
        <w:sectPr>
          <w:footerReference w:type="default" r:id="rId5"/>
          <w:type w:val="continuous"/>
          <w:pgSz w:w="12240" w:h="15840"/>
          <w:pgMar w:footer="734" w:top="1000" w:bottom="920" w:left="1220" w:right="1120"/>
          <w:pgNumType w:start="1"/>
        </w:sectPr>
      </w:pPr>
    </w:p>
    <w:p>
      <w:pPr>
        <w:pStyle w:val="Heading1"/>
        <w:numPr>
          <w:ilvl w:val="0"/>
          <w:numId w:val="1"/>
        </w:numPr>
        <w:tabs>
          <w:tab w:pos="622" w:val="left" w:leader="none"/>
        </w:tabs>
        <w:spacing w:line="240" w:lineRule="auto" w:before="67" w:after="0"/>
        <w:ind w:left="621" w:right="0" w:hanging="401"/>
        <w:jc w:val="left"/>
      </w:pPr>
      <w:r>
        <w:rPr/>
        <w:t>Argument</w:t>
      </w:r>
    </w:p>
    <w:p>
      <w:pPr>
        <w:pStyle w:val="BodyText"/>
        <w:spacing w:before="5"/>
        <w:rPr>
          <w:b/>
          <w:sz w:val="20"/>
        </w:rPr>
      </w:pPr>
    </w:p>
    <w:p>
      <w:pPr>
        <w:pStyle w:val="ListParagraph"/>
        <w:numPr>
          <w:ilvl w:val="1"/>
          <w:numId w:val="1"/>
        </w:numPr>
        <w:tabs>
          <w:tab w:pos="941" w:val="left" w:leader="none"/>
        </w:tabs>
        <w:spacing w:line="240" w:lineRule="auto" w:before="0" w:after="0"/>
        <w:ind w:left="940" w:right="674" w:hanging="360"/>
        <w:jc w:val="both"/>
        <w:rPr>
          <w:sz w:val="24"/>
        </w:rPr>
      </w:pPr>
      <w:r>
        <w:rPr>
          <w:sz w:val="24"/>
        </w:rPr>
        <w:t>Mr. Ramirez-Cabrera is respectfully asking this court to reconsider his sentence to a period of probation. Mr. Ramirez-Cabrera presents as a man with little insight into  his criminal activities, but with stabilizers that would make him an appropriate candidate for a probationary sentence. Mr. Ramirez-Cabrera is a long-term Legal Permanent Resident, residing in Colorado since 1988. Mr. Ramirez-Cabrera maintains full time employment and has worked with the same company for a period of 10 years before moving to his current job for a pay</w:t>
      </w:r>
      <w:r>
        <w:rPr>
          <w:spacing w:val="-10"/>
          <w:sz w:val="24"/>
        </w:rPr>
        <w:t> </w:t>
      </w:r>
      <w:r>
        <w:rPr>
          <w:sz w:val="24"/>
        </w:rPr>
        <w:t>increase.</w:t>
      </w:r>
    </w:p>
    <w:p>
      <w:pPr>
        <w:pStyle w:val="BodyText"/>
        <w:spacing w:before="10"/>
        <w:rPr>
          <w:sz w:val="20"/>
        </w:rPr>
      </w:pPr>
    </w:p>
    <w:p>
      <w:pPr>
        <w:pStyle w:val="ListParagraph"/>
        <w:numPr>
          <w:ilvl w:val="1"/>
          <w:numId w:val="1"/>
        </w:numPr>
        <w:tabs>
          <w:tab w:pos="941" w:val="left" w:leader="none"/>
        </w:tabs>
        <w:spacing w:line="240" w:lineRule="auto" w:before="1" w:after="0"/>
        <w:ind w:left="940" w:right="683" w:hanging="360"/>
        <w:jc w:val="both"/>
        <w:rPr>
          <w:sz w:val="24"/>
        </w:rPr>
      </w:pPr>
      <w:r>
        <w:rPr>
          <w:sz w:val="24"/>
        </w:rPr>
        <w:t>Mr. Ramirez-Cabrera also has a wife and two children living in Mexico. He is the primary provider of income for his family. The need to support both households is a huge motivator for Mr. Ramirez-Cabrera to engage with</w:t>
      </w:r>
      <w:r>
        <w:rPr>
          <w:spacing w:val="-6"/>
          <w:sz w:val="24"/>
        </w:rPr>
        <w:t> </w:t>
      </w:r>
      <w:r>
        <w:rPr>
          <w:sz w:val="24"/>
        </w:rPr>
        <w:t>probation.</w:t>
      </w:r>
    </w:p>
    <w:p>
      <w:pPr>
        <w:pStyle w:val="BodyText"/>
        <w:spacing w:before="10"/>
        <w:rPr>
          <w:sz w:val="20"/>
        </w:rPr>
      </w:pPr>
    </w:p>
    <w:p>
      <w:pPr>
        <w:pStyle w:val="ListParagraph"/>
        <w:numPr>
          <w:ilvl w:val="1"/>
          <w:numId w:val="1"/>
        </w:numPr>
        <w:tabs>
          <w:tab w:pos="941" w:val="left" w:leader="none"/>
        </w:tabs>
        <w:spacing w:line="240" w:lineRule="auto" w:before="0" w:after="0"/>
        <w:ind w:left="940" w:right="677" w:hanging="360"/>
        <w:jc w:val="both"/>
        <w:rPr>
          <w:sz w:val="24"/>
        </w:rPr>
      </w:pPr>
      <w:r>
        <w:rPr>
          <w:sz w:val="24"/>
        </w:rPr>
        <w:t>A probationary sentence will not only give him the opportunity to remain out of custody and working to support his family (</w:t>
      </w:r>
      <w:r>
        <w:rPr>
          <w:i/>
          <w:sz w:val="24"/>
        </w:rPr>
        <w:t>the anticipated wait time for a bed space </w:t>
      </w:r>
      <w:r>
        <w:rPr>
          <w:i/>
          <w:sz w:val="24"/>
        </w:rPr>
        <w:t>is 8-10 weeks</w:t>
      </w:r>
      <w:r>
        <w:rPr>
          <w:sz w:val="24"/>
        </w:rPr>
        <w:t>) but will also permit Mr. Ramirez-Cabrera the opportunity to immediately begin repaying the restitution owed in this case. Despite raising an  initial objection at the sentencing hearing, Mr. Ramirez-Cabrera has filed notice withdrawing his objection to the restitution requested in this</w:t>
      </w:r>
      <w:r>
        <w:rPr>
          <w:spacing w:val="-5"/>
          <w:sz w:val="24"/>
        </w:rPr>
        <w:t> </w:t>
      </w:r>
      <w:r>
        <w:rPr>
          <w:sz w:val="24"/>
        </w:rPr>
        <w:t>case.</w:t>
      </w:r>
    </w:p>
    <w:p>
      <w:pPr>
        <w:pStyle w:val="BodyText"/>
        <w:spacing w:before="10"/>
        <w:rPr>
          <w:sz w:val="20"/>
        </w:rPr>
      </w:pPr>
    </w:p>
    <w:p>
      <w:pPr>
        <w:pStyle w:val="ListParagraph"/>
        <w:numPr>
          <w:ilvl w:val="1"/>
          <w:numId w:val="1"/>
        </w:numPr>
        <w:tabs>
          <w:tab w:pos="941" w:val="left" w:leader="none"/>
        </w:tabs>
        <w:spacing w:line="240" w:lineRule="auto" w:before="1" w:after="0"/>
        <w:ind w:left="940" w:right="677" w:hanging="360"/>
        <w:jc w:val="both"/>
        <w:rPr>
          <w:sz w:val="24"/>
        </w:rPr>
      </w:pPr>
      <w:r>
        <w:rPr>
          <w:sz w:val="24"/>
        </w:rPr>
        <w:t>Additionally, throughout the pendency of this case, Mr. Ramirez-Cabrera was engaged with the immigration courts attempting to sort out issues with his residency created by his most recent case. Mr. Ramirez-Cabrera has additional desire to complete probation successfully so it will help him in continuing his lawful status in the United</w:t>
      </w:r>
      <w:r>
        <w:rPr>
          <w:spacing w:val="-1"/>
          <w:sz w:val="24"/>
        </w:rPr>
        <w:t> </w:t>
      </w:r>
      <w:r>
        <w:rPr>
          <w:sz w:val="24"/>
        </w:rPr>
        <w:t>States.</w:t>
      </w:r>
    </w:p>
    <w:p>
      <w:pPr>
        <w:pStyle w:val="BodyText"/>
        <w:spacing w:before="10"/>
        <w:rPr>
          <w:sz w:val="20"/>
        </w:rPr>
      </w:pPr>
    </w:p>
    <w:p>
      <w:pPr>
        <w:pStyle w:val="ListParagraph"/>
        <w:numPr>
          <w:ilvl w:val="1"/>
          <w:numId w:val="1"/>
        </w:numPr>
        <w:tabs>
          <w:tab w:pos="941" w:val="left" w:leader="none"/>
        </w:tabs>
        <w:spacing w:line="240" w:lineRule="auto" w:before="0" w:after="0"/>
        <w:ind w:left="940" w:right="677" w:hanging="360"/>
        <w:jc w:val="both"/>
        <w:rPr>
          <w:sz w:val="24"/>
        </w:rPr>
      </w:pPr>
      <w:r>
        <w:rPr>
          <w:sz w:val="24"/>
        </w:rPr>
        <w:t>Mr. Ramirez-Cabrera is requesting that this honorable court convert his sentence from community corrections to a period of probation and grant him the current credit time served as an appropriate punitive</w:t>
      </w:r>
      <w:r>
        <w:rPr>
          <w:spacing w:val="2"/>
          <w:sz w:val="24"/>
        </w:rPr>
        <w:t> </w:t>
      </w:r>
      <w:r>
        <w:rPr>
          <w:sz w:val="24"/>
        </w:rPr>
        <w:t>sanction.</w:t>
      </w:r>
    </w:p>
    <w:p>
      <w:pPr>
        <w:pStyle w:val="BodyText"/>
        <w:spacing w:before="10"/>
        <w:rPr>
          <w:sz w:val="20"/>
        </w:rPr>
      </w:pPr>
    </w:p>
    <w:p>
      <w:pPr>
        <w:pStyle w:val="BodyText"/>
        <w:ind w:left="220" w:right="675"/>
        <w:jc w:val="both"/>
      </w:pPr>
      <w:r>
        <w:rPr/>
        <w:t>WHEREFORE, Mr. Ramirez-Cabrera respectfully moves this Court to reconsider his sentence pursuant to Colorado Rule of Criminal Procedure 35(b). Mr. Ramirez-Cabrera further requests a hearing on the matter.</w:t>
      </w:r>
    </w:p>
    <w:p>
      <w:pPr>
        <w:pStyle w:val="BodyText"/>
      </w:pPr>
    </w:p>
    <w:p>
      <w:pPr>
        <w:pStyle w:val="BodyText"/>
        <w:ind w:left="220"/>
        <w:jc w:val="both"/>
      </w:pPr>
      <w:r>
        <w:rPr/>
        <w:t>DOUGLAS K. WILSON</w:t>
      </w:r>
    </w:p>
    <w:p>
      <w:pPr>
        <w:pStyle w:val="BodyText"/>
        <w:ind w:left="220"/>
        <w:jc w:val="both"/>
      </w:pPr>
      <w:r>
        <w:rPr/>
        <w:t>COLORADO STATE PUBLIC DEFENDER</w:t>
      </w:r>
    </w:p>
    <w:p>
      <w:pPr>
        <w:pStyle w:val="BodyText"/>
        <w:rPr>
          <w:sz w:val="21"/>
        </w:rPr>
      </w:pPr>
      <w:r>
        <w:rPr/>
        <w:drawing>
          <wp:anchor distT="0" distB="0" distL="0" distR="0" allowOverlap="1" layoutInCell="1" locked="0" behindDoc="0" simplePos="0" relativeHeight="1">
            <wp:simplePos x="0" y="0"/>
            <wp:positionH relativeFrom="page">
              <wp:posOffset>914400</wp:posOffset>
            </wp:positionH>
            <wp:positionV relativeFrom="paragraph">
              <wp:posOffset>178335</wp:posOffset>
            </wp:positionV>
            <wp:extent cx="1828800" cy="67665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828800" cy="676656"/>
                    </a:xfrm>
                    <a:prstGeom prst="rect">
                      <a:avLst/>
                    </a:prstGeom>
                  </pic:spPr>
                </pic:pic>
              </a:graphicData>
            </a:graphic>
          </wp:anchor>
        </w:drawing>
      </w:r>
    </w:p>
    <w:p>
      <w:pPr>
        <w:pStyle w:val="BodyText"/>
        <w:spacing w:before="3"/>
        <w:rPr>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0"/>
        <w:gridCol w:w="6681"/>
      </w:tblGrid>
      <w:tr>
        <w:trPr>
          <w:trHeight w:val="1379" w:hRule="atLeast"/>
        </w:trPr>
        <w:tc>
          <w:tcPr>
            <w:tcW w:w="2880" w:type="dxa"/>
            <w:tcBorders>
              <w:top w:val="single" w:sz="4" w:space="0" w:color="000000"/>
            </w:tcBorders>
          </w:tcPr>
          <w:p>
            <w:pPr>
              <w:pStyle w:val="TableParagraph"/>
              <w:ind w:right="-13"/>
              <w:rPr>
                <w:sz w:val="24"/>
              </w:rPr>
            </w:pPr>
            <w:r>
              <w:rPr>
                <w:sz w:val="24"/>
              </w:rPr>
              <w:t>Renae L. Mundis #44821 Deputy State Public Defender 4710 East Bromley Lane Brighton, CO 80601</w:t>
            </w:r>
          </w:p>
          <w:p>
            <w:pPr>
              <w:pStyle w:val="TableParagraph"/>
              <w:spacing w:line="256" w:lineRule="exact"/>
              <w:rPr>
                <w:sz w:val="24"/>
              </w:rPr>
            </w:pPr>
            <w:r>
              <w:rPr>
                <w:sz w:val="24"/>
              </w:rPr>
              <w:t>(303) 659-4274</w:t>
            </w:r>
          </w:p>
        </w:tc>
        <w:tc>
          <w:tcPr>
            <w:tcW w:w="6681" w:type="dxa"/>
          </w:tcPr>
          <w:p>
            <w:pPr>
              <w:pStyle w:val="TableParagraph"/>
              <w:spacing w:line="227" w:lineRule="exact" w:before="6"/>
              <w:ind w:left="3879"/>
              <w:rPr>
                <w:b/>
                <w:sz w:val="20"/>
              </w:rPr>
            </w:pPr>
            <w:r>
              <w:rPr>
                <w:b/>
                <w:sz w:val="20"/>
                <w:u w:val="single"/>
              </w:rPr>
              <w:t>Certificate of Service</w:t>
            </w:r>
          </w:p>
          <w:p>
            <w:pPr>
              <w:pStyle w:val="TableParagraph"/>
              <w:ind w:left="3077" w:right="198"/>
              <w:jc w:val="both"/>
              <w:rPr>
                <w:sz w:val="20"/>
              </w:rPr>
            </w:pPr>
            <w:r>
              <w:rPr>
                <w:sz w:val="20"/>
              </w:rPr>
              <w:t>I hereby certify that on November 26, 2017, copies of the foregoing document were served via ICCES on all opposing counsel of record. </w:t>
            </w:r>
            <w:r>
              <w:rPr>
                <w:sz w:val="20"/>
                <w:u w:val="single"/>
              </w:rPr>
              <w:t>/s/ Renae L. Mundis</w:t>
            </w:r>
          </w:p>
        </w:tc>
      </w:tr>
    </w:tbl>
    <w:p>
      <w:pPr>
        <w:pStyle w:val="BodyText"/>
        <w:rPr>
          <w:sz w:val="26"/>
        </w:rPr>
      </w:pPr>
    </w:p>
    <w:p>
      <w:pPr>
        <w:pStyle w:val="BodyText"/>
        <w:rPr>
          <w:sz w:val="22"/>
        </w:rPr>
      </w:pPr>
    </w:p>
    <w:p>
      <w:pPr>
        <w:pStyle w:val="BodyText"/>
        <w:ind w:left="220"/>
        <w:jc w:val="both"/>
      </w:pPr>
      <w:r>
        <w:rPr/>
        <w:t>Dated: November 26, 2017</w:t>
      </w:r>
    </w:p>
    <w:sectPr>
      <w:pgSz w:w="12240" w:h="15840"/>
      <w:pgMar w:header="0" w:footer="734" w:top="940" w:bottom="920" w:left="12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49988pt;margin-top:742.026611pt;width:10pt;height:15.3pt;mso-position-horizontal-relative:page;mso-position-vertical-relative:page;z-index:-481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96" w:hanging="576"/>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710" w:hanging="576"/>
      </w:pPr>
      <w:rPr>
        <w:rFonts w:hint="default"/>
      </w:rPr>
    </w:lvl>
    <w:lvl w:ilvl="2">
      <w:start w:val="0"/>
      <w:numFmt w:val="bullet"/>
      <w:lvlText w:val="•"/>
      <w:lvlJc w:val="left"/>
      <w:pPr>
        <w:ind w:left="2620" w:hanging="576"/>
      </w:pPr>
      <w:rPr>
        <w:rFonts w:hint="default"/>
      </w:rPr>
    </w:lvl>
    <w:lvl w:ilvl="3">
      <w:start w:val="0"/>
      <w:numFmt w:val="bullet"/>
      <w:lvlText w:val="•"/>
      <w:lvlJc w:val="left"/>
      <w:pPr>
        <w:ind w:left="3530" w:hanging="576"/>
      </w:pPr>
      <w:rPr>
        <w:rFonts w:hint="default"/>
      </w:rPr>
    </w:lvl>
    <w:lvl w:ilvl="4">
      <w:start w:val="0"/>
      <w:numFmt w:val="bullet"/>
      <w:lvlText w:val="•"/>
      <w:lvlJc w:val="left"/>
      <w:pPr>
        <w:ind w:left="4440"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60" w:hanging="576"/>
      </w:pPr>
      <w:rPr>
        <w:rFonts w:hint="default"/>
      </w:rPr>
    </w:lvl>
    <w:lvl w:ilvl="7">
      <w:start w:val="0"/>
      <w:numFmt w:val="bullet"/>
      <w:lvlText w:val="•"/>
      <w:lvlJc w:val="left"/>
      <w:pPr>
        <w:ind w:left="7170" w:hanging="576"/>
      </w:pPr>
      <w:rPr>
        <w:rFonts w:hint="default"/>
      </w:rPr>
    </w:lvl>
    <w:lvl w:ilvl="8">
      <w:start w:val="0"/>
      <w:numFmt w:val="bullet"/>
      <w:lvlText w:val="•"/>
      <w:lvlJc w:val="left"/>
      <w:pPr>
        <w:ind w:left="8080" w:hanging="576"/>
      </w:pPr>
      <w:rPr>
        <w:rFonts w:hint="default"/>
      </w:rPr>
    </w:lvl>
  </w:abstractNum>
  <w:abstractNum w:abstractNumId="0">
    <w:multiLevelType w:val="hybridMultilevel"/>
    <w:lvl w:ilvl="0">
      <w:start w:val="1"/>
      <w:numFmt w:val="upperRoman"/>
      <w:lvlText w:val="%1."/>
      <w:lvlJc w:val="left"/>
      <w:pPr>
        <w:ind w:left="494" w:hanging="274"/>
        <w:jc w:val="left"/>
      </w:pPr>
      <w:rPr>
        <w:rFonts w:hint="default" w:ascii="Times New Roman" w:hAnsi="Times New Roman" w:eastAsia="Times New Roman" w:cs="Times New Roman"/>
        <w:b/>
        <w:bCs/>
        <w:w w:val="99"/>
        <w:sz w:val="24"/>
        <w:szCs w:val="24"/>
      </w:rPr>
    </w:lvl>
    <w:lvl w:ilvl="1">
      <w:start w:val="1"/>
      <w:numFmt w:val="decimal"/>
      <w:lvlText w:val="%2."/>
      <w:lvlJc w:val="left"/>
      <w:pPr>
        <w:ind w:left="940" w:hanging="360"/>
        <w:jc w:val="left"/>
      </w:pPr>
      <w:rPr>
        <w:rFonts w:hint="default" w:ascii="Times New Roman" w:hAnsi="Times New Roman" w:eastAsia="Times New Roman" w:cs="Times New Roman"/>
        <w:spacing w:val="-27"/>
        <w:w w:val="99"/>
        <w:sz w:val="24"/>
        <w:szCs w:val="24"/>
      </w:rPr>
    </w:lvl>
    <w:lvl w:ilvl="2">
      <w:start w:val="0"/>
      <w:numFmt w:val="bullet"/>
      <w:lvlText w:val="•"/>
      <w:lvlJc w:val="left"/>
      <w:pPr>
        <w:ind w:left="1935" w:hanging="360"/>
      </w:pPr>
      <w:rPr>
        <w:rFonts w:hint="default"/>
      </w:rPr>
    </w:lvl>
    <w:lvl w:ilvl="3">
      <w:start w:val="0"/>
      <w:numFmt w:val="bullet"/>
      <w:lvlText w:val="•"/>
      <w:lvlJc w:val="left"/>
      <w:pPr>
        <w:ind w:left="2931"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922" w:hanging="360"/>
      </w:pPr>
      <w:rPr>
        <w:rFonts w:hint="default"/>
      </w:rPr>
    </w:lvl>
    <w:lvl w:ilvl="6">
      <w:start w:val="0"/>
      <w:numFmt w:val="bullet"/>
      <w:lvlText w:val="•"/>
      <w:lvlJc w:val="left"/>
      <w:pPr>
        <w:ind w:left="5917"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90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94" w:hanging="40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40"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brighton.defenders@state.co.us"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2019-03-22T16:28:03Z</dcterms:created>
  <dcterms:modified xsi:type="dcterms:W3CDTF">2019-03-22T16:28:03Z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