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61"/>
        <w:gridCol w:w="2824"/>
      </w:tblGrid>
      <w:tr>
        <w:trPr>
          <w:trHeight w:val="1082" w:hRule="atLeast"/>
        </w:trPr>
        <w:tc>
          <w:tcPr>
            <w:tcW w:w="6561" w:type="dxa"/>
          </w:tcPr>
          <w:p>
            <w:pPr>
              <w:pStyle w:val="TableParagraph"/>
              <w:spacing w:before="2"/>
              <w:ind w:left="74" w:right="2400"/>
              <w:rPr>
                <w:sz w:val="24"/>
              </w:rPr>
            </w:pPr>
            <w:r>
              <w:rPr>
                <w:sz w:val="24"/>
              </w:rPr>
              <w:t>District Court, Arapahoe County, Colorado Court Address:</w:t>
            </w:r>
          </w:p>
          <w:p>
            <w:pPr>
              <w:pStyle w:val="TableParagraph"/>
              <w:tabs>
                <w:tab w:pos="5538" w:val="left" w:leader="none"/>
              </w:tabs>
              <w:spacing w:line="254" w:lineRule="exact"/>
              <w:ind w:left="74" w:right="-44"/>
              <w:rPr>
                <w:rFonts w:ascii="Times New Roman"/>
                <w:sz w:val="20"/>
              </w:rPr>
            </w:pPr>
            <w:r>
              <w:rPr>
                <w:sz w:val="24"/>
              </w:rPr>
              <w:t>7325 S. Potomac Street , Centennial,</w:t>
            </w:r>
            <w:r>
              <w:rPr>
                <w:spacing w:val="-10"/>
                <w:sz w:val="24"/>
              </w:rPr>
              <w:t> </w:t>
            </w:r>
            <w:r>
              <w:rPr>
                <w:sz w:val="24"/>
              </w:rPr>
              <w:t>CO</w:t>
            </w:r>
            <w:r>
              <w:rPr>
                <w:spacing w:val="-2"/>
                <w:sz w:val="24"/>
              </w:rPr>
              <w:t> </w:t>
            </w:r>
            <w:r>
              <w:rPr>
                <w:sz w:val="24"/>
              </w:rPr>
              <w:t>80112</w:t>
              <w:tab/>
            </w:r>
            <w:r>
              <w:rPr>
                <w:rFonts w:ascii="Times New Roman"/>
                <w:color w:val="0000FF"/>
                <w:sz w:val="20"/>
              </w:rPr>
              <w:t>DATE</w:t>
            </w:r>
            <w:r>
              <w:rPr>
                <w:rFonts w:ascii="Times New Roman"/>
                <w:color w:val="0000FF"/>
                <w:spacing w:val="27"/>
                <w:sz w:val="20"/>
              </w:rPr>
              <w:t> </w:t>
            </w:r>
            <w:r>
              <w:rPr>
                <w:rFonts w:ascii="Times New Roman"/>
                <w:color w:val="0000FF"/>
                <w:sz w:val="20"/>
              </w:rPr>
              <w:t>FILE</w:t>
            </w:r>
          </w:p>
          <w:p>
            <w:pPr>
              <w:pStyle w:val="TableParagraph"/>
              <w:tabs>
                <w:tab w:pos="5538" w:val="left" w:leader="none"/>
              </w:tabs>
              <w:spacing w:line="265" w:lineRule="exact"/>
              <w:ind w:left="74" w:right="-15"/>
              <w:rPr>
                <w:rFonts w:ascii="Times New Roman"/>
                <w:sz w:val="20"/>
              </w:rPr>
            </w:pPr>
            <w:r>
              <w:rPr>
                <w:sz w:val="24"/>
              </w:rPr>
              <w:t>303-649-6355</w:t>
              <w:tab/>
            </w:r>
            <w:r>
              <w:rPr>
                <w:rFonts w:ascii="Times New Roman"/>
                <w:color w:val="0000FF"/>
                <w:position w:val="5"/>
                <w:sz w:val="20"/>
              </w:rPr>
              <w:t>FILING</w:t>
            </w:r>
            <w:r>
              <w:rPr>
                <w:rFonts w:ascii="Times New Roman"/>
                <w:color w:val="0000FF"/>
                <w:spacing w:val="39"/>
                <w:position w:val="5"/>
                <w:sz w:val="20"/>
              </w:rPr>
              <w:t> </w:t>
            </w:r>
            <w:r>
              <w:rPr>
                <w:rFonts w:ascii="Times New Roman"/>
                <w:color w:val="0000FF"/>
                <w:spacing w:val="-3"/>
                <w:position w:val="5"/>
                <w:sz w:val="20"/>
              </w:rPr>
              <w:t>ID:</w:t>
            </w:r>
          </w:p>
        </w:tc>
        <w:tc>
          <w:tcPr>
            <w:tcW w:w="2824" w:type="dxa"/>
            <w:vMerge w:val="restart"/>
          </w:tcPr>
          <w:p>
            <w:pPr>
              <w:pStyle w:val="TableParagraph"/>
              <w:rPr>
                <w:rFonts w:ascii="Times New Roman"/>
                <w:sz w:val="22"/>
              </w:rPr>
            </w:pPr>
          </w:p>
          <w:p>
            <w:pPr>
              <w:pStyle w:val="TableParagraph"/>
              <w:spacing w:before="10"/>
              <w:rPr>
                <w:rFonts w:ascii="Times New Roman"/>
                <w:sz w:val="27"/>
              </w:rPr>
            </w:pPr>
          </w:p>
          <w:p>
            <w:pPr>
              <w:pStyle w:val="TableParagraph"/>
              <w:spacing w:line="225" w:lineRule="auto"/>
              <w:ind w:left="69" w:hanging="45"/>
              <w:rPr>
                <w:rFonts w:ascii="Times New Roman"/>
                <w:sz w:val="20"/>
              </w:rPr>
            </w:pPr>
            <w:r>
              <w:rPr>
                <w:rFonts w:ascii="Times New Roman"/>
                <w:color w:val="0000FF"/>
                <w:sz w:val="20"/>
              </w:rPr>
              <w:t>D: October 3, 2017 3:46 </w:t>
            </w:r>
            <w:r>
              <w:rPr>
                <w:rFonts w:ascii="Times New Roman"/>
                <w:color w:val="0000FF"/>
                <w:spacing w:val="-7"/>
                <w:sz w:val="20"/>
              </w:rPr>
              <w:t>PM </w:t>
            </w:r>
            <w:r>
              <w:rPr>
                <w:rFonts w:ascii="Times New Roman"/>
                <w:color w:val="0000FF"/>
                <w:sz w:val="20"/>
              </w:rPr>
              <w:t>29C91C6351460</w:t>
            </w:r>
          </w:p>
          <w:p>
            <w:pPr>
              <w:pStyle w:val="TableParagraph"/>
              <w:spacing w:line="218" w:lineRule="exact"/>
              <w:ind w:left="-135"/>
              <w:rPr>
                <w:rFonts w:ascii="Times New Roman"/>
                <w:sz w:val="20"/>
              </w:rPr>
            </w:pPr>
            <w:r>
              <w:rPr>
                <w:rFonts w:ascii="Times New Roman"/>
                <w:color w:val="0000FF"/>
                <w:sz w:val="20"/>
              </w:rPr>
              <w:t>MBER: </w:t>
            </w:r>
            <w:r>
              <w:rPr>
                <w:rFonts w:ascii="Times New Roman"/>
                <w:color w:val="0000FF"/>
                <w:spacing w:val="4"/>
                <w:sz w:val="20"/>
              </w:rPr>
              <w:t> </w:t>
            </w:r>
            <w:r>
              <w:rPr>
                <w:rFonts w:ascii="Times New Roman"/>
                <w:color w:val="0000FF"/>
                <w:sz w:val="20"/>
              </w:rPr>
              <w:t>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2"/>
              </w:rPr>
            </w:pPr>
          </w:p>
          <w:p>
            <w:pPr>
              <w:pStyle w:val="TableParagraph"/>
              <w:spacing w:line="289" w:lineRule="exact"/>
              <w:ind w:left="212"/>
              <w:rPr>
                <w:rFonts w:ascii="MS Gothic" w:hAnsi="MS Gothic"/>
                <w:sz w:val="24"/>
              </w:rPr>
            </w:pPr>
            <w:r>
              <w:rPr>
                <w:rFonts w:ascii="MS Gothic" w:hAnsi="MS Gothic"/>
                <w:sz w:val="24"/>
              </w:rPr>
              <w:t>▴</w:t>
            </w:r>
            <w:r>
              <w:rPr>
                <w:rFonts w:ascii="MS Gothic" w:hAnsi="MS Gothic"/>
                <w:spacing w:val="-63"/>
                <w:sz w:val="24"/>
              </w:rPr>
              <w:t> </w:t>
            </w:r>
            <w:r>
              <w:rPr>
                <w:sz w:val="24"/>
              </w:rPr>
              <w:t>COURT USE ONLY </w:t>
            </w:r>
            <w:r>
              <w:rPr>
                <w:rFonts w:ascii="MS Gothic" w:hAnsi="MS Gothic"/>
                <w:sz w:val="24"/>
              </w:rPr>
              <w:t>▴</w:t>
            </w:r>
          </w:p>
        </w:tc>
      </w:tr>
      <w:tr>
        <w:trPr>
          <w:trHeight w:val="2714" w:hRule="atLeast"/>
        </w:trPr>
        <w:tc>
          <w:tcPr>
            <w:tcW w:w="6561" w:type="dxa"/>
          </w:tcPr>
          <w:p>
            <w:pPr>
              <w:pStyle w:val="TableParagraph"/>
              <w:spacing w:line="127" w:lineRule="exact"/>
              <w:ind w:right="117"/>
              <w:jc w:val="right"/>
              <w:rPr>
                <w:rFonts w:ascii="Times New Roman"/>
                <w:sz w:val="20"/>
              </w:rPr>
            </w:pPr>
            <w:r>
              <w:rPr>
                <w:rFonts w:ascii="Times New Roman"/>
                <w:color w:val="0000FF"/>
                <w:sz w:val="20"/>
              </w:rPr>
              <w:t>CASE NU</w:t>
            </w:r>
          </w:p>
          <w:p>
            <w:pPr>
              <w:pStyle w:val="TableParagraph"/>
              <w:spacing w:line="269" w:lineRule="exact" w:before="157"/>
              <w:ind w:left="74"/>
              <w:rPr>
                <w:b/>
                <w:sz w:val="24"/>
              </w:rPr>
            </w:pPr>
            <w:r>
              <w:rPr>
                <w:b/>
                <w:sz w:val="24"/>
              </w:rPr>
              <w:t>PEOPLE OF THE STATE OF COLORADO,</w:t>
            </w:r>
          </w:p>
          <w:p>
            <w:pPr>
              <w:pStyle w:val="TableParagraph"/>
              <w:ind w:left="74" w:right="5707"/>
              <w:rPr>
                <w:sz w:val="24"/>
              </w:rPr>
            </w:pPr>
            <w:r>
              <w:rPr>
                <w:sz w:val="24"/>
              </w:rPr>
              <w:t>Plaintiff v.</w:t>
            </w:r>
          </w:p>
          <w:p>
            <w:pPr>
              <w:pStyle w:val="TableParagraph"/>
              <w:rPr>
                <w:rFonts w:ascii="Times New Roman"/>
                <w:sz w:val="26"/>
              </w:rPr>
            </w:pPr>
          </w:p>
          <w:p>
            <w:pPr>
              <w:pStyle w:val="TableParagraph"/>
              <w:rPr>
                <w:rFonts w:ascii="Times New Roman"/>
                <w:sz w:val="26"/>
              </w:rPr>
            </w:pPr>
          </w:p>
          <w:p>
            <w:pPr>
              <w:pStyle w:val="TableParagraph"/>
              <w:spacing w:line="269" w:lineRule="exact" w:before="213"/>
              <w:ind w:left="74"/>
              <w:rPr>
                <w:sz w:val="24"/>
              </w:rPr>
            </w:pPr>
            <w:r>
              <w:rPr>
                <w:b/>
                <w:sz w:val="24"/>
              </w:rPr>
              <w:t>ANGELA INGA</w:t>
            </w:r>
            <w:r>
              <w:rPr>
                <w:sz w:val="24"/>
              </w:rPr>
              <w:t>,</w:t>
            </w:r>
          </w:p>
          <w:p>
            <w:pPr>
              <w:pStyle w:val="TableParagraph"/>
              <w:spacing w:line="269" w:lineRule="exact"/>
              <w:ind w:left="74"/>
              <w:rPr>
                <w:sz w:val="24"/>
              </w:rPr>
            </w:pPr>
            <w:r>
              <w:rPr>
                <w:sz w:val="24"/>
              </w:rPr>
              <w:t>Defendant</w:t>
            </w:r>
          </w:p>
        </w:tc>
        <w:tc>
          <w:tcPr>
            <w:tcW w:w="2824" w:type="dxa"/>
            <w:vMerge/>
            <w:tcBorders>
              <w:top w:val="nil"/>
            </w:tcBorders>
          </w:tcPr>
          <w:p>
            <w:pPr>
              <w:rPr>
                <w:sz w:val="2"/>
                <w:szCs w:val="2"/>
              </w:rPr>
            </w:pPr>
          </w:p>
        </w:tc>
      </w:tr>
      <w:tr>
        <w:trPr>
          <w:trHeight w:val="939" w:hRule="atLeast"/>
        </w:trPr>
        <w:tc>
          <w:tcPr>
            <w:tcW w:w="6561" w:type="dxa"/>
            <w:vMerge w:val="restart"/>
          </w:tcPr>
          <w:p>
            <w:pPr>
              <w:pStyle w:val="TableParagraph"/>
              <w:spacing w:line="269" w:lineRule="exact" w:before="1"/>
              <w:ind w:left="74"/>
              <w:rPr>
                <w:sz w:val="24"/>
              </w:rPr>
            </w:pPr>
            <w:r>
              <w:rPr>
                <w:sz w:val="24"/>
              </w:rPr>
              <w:t>Katie Telfer, #41720</w:t>
            </w:r>
          </w:p>
          <w:p>
            <w:pPr>
              <w:pStyle w:val="TableParagraph"/>
              <w:spacing w:line="269" w:lineRule="exact"/>
              <w:ind w:left="74"/>
              <w:rPr>
                <w:sz w:val="24"/>
              </w:rPr>
            </w:pPr>
            <w:r>
              <w:rPr>
                <w:sz w:val="24"/>
              </w:rPr>
              <w:t>Deputy State Public Defender</w:t>
            </w:r>
          </w:p>
          <w:p>
            <w:pPr>
              <w:pStyle w:val="TableParagraph"/>
              <w:spacing w:before="2"/>
              <w:ind w:left="74" w:right="1587"/>
              <w:rPr>
                <w:sz w:val="24"/>
              </w:rPr>
            </w:pPr>
            <w:r>
              <w:rPr>
                <w:sz w:val="24"/>
              </w:rPr>
              <w:t>Douglas K. Wilson, Colorado State Public Defender Arapahoe County Public Defenders</w:t>
            </w:r>
          </w:p>
          <w:p>
            <w:pPr>
              <w:pStyle w:val="TableParagraph"/>
              <w:tabs>
                <w:tab w:pos="3395" w:val="left" w:leader="none"/>
                <w:tab w:pos="4037" w:val="left" w:leader="none"/>
              </w:tabs>
              <w:ind w:left="74" w:right="1028"/>
              <w:rPr>
                <w:sz w:val="24"/>
              </w:rPr>
            </w:pPr>
            <w:r>
              <w:rPr>
                <w:sz w:val="24"/>
              </w:rPr>
              <w:t>12350 E. Arapahoe Road, Suite A, Centennial, CO 80112 Phone</w:t>
            </w:r>
            <w:r>
              <w:rPr>
                <w:spacing w:val="-3"/>
                <w:sz w:val="24"/>
              </w:rPr>
              <w:t> </w:t>
            </w:r>
            <w:r>
              <w:rPr>
                <w:sz w:val="24"/>
              </w:rPr>
              <w:t>(303)</w:t>
            </w:r>
            <w:r>
              <w:rPr>
                <w:spacing w:val="-1"/>
                <w:sz w:val="24"/>
              </w:rPr>
              <w:t> </w:t>
            </w:r>
            <w:r>
              <w:rPr>
                <w:sz w:val="24"/>
              </w:rPr>
              <w:t>799-9001</w:t>
              <w:tab/>
              <w:t>Fax</w:t>
              <w:tab/>
              <w:t>(303)</w:t>
            </w:r>
            <w:r>
              <w:rPr>
                <w:spacing w:val="-1"/>
                <w:sz w:val="24"/>
              </w:rPr>
              <w:t> </w:t>
            </w:r>
            <w:r>
              <w:rPr>
                <w:sz w:val="24"/>
              </w:rPr>
              <w:t>792-0822</w:t>
            </w:r>
          </w:p>
          <w:p>
            <w:pPr>
              <w:pStyle w:val="TableParagraph"/>
              <w:spacing w:line="249" w:lineRule="exact"/>
              <w:ind w:left="74"/>
              <w:rPr>
                <w:sz w:val="24"/>
              </w:rPr>
            </w:pPr>
            <w:r>
              <w:rPr>
                <w:sz w:val="24"/>
              </w:rPr>
              <w:t>E-</w:t>
            </w:r>
            <w:hyperlink r:id="rId5">
              <w:r>
                <w:rPr>
                  <w:sz w:val="24"/>
                </w:rPr>
                <w:t>mail:</w:t>
              </w:r>
              <w:r>
                <w:rPr>
                  <w:spacing w:val="59"/>
                  <w:sz w:val="24"/>
                </w:rPr>
                <w:t> </w:t>
              </w:r>
              <w:r>
                <w:rPr>
                  <w:sz w:val="24"/>
                </w:rPr>
                <w:t>katie.telfer@coloradodefender.us</w:t>
              </w:r>
            </w:hyperlink>
          </w:p>
        </w:tc>
        <w:tc>
          <w:tcPr>
            <w:tcW w:w="2824" w:type="dxa"/>
            <w:tcBorders>
              <w:bottom w:val="nil"/>
            </w:tcBorders>
          </w:tcPr>
          <w:p>
            <w:pPr>
              <w:pStyle w:val="TableParagraph"/>
              <w:spacing w:before="1"/>
              <w:ind w:left="85"/>
              <w:rPr>
                <w:b/>
                <w:sz w:val="24"/>
              </w:rPr>
            </w:pPr>
            <w:r>
              <w:rPr>
                <w:sz w:val="24"/>
              </w:rPr>
              <w:t>Case Number: </w:t>
            </w:r>
            <w:r>
              <w:rPr>
                <w:b/>
                <w:sz w:val="24"/>
              </w:rPr>
              <w:t>17CR988</w:t>
            </w:r>
          </w:p>
        </w:tc>
      </w:tr>
      <w:tr>
        <w:trPr>
          <w:trHeight w:val="936" w:hRule="atLeast"/>
        </w:trPr>
        <w:tc>
          <w:tcPr>
            <w:tcW w:w="6561" w:type="dxa"/>
            <w:vMerge/>
            <w:tcBorders>
              <w:top w:val="nil"/>
            </w:tcBorders>
          </w:tcPr>
          <w:p>
            <w:pPr>
              <w:rPr>
                <w:sz w:val="2"/>
                <w:szCs w:val="2"/>
              </w:rPr>
            </w:pPr>
          </w:p>
        </w:tc>
        <w:tc>
          <w:tcPr>
            <w:tcW w:w="2824" w:type="dxa"/>
            <w:tcBorders>
              <w:top w:val="nil"/>
            </w:tcBorders>
          </w:tcPr>
          <w:p>
            <w:pPr>
              <w:pStyle w:val="TableParagraph"/>
              <w:rPr>
                <w:rFonts w:ascii="Times New Roman"/>
                <w:sz w:val="26"/>
              </w:rPr>
            </w:pPr>
          </w:p>
          <w:p>
            <w:pPr>
              <w:pStyle w:val="TableParagraph"/>
              <w:rPr>
                <w:rFonts w:ascii="Times New Roman"/>
                <w:sz w:val="32"/>
              </w:rPr>
            </w:pPr>
          </w:p>
          <w:p>
            <w:pPr>
              <w:pStyle w:val="TableParagraph"/>
              <w:spacing w:line="249" w:lineRule="exact"/>
              <w:ind w:left="85"/>
              <w:rPr>
                <w:b/>
                <w:sz w:val="24"/>
              </w:rPr>
            </w:pPr>
            <w:r>
              <w:rPr>
                <w:sz w:val="24"/>
              </w:rPr>
              <w:t>Courtroom </w:t>
            </w:r>
            <w:r>
              <w:rPr>
                <w:b/>
                <w:sz w:val="24"/>
              </w:rPr>
              <w:t>309</w:t>
            </w:r>
          </w:p>
        </w:tc>
      </w:tr>
      <w:tr>
        <w:trPr>
          <w:trHeight w:val="1576" w:hRule="atLeast"/>
        </w:trPr>
        <w:tc>
          <w:tcPr>
            <w:tcW w:w="9385" w:type="dxa"/>
            <w:gridSpan w:val="2"/>
          </w:tcPr>
          <w:p>
            <w:pPr>
              <w:pStyle w:val="TableParagraph"/>
              <w:spacing w:before="3"/>
              <w:rPr>
                <w:rFonts w:ascii="Times New Roman"/>
                <w:sz w:val="33"/>
              </w:rPr>
            </w:pPr>
          </w:p>
          <w:p>
            <w:pPr>
              <w:pStyle w:val="TableParagraph"/>
              <w:spacing w:line="269" w:lineRule="exact"/>
              <w:ind w:left="169" w:right="155"/>
              <w:jc w:val="center"/>
              <w:rPr>
                <w:b/>
                <w:sz w:val="24"/>
              </w:rPr>
            </w:pPr>
            <w:r>
              <w:rPr>
                <w:b/>
                <w:sz w:val="24"/>
              </w:rPr>
              <w:t>DEFENSE MOTION #5:</w:t>
            </w:r>
          </w:p>
          <w:p>
            <w:pPr>
              <w:pStyle w:val="TableParagraph"/>
              <w:ind w:left="170" w:right="155"/>
              <w:jc w:val="center"/>
              <w:rPr>
                <w:b/>
                <w:sz w:val="24"/>
              </w:rPr>
            </w:pPr>
            <w:r>
              <w:rPr>
                <w:b/>
                <w:sz w:val="24"/>
              </w:rPr>
              <w:t>MOTION TO SUPPRESS ALL EVIDENCE, OBSERVATIONS, AND STATEMENTS OBTAINED AFTER MS. INGA’S WARRANTLESS SEIZURE AND ARREST</w:t>
            </w:r>
          </w:p>
        </w:tc>
      </w:tr>
    </w:tbl>
    <w:p>
      <w:pPr>
        <w:pStyle w:val="BodyText"/>
        <w:rPr>
          <w:rFonts w:ascii="Times New Roman"/>
          <w:sz w:val="20"/>
        </w:rPr>
      </w:pPr>
    </w:p>
    <w:p>
      <w:pPr>
        <w:pStyle w:val="BodyText"/>
        <w:spacing w:before="100"/>
        <w:ind w:left="581" w:right="1501" w:firstLine="359"/>
      </w:pPr>
      <w:r>
        <w:rPr/>
        <w:t>Ms. Inga moves to suppress all evidence, observations, and statements after her warrantless seizure and arrest on November 21, 2016. As grounds, Ms. Inga states as follows:</w:t>
      </w:r>
    </w:p>
    <w:p>
      <w:pPr>
        <w:pStyle w:val="BodyText"/>
        <w:spacing w:before="7"/>
        <w:rPr>
          <w:sz w:val="27"/>
        </w:rPr>
      </w:pPr>
    </w:p>
    <w:p>
      <w:pPr>
        <w:pStyle w:val="ListParagraph"/>
        <w:numPr>
          <w:ilvl w:val="0"/>
          <w:numId w:val="1"/>
        </w:numPr>
        <w:tabs>
          <w:tab w:pos="1261" w:val="left" w:leader="none"/>
        </w:tabs>
        <w:spacing w:line="240" w:lineRule="auto" w:before="1" w:after="0"/>
        <w:ind w:left="1260" w:right="421" w:hanging="360"/>
        <w:jc w:val="left"/>
        <w:rPr>
          <w:sz w:val="24"/>
        </w:rPr>
      </w:pPr>
      <w:r>
        <w:rPr>
          <w:sz w:val="24"/>
        </w:rPr>
        <w:t>On April 4, 2017, Ms. Inga was contacted by officers with the Aurora Police Department (“APD”) at her apartment at 918 S. Ivory Circle Unit E in Aurora, Colorado where Ms. Inga was</w:t>
      </w:r>
      <w:r>
        <w:rPr>
          <w:spacing w:val="-2"/>
          <w:sz w:val="24"/>
        </w:rPr>
        <w:t> </w:t>
      </w:r>
      <w:r>
        <w:rPr>
          <w:sz w:val="24"/>
        </w:rPr>
        <w:t>living.</w:t>
      </w:r>
    </w:p>
    <w:p>
      <w:pPr>
        <w:pStyle w:val="BodyText"/>
        <w:spacing w:before="11"/>
        <w:rPr>
          <w:sz w:val="23"/>
        </w:rPr>
      </w:pPr>
    </w:p>
    <w:p>
      <w:pPr>
        <w:pStyle w:val="ListParagraph"/>
        <w:numPr>
          <w:ilvl w:val="0"/>
          <w:numId w:val="1"/>
        </w:numPr>
        <w:tabs>
          <w:tab w:pos="1261" w:val="left" w:leader="none"/>
        </w:tabs>
        <w:spacing w:line="240" w:lineRule="auto" w:before="0" w:after="0"/>
        <w:ind w:left="1260" w:right="361" w:hanging="360"/>
        <w:jc w:val="left"/>
        <w:rPr>
          <w:sz w:val="24"/>
        </w:rPr>
      </w:pPr>
      <w:r>
        <w:rPr>
          <w:sz w:val="24"/>
        </w:rPr>
        <w:t>Officers were dispatched to this address on the report of an alleged assault after the complaining witness, Ms. Mirian Yurivilca-Arellana, went to the police station and made a report.</w:t>
      </w:r>
    </w:p>
    <w:p>
      <w:pPr>
        <w:pStyle w:val="BodyText"/>
      </w:pPr>
    </w:p>
    <w:p>
      <w:pPr>
        <w:pStyle w:val="ListParagraph"/>
        <w:numPr>
          <w:ilvl w:val="0"/>
          <w:numId w:val="1"/>
        </w:numPr>
        <w:tabs>
          <w:tab w:pos="1261" w:val="left" w:leader="none"/>
        </w:tabs>
        <w:spacing w:line="240" w:lineRule="auto" w:before="0" w:after="0"/>
        <w:ind w:left="1260" w:right="443" w:hanging="360"/>
        <w:jc w:val="left"/>
        <w:rPr>
          <w:sz w:val="24"/>
        </w:rPr>
      </w:pPr>
      <w:r>
        <w:rPr>
          <w:sz w:val="24"/>
        </w:rPr>
        <w:t>When APD officers arrived, they made contact with Ms. Inga inside of the residence and began questioning her about what</w:t>
      </w:r>
      <w:r>
        <w:rPr>
          <w:spacing w:val="-4"/>
          <w:sz w:val="24"/>
        </w:rPr>
        <w:t> </w:t>
      </w:r>
      <w:r>
        <w:rPr>
          <w:sz w:val="24"/>
        </w:rPr>
        <w:t>happened.</w:t>
      </w:r>
    </w:p>
    <w:p>
      <w:pPr>
        <w:pStyle w:val="BodyText"/>
        <w:spacing w:before="1"/>
      </w:pPr>
    </w:p>
    <w:p>
      <w:pPr>
        <w:pStyle w:val="ListParagraph"/>
        <w:numPr>
          <w:ilvl w:val="0"/>
          <w:numId w:val="1"/>
        </w:numPr>
        <w:tabs>
          <w:tab w:pos="1261" w:val="left" w:leader="none"/>
        </w:tabs>
        <w:spacing w:line="240" w:lineRule="auto" w:before="1" w:after="0"/>
        <w:ind w:left="1260" w:right="0" w:hanging="360"/>
        <w:jc w:val="left"/>
        <w:rPr>
          <w:sz w:val="24"/>
        </w:rPr>
      </w:pPr>
      <w:r>
        <w:rPr>
          <w:sz w:val="24"/>
        </w:rPr>
        <w:t>Ms. Inga was subsequently handcuffed and transported to the Aurora</w:t>
      </w:r>
      <w:r>
        <w:rPr>
          <w:spacing w:val="-10"/>
          <w:sz w:val="24"/>
        </w:rPr>
        <w:t> </w:t>
      </w:r>
      <w:r>
        <w:rPr>
          <w:sz w:val="24"/>
        </w:rPr>
        <w:t>jail.</w:t>
      </w:r>
    </w:p>
    <w:p>
      <w:pPr>
        <w:pStyle w:val="BodyText"/>
        <w:spacing w:before="11"/>
        <w:rPr>
          <w:sz w:val="23"/>
        </w:rPr>
      </w:pPr>
    </w:p>
    <w:p>
      <w:pPr>
        <w:pStyle w:val="ListParagraph"/>
        <w:numPr>
          <w:ilvl w:val="0"/>
          <w:numId w:val="1"/>
        </w:numPr>
        <w:tabs>
          <w:tab w:pos="1261" w:val="left" w:leader="none"/>
        </w:tabs>
        <w:spacing w:line="240" w:lineRule="auto" w:before="0" w:after="0"/>
        <w:ind w:left="1260" w:right="373" w:hanging="360"/>
        <w:jc w:val="both"/>
        <w:rPr>
          <w:sz w:val="24"/>
        </w:rPr>
      </w:pPr>
      <w:r>
        <w:rPr>
          <w:sz w:val="24"/>
        </w:rPr>
        <w:t>At the time Ms. Inga was detained, the police did not have reasonable suspicion to persist with their contact. Additionally, the defense moves to suppress all evidence, observations, and statements made after her illegal seizure and</w:t>
      </w:r>
      <w:r>
        <w:rPr>
          <w:spacing w:val="-7"/>
          <w:sz w:val="24"/>
        </w:rPr>
        <w:t> </w:t>
      </w:r>
      <w:r>
        <w:rPr>
          <w:sz w:val="24"/>
        </w:rPr>
        <w:t>arrest.</w:t>
      </w:r>
    </w:p>
    <w:p>
      <w:pPr>
        <w:pStyle w:val="BodyText"/>
      </w:pPr>
    </w:p>
    <w:p>
      <w:pPr>
        <w:pStyle w:val="ListParagraph"/>
        <w:numPr>
          <w:ilvl w:val="0"/>
          <w:numId w:val="1"/>
        </w:numPr>
        <w:tabs>
          <w:tab w:pos="1261" w:val="left" w:leader="none"/>
        </w:tabs>
        <w:spacing w:line="240" w:lineRule="auto" w:before="0" w:after="0"/>
        <w:ind w:left="1260" w:right="383" w:hanging="360"/>
        <w:jc w:val="left"/>
        <w:rPr>
          <w:sz w:val="24"/>
        </w:rPr>
      </w:pPr>
      <w:r>
        <w:rPr>
          <w:sz w:val="24"/>
        </w:rPr>
        <w:t>The Fourth Amendment to the United States Constitution and Article II, §7 of the Colorado Constitution protect against unlawful searches and seizures. U.S. Const.</w:t>
      </w:r>
      <w:r>
        <w:rPr>
          <w:spacing w:val="-38"/>
          <w:sz w:val="24"/>
        </w:rPr>
        <w:t> </w:t>
      </w:r>
      <w:r>
        <w:rPr>
          <w:sz w:val="24"/>
        </w:rPr>
        <w:t>amend.</w:t>
      </w:r>
    </w:p>
    <w:p>
      <w:pPr>
        <w:spacing w:after="0" w:line="240" w:lineRule="auto"/>
        <w:jc w:val="left"/>
        <w:rPr>
          <w:sz w:val="24"/>
        </w:rPr>
        <w:sectPr>
          <w:type w:val="continuous"/>
          <w:pgSz w:w="12240" w:h="15840"/>
          <w:pgMar w:top="1500" w:bottom="280" w:left="1140" w:right="1140"/>
        </w:sectPr>
      </w:pPr>
    </w:p>
    <w:p>
      <w:pPr>
        <w:spacing w:before="82"/>
        <w:ind w:left="1260" w:right="338" w:firstLine="0"/>
        <w:jc w:val="left"/>
        <w:rPr>
          <w:sz w:val="24"/>
        </w:rPr>
      </w:pPr>
      <w:r>
        <w:rPr>
          <w:sz w:val="24"/>
        </w:rPr>
        <w:t>IV; Colo. Const. art. II, § 7. It is well established that a warrantless seizure or arrest is presumptively invalid</w:t>
      </w:r>
      <w:r>
        <w:rPr>
          <w:i/>
          <w:sz w:val="24"/>
        </w:rPr>
        <w:t>. People v. Outlaw</w:t>
      </w:r>
      <w:r>
        <w:rPr>
          <w:sz w:val="24"/>
        </w:rPr>
        <w:t>, 17 P.3d 150 (2001) (citing </w:t>
      </w:r>
      <w:r>
        <w:rPr>
          <w:i/>
          <w:sz w:val="24"/>
        </w:rPr>
        <w:t>People v. P.E.A</w:t>
      </w:r>
      <w:r>
        <w:rPr>
          <w:sz w:val="24"/>
        </w:rPr>
        <w:t>., 754 P.2d 382 (Colo. 1998)); </w:t>
      </w:r>
      <w:r>
        <w:rPr>
          <w:i/>
          <w:sz w:val="24"/>
        </w:rPr>
        <w:t>Coolidge v. New Hampshire</w:t>
      </w:r>
      <w:r>
        <w:rPr>
          <w:sz w:val="24"/>
        </w:rPr>
        <w:t>, 403 U.S. 443 (1971); </w:t>
      </w:r>
      <w:r>
        <w:rPr>
          <w:i/>
          <w:sz w:val="24"/>
        </w:rPr>
        <w:t>Chimel v. California</w:t>
      </w:r>
      <w:r>
        <w:rPr>
          <w:sz w:val="24"/>
        </w:rPr>
        <w:t>, 395</w:t>
      </w:r>
    </w:p>
    <w:p>
      <w:pPr>
        <w:spacing w:line="269" w:lineRule="exact" w:before="0"/>
        <w:ind w:left="1260" w:right="0" w:firstLine="0"/>
        <w:jc w:val="left"/>
        <w:rPr>
          <w:sz w:val="24"/>
        </w:rPr>
      </w:pPr>
      <w:r>
        <w:rPr>
          <w:sz w:val="24"/>
        </w:rPr>
        <w:t>U.S. 752 (1969); </w:t>
      </w:r>
      <w:r>
        <w:rPr>
          <w:i/>
          <w:sz w:val="24"/>
        </w:rPr>
        <w:t>People v. Jansen</w:t>
      </w:r>
      <w:r>
        <w:rPr>
          <w:sz w:val="24"/>
        </w:rPr>
        <w:t>, 713 P.2d 907 (Colo. 1986).</w:t>
      </w:r>
    </w:p>
    <w:p>
      <w:pPr>
        <w:pStyle w:val="BodyText"/>
        <w:spacing w:before="7"/>
        <w:rPr>
          <w:sz w:val="27"/>
        </w:rPr>
      </w:pPr>
    </w:p>
    <w:p>
      <w:pPr>
        <w:pStyle w:val="ListParagraph"/>
        <w:numPr>
          <w:ilvl w:val="0"/>
          <w:numId w:val="1"/>
        </w:numPr>
        <w:tabs>
          <w:tab w:pos="1261" w:val="left" w:leader="none"/>
        </w:tabs>
        <w:spacing w:line="240" w:lineRule="auto" w:before="0" w:after="0"/>
        <w:ind w:left="1260" w:right="391" w:hanging="360"/>
        <w:jc w:val="left"/>
        <w:rPr>
          <w:sz w:val="24"/>
        </w:rPr>
      </w:pPr>
      <w:r>
        <w:rPr>
          <w:sz w:val="24"/>
        </w:rPr>
        <w:t>Because a warrantless seizure and arrest is presumptively invalid, the absence of a</w:t>
      </w:r>
      <w:r>
        <w:rPr>
          <w:spacing w:val="-42"/>
          <w:sz w:val="24"/>
        </w:rPr>
        <w:t> </w:t>
      </w:r>
      <w:r>
        <w:rPr>
          <w:sz w:val="24"/>
        </w:rPr>
        <w:t>warrant will establish: (1) a fourth amendment seizure occurred in order to detain and arrest,</w:t>
      </w:r>
      <w:r>
        <w:rPr>
          <w:spacing w:val="-17"/>
          <w:sz w:val="24"/>
        </w:rPr>
        <w:t> </w:t>
      </w:r>
      <w:r>
        <w:rPr>
          <w:sz w:val="24"/>
        </w:rPr>
        <w:t>and</w:t>
      </w:r>
    </w:p>
    <w:p>
      <w:pPr>
        <w:pStyle w:val="ListParagraph"/>
        <w:numPr>
          <w:ilvl w:val="1"/>
          <w:numId w:val="1"/>
        </w:numPr>
        <w:tabs>
          <w:tab w:pos="1573" w:val="left" w:leader="none"/>
        </w:tabs>
        <w:spacing w:line="240" w:lineRule="auto" w:before="0" w:after="0"/>
        <w:ind w:left="1260" w:right="365" w:firstLine="0"/>
        <w:jc w:val="left"/>
        <w:rPr>
          <w:sz w:val="24"/>
        </w:rPr>
      </w:pPr>
      <w:r>
        <w:rPr>
          <w:sz w:val="24"/>
        </w:rPr>
        <w:t>that the stop was invalid (subject to rebuttal by the prosecution). “Once that threshold requirement is met, the burden of going forward then shifts to the prosecution. The burden of proof, however, always remains with the People to establish that warrantless conduct on the part of the officers falls within one of the narrowly defined exceptions to the warrant requirement.” </w:t>
      </w:r>
      <w:r>
        <w:rPr>
          <w:i/>
          <w:sz w:val="24"/>
        </w:rPr>
        <w:t>Jansen</w:t>
      </w:r>
      <w:r>
        <w:rPr>
          <w:sz w:val="24"/>
        </w:rPr>
        <w:t>, 713 P.2d at</w:t>
      </w:r>
      <w:r>
        <w:rPr>
          <w:spacing w:val="-3"/>
          <w:sz w:val="24"/>
        </w:rPr>
        <w:t> </w:t>
      </w:r>
      <w:r>
        <w:rPr>
          <w:sz w:val="24"/>
        </w:rPr>
        <w:t>907.</w:t>
      </w:r>
    </w:p>
    <w:p>
      <w:pPr>
        <w:pStyle w:val="BodyText"/>
        <w:spacing w:before="8"/>
        <w:rPr>
          <w:sz w:val="27"/>
        </w:rPr>
      </w:pPr>
    </w:p>
    <w:p>
      <w:pPr>
        <w:pStyle w:val="ListParagraph"/>
        <w:numPr>
          <w:ilvl w:val="0"/>
          <w:numId w:val="1"/>
        </w:numPr>
        <w:tabs>
          <w:tab w:pos="1261" w:val="left" w:leader="none"/>
        </w:tabs>
        <w:spacing w:line="276" w:lineRule="auto" w:before="0" w:after="0"/>
        <w:ind w:left="1260" w:right="387" w:hanging="360"/>
        <w:jc w:val="left"/>
        <w:rPr>
          <w:sz w:val="24"/>
        </w:rPr>
      </w:pPr>
      <w:r>
        <w:rPr>
          <w:sz w:val="24"/>
        </w:rPr>
        <w:t>When a police officer stops an individual and restrains his freedom to walk away, the individual has been “seized.” </w:t>
      </w:r>
      <w:r>
        <w:rPr>
          <w:i/>
          <w:sz w:val="24"/>
        </w:rPr>
        <w:t>Terry v. Ohio, </w:t>
      </w:r>
      <w:r>
        <w:rPr>
          <w:sz w:val="24"/>
        </w:rPr>
        <w:t>392 U.S. 1 (1968). Whether a stop constitutes a seizure is determined by assessing all the circumstances surrounding the incident for each individual case. </w:t>
      </w:r>
      <w:r>
        <w:rPr>
          <w:i/>
          <w:sz w:val="24"/>
        </w:rPr>
        <w:t>People v. Heilman</w:t>
      </w:r>
      <w:r>
        <w:rPr>
          <w:sz w:val="24"/>
        </w:rPr>
        <w:t>, 52 P.3d. 224, 228 (Colo. 2002). The Colorado Supreme Court has articulated that "[t]he test is whether a reasonable person under the circumstances would believe that he or she was free to leave and/or disregard the officer's request for information." </w:t>
      </w:r>
      <w:r>
        <w:rPr>
          <w:i/>
          <w:sz w:val="24"/>
        </w:rPr>
        <w:t>Id. </w:t>
      </w:r>
      <w:r>
        <w:rPr>
          <w:sz w:val="24"/>
        </w:rPr>
        <w:t>at 228. Such a stop is illegal unless: (1) the officer has a reasonable suspicion that a crime has occurred, is occurring, or is about to</w:t>
      </w:r>
      <w:r>
        <w:rPr>
          <w:spacing w:val="-38"/>
          <w:sz w:val="24"/>
        </w:rPr>
        <w:t> </w:t>
      </w:r>
      <w:r>
        <w:rPr>
          <w:sz w:val="24"/>
        </w:rPr>
        <w:t>occur;</w:t>
      </w:r>
    </w:p>
    <w:p>
      <w:pPr>
        <w:pStyle w:val="ListParagraph"/>
        <w:numPr>
          <w:ilvl w:val="1"/>
          <w:numId w:val="1"/>
        </w:numPr>
        <w:tabs>
          <w:tab w:pos="1573" w:val="left" w:leader="none"/>
        </w:tabs>
        <w:spacing w:line="276" w:lineRule="auto" w:before="0" w:after="0"/>
        <w:ind w:left="1260" w:right="383" w:firstLine="0"/>
        <w:jc w:val="left"/>
        <w:rPr>
          <w:sz w:val="24"/>
        </w:rPr>
      </w:pPr>
      <w:r>
        <w:rPr>
          <w:sz w:val="24"/>
        </w:rPr>
        <w:t>the purpose of the stop is reasonable; and (3) the scope and character of the detention is reasonable when considered in light of its purpose. </w:t>
      </w:r>
      <w:r>
        <w:rPr>
          <w:i/>
          <w:sz w:val="24"/>
        </w:rPr>
        <w:t>Michigan v. Long</w:t>
      </w:r>
      <w:r>
        <w:rPr>
          <w:sz w:val="24"/>
        </w:rPr>
        <w:t>, 463 U.S. 1032, 1052 (1983). </w:t>
      </w:r>
      <w:r>
        <w:rPr>
          <w:i/>
          <w:sz w:val="24"/>
        </w:rPr>
        <w:t>People v. Arias</w:t>
      </w:r>
      <w:r>
        <w:rPr>
          <w:sz w:val="24"/>
        </w:rPr>
        <w:t>, 159 P.3d 134 (Colo.</w:t>
      </w:r>
      <w:r>
        <w:rPr>
          <w:spacing w:val="2"/>
          <w:sz w:val="24"/>
        </w:rPr>
        <w:t> </w:t>
      </w:r>
      <w:r>
        <w:rPr>
          <w:sz w:val="24"/>
        </w:rPr>
        <w:t>2007).</w:t>
      </w:r>
    </w:p>
    <w:p>
      <w:pPr>
        <w:pStyle w:val="BodyText"/>
        <w:spacing w:before="6"/>
        <w:rPr>
          <w:sz w:val="27"/>
        </w:rPr>
      </w:pPr>
    </w:p>
    <w:p>
      <w:pPr>
        <w:pStyle w:val="ListParagraph"/>
        <w:numPr>
          <w:ilvl w:val="0"/>
          <w:numId w:val="1"/>
        </w:numPr>
        <w:tabs>
          <w:tab w:pos="1261" w:val="left" w:leader="none"/>
        </w:tabs>
        <w:spacing w:line="276" w:lineRule="auto" w:before="0" w:after="0"/>
        <w:ind w:left="1260" w:right="469" w:hanging="360"/>
        <w:jc w:val="left"/>
        <w:rPr>
          <w:sz w:val="24"/>
        </w:rPr>
      </w:pPr>
      <w:r>
        <w:rPr>
          <w:sz w:val="24"/>
        </w:rPr>
        <w:t>When an investigatory stop involves more than a brief detention, the stop escalates into an arrest, which must be supported by probable cause. </w:t>
      </w:r>
      <w:r>
        <w:rPr>
          <w:i/>
          <w:sz w:val="24"/>
        </w:rPr>
        <w:t>People v. Ingram</w:t>
      </w:r>
      <w:r>
        <w:rPr>
          <w:sz w:val="24"/>
        </w:rPr>
        <w:t>, 984 P.2d 597, 604 (Colo. 1999); </w:t>
      </w:r>
      <w:r>
        <w:rPr>
          <w:i/>
          <w:sz w:val="24"/>
        </w:rPr>
        <w:t>see Beck v. Ohio</w:t>
      </w:r>
      <w:r>
        <w:rPr>
          <w:sz w:val="24"/>
        </w:rPr>
        <w:t>, 379 U.S. 471 (1963); </w:t>
      </w:r>
      <w:r>
        <w:rPr>
          <w:i/>
          <w:sz w:val="24"/>
        </w:rPr>
        <w:t>People v. Schreyer</w:t>
      </w:r>
      <w:r>
        <w:rPr>
          <w:sz w:val="24"/>
        </w:rPr>
        <w:t>, 640 P.2d 1147 (Colo. 1982). Probable cause is defined as facts available to a reasonably cautious officer, which would warrant a belief that an offense has been, or was being, committed by the defendant. </w:t>
      </w:r>
      <w:r>
        <w:rPr>
          <w:i/>
          <w:sz w:val="24"/>
        </w:rPr>
        <w:t>People v. Navran</w:t>
      </w:r>
      <w:r>
        <w:rPr>
          <w:sz w:val="24"/>
        </w:rPr>
        <w:t>, 483 P.2d 228 (Colo.</w:t>
      </w:r>
      <w:r>
        <w:rPr>
          <w:spacing w:val="-29"/>
          <w:sz w:val="24"/>
        </w:rPr>
        <w:t> </w:t>
      </w:r>
      <w:r>
        <w:rPr>
          <w:sz w:val="24"/>
        </w:rPr>
        <w:t>1971).</w:t>
      </w:r>
    </w:p>
    <w:p>
      <w:pPr>
        <w:pStyle w:val="BodyText"/>
      </w:pPr>
    </w:p>
    <w:p>
      <w:pPr>
        <w:pStyle w:val="ListParagraph"/>
        <w:numPr>
          <w:ilvl w:val="0"/>
          <w:numId w:val="1"/>
        </w:numPr>
        <w:tabs>
          <w:tab w:pos="1261" w:val="left" w:leader="none"/>
        </w:tabs>
        <w:spacing w:line="276" w:lineRule="auto" w:before="0" w:after="0"/>
        <w:ind w:left="1260" w:right="594" w:hanging="360"/>
        <w:jc w:val="left"/>
        <w:rPr>
          <w:sz w:val="24"/>
        </w:rPr>
      </w:pPr>
      <w:r>
        <w:rPr>
          <w:sz w:val="24"/>
        </w:rPr>
        <w:t>In the present case, APD officers had insufficient basis to contact Ms. Inga and arrest her. Further, there was insufficient probable cause to arrest Ms. Inga, and therefore any evidence obtained after her arrest should be</w:t>
      </w:r>
      <w:r>
        <w:rPr>
          <w:spacing w:val="-28"/>
          <w:sz w:val="24"/>
        </w:rPr>
        <w:t> </w:t>
      </w:r>
      <w:r>
        <w:rPr>
          <w:sz w:val="24"/>
        </w:rPr>
        <w:t>suppressed.</w:t>
      </w:r>
    </w:p>
    <w:p>
      <w:pPr>
        <w:pStyle w:val="BodyText"/>
        <w:spacing w:before="10"/>
        <w:rPr>
          <w:sz w:val="23"/>
        </w:rPr>
      </w:pPr>
    </w:p>
    <w:p>
      <w:pPr>
        <w:pStyle w:val="ListParagraph"/>
        <w:numPr>
          <w:ilvl w:val="0"/>
          <w:numId w:val="1"/>
        </w:numPr>
        <w:tabs>
          <w:tab w:pos="1261" w:val="left" w:leader="none"/>
        </w:tabs>
        <w:spacing w:line="240" w:lineRule="auto" w:before="1" w:after="0"/>
        <w:ind w:left="1260" w:right="0" w:hanging="360"/>
        <w:jc w:val="left"/>
        <w:rPr>
          <w:sz w:val="24"/>
        </w:rPr>
      </w:pPr>
      <w:r>
        <w:rPr>
          <w:sz w:val="24"/>
        </w:rPr>
        <w:t>The defense requests a</w:t>
      </w:r>
      <w:r>
        <w:rPr>
          <w:spacing w:val="-4"/>
          <w:sz w:val="24"/>
        </w:rPr>
        <w:t> </w:t>
      </w:r>
      <w:r>
        <w:rPr>
          <w:sz w:val="24"/>
        </w:rPr>
        <w:t>hearing.</w:t>
      </w:r>
    </w:p>
    <w:p>
      <w:pPr>
        <w:spacing w:after="0" w:line="240" w:lineRule="auto"/>
        <w:jc w:val="left"/>
        <w:rPr>
          <w:sz w:val="24"/>
        </w:rPr>
        <w:sectPr>
          <w:pgSz w:w="12240" w:h="15840"/>
          <w:pgMar w:top="1420" w:bottom="280" w:left="1140" w:right="1140"/>
        </w:sectPr>
      </w:pPr>
    </w:p>
    <w:p>
      <w:pPr>
        <w:pStyle w:val="BodyText"/>
        <w:spacing w:before="72"/>
        <w:ind w:left="300" w:right="910"/>
        <w:jc w:val="both"/>
      </w:pPr>
      <w:r>
        <w:rPr/>
        <w:pict>
          <v:line style="position:absolute;mso-position-horizontal-relative:page;mso-position-vertical-relative:page;z-index:1024" from="369.910004pt,344.122162pt" to="534.748011pt,344.122162pt" stroked="true" strokeweight=".39840pt" strokecolor="#000000">
            <v:stroke dashstyle="solid"/>
            <w10:wrap type="none"/>
          </v:line>
        </w:pict>
      </w:r>
      <w:r>
        <w:rPr/>
        <w:t>WHEREFORE, Ms. Inga requests an order suppressing all evidence, observations, and statements after her illegal seizure and arrest as being in violation of the Fourth and Fourteenth Amendments of the United States Constitution, and Article II, §§ 7 and 25 of the Colorado Constitution.</w:t>
      </w:r>
    </w:p>
    <w:p>
      <w:pPr>
        <w:pStyle w:val="BodyText"/>
        <w:rPr>
          <w:sz w:val="26"/>
        </w:rPr>
      </w:pPr>
    </w:p>
    <w:p>
      <w:pPr>
        <w:pStyle w:val="BodyText"/>
        <w:spacing w:before="11"/>
        <w:rPr>
          <w:sz w:val="21"/>
        </w:rPr>
      </w:pPr>
    </w:p>
    <w:p>
      <w:pPr>
        <w:pStyle w:val="BodyText"/>
        <w:spacing w:line="269" w:lineRule="exact"/>
        <w:ind w:left="300"/>
        <w:jc w:val="both"/>
      </w:pPr>
      <w:r>
        <w:rPr/>
        <w:t>DOUGLAS K. WILSON</w:t>
      </w:r>
    </w:p>
    <w:p>
      <w:pPr>
        <w:pStyle w:val="BodyText"/>
        <w:spacing w:line="269" w:lineRule="exact"/>
        <w:ind w:left="300"/>
        <w:jc w:val="both"/>
      </w:pPr>
      <w:r>
        <w:rPr/>
        <w:t>COLORADO STATE PUBLIC DEFENDER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5"/>
        <w:gridCol w:w="5017"/>
      </w:tblGrid>
      <w:tr>
        <w:trPr>
          <w:trHeight w:val="2102" w:hRule="atLeast"/>
        </w:trPr>
        <w:tc>
          <w:tcPr>
            <w:tcW w:w="4685" w:type="dxa"/>
          </w:tcPr>
          <w:p>
            <w:pPr>
              <w:pStyle w:val="TableParagraph"/>
              <w:spacing w:before="2"/>
              <w:rPr>
                <w:sz w:val="23"/>
              </w:rPr>
            </w:pPr>
          </w:p>
          <w:p>
            <w:pPr>
              <w:pStyle w:val="TableParagraph"/>
              <w:tabs>
                <w:tab w:pos="1039" w:val="left" w:leader="none"/>
                <w:tab w:pos="3266" w:val="left" w:leader="none"/>
              </w:tabs>
              <w:ind w:left="200" w:right="1416"/>
              <w:rPr>
                <w:rFonts w:ascii="Times New Roman"/>
                <w:sz w:val="24"/>
              </w:rPr>
            </w:pPr>
            <w:r>
              <w:rPr>
                <w:rFonts w:ascii="Times New Roman"/>
                <w:sz w:val="24"/>
                <w:u w:val="single"/>
              </w:rPr>
              <w:t> </w:t>
              <w:tab/>
            </w:r>
            <w:r>
              <w:rPr>
                <w:rFonts w:ascii="Times New Roman"/>
                <w:sz w:val="24"/>
              </w:rPr>
              <w:t>/s/</w:t>
            </w:r>
            <w:r>
              <w:rPr>
                <w:rFonts w:ascii="Times New Roman"/>
                <w:spacing w:val="-3"/>
                <w:sz w:val="24"/>
              </w:rPr>
              <w:t> </w:t>
            </w:r>
            <w:r>
              <w:rPr>
                <w:rFonts w:ascii="Times New Roman"/>
                <w:sz w:val="24"/>
              </w:rPr>
              <w:t>Katie</w:t>
            </w:r>
            <w:r>
              <w:rPr>
                <w:rFonts w:ascii="Times New Roman"/>
                <w:spacing w:val="-3"/>
                <w:sz w:val="24"/>
              </w:rPr>
              <w:t> </w:t>
            </w:r>
            <w:r>
              <w:rPr>
                <w:rFonts w:ascii="Times New Roman"/>
                <w:sz w:val="24"/>
              </w:rPr>
              <w:t>Telfer_</w:t>
            </w:r>
            <w:r>
              <w:rPr>
                <w:rFonts w:ascii="Times New Roman"/>
                <w:sz w:val="24"/>
                <w:u w:val="single"/>
              </w:rPr>
              <w:t> </w:t>
              <w:tab/>
            </w:r>
            <w:r>
              <w:rPr>
                <w:rFonts w:ascii="Times New Roman"/>
                <w:sz w:val="24"/>
              </w:rPr>
              <w:t> Katie Telfer,</w:t>
            </w:r>
            <w:r>
              <w:rPr>
                <w:rFonts w:ascii="Times New Roman"/>
                <w:spacing w:val="-2"/>
                <w:sz w:val="24"/>
              </w:rPr>
              <w:t> </w:t>
            </w:r>
            <w:r>
              <w:rPr>
                <w:rFonts w:ascii="Times New Roman"/>
                <w:sz w:val="24"/>
              </w:rPr>
              <w:t>#41720</w:t>
            </w:r>
          </w:p>
          <w:p>
            <w:pPr>
              <w:pStyle w:val="TableParagraph"/>
              <w:spacing w:before="6"/>
              <w:rPr>
                <w:sz w:val="24"/>
              </w:rPr>
            </w:pPr>
          </w:p>
          <w:p>
            <w:pPr>
              <w:pStyle w:val="TableParagraph"/>
              <w:ind w:left="200" w:right="899"/>
              <w:rPr>
                <w:rFonts w:ascii="Times New Roman"/>
                <w:sz w:val="24"/>
              </w:rPr>
            </w:pPr>
            <w:r>
              <w:rPr>
                <w:rFonts w:ascii="Times New Roman"/>
                <w:sz w:val="24"/>
              </w:rPr>
              <w:t>Deputy State Public Defenders Dated: October 3 2017</w:t>
            </w:r>
          </w:p>
        </w:tc>
        <w:tc>
          <w:tcPr>
            <w:tcW w:w="5017" w:type="dxa"/>
          </w:tcPr>
          <w:p>
            <w:pPr>
              <w:pStyle w:val="TableParagraph"/>
              <w:spacing w:line="221" w:lineRule="exact"/>
              <w:ind w:left="2274"/>
              <w:rPr>
                <w:rFonts w:ascii="Times New Roman"/>
                <w:b/>
                <w:sz w:val="20"/>
              </w:rPr>
            </w:pPr>
            <w:r>
              <w:rPr>
                <w:rFonts w:ascii="Times New Roman"/>
                <w:b/>
                <w:sz w:val="20"/>
                <w:u w:val="single"/>
              </w:rPr>
              <w:t>Certificate of Service</w:t>
            </w:r>
          </w:p>
          <w:p>
            <w:pPr>
              <w:pStyle w:val="TableParagraph"/>
              <w:spacing w:before="1"/>
              <w:rPr>
                <w:sz w:val="20"/>
              </w:rPr>
            </w:pPr>
          </w:p>
          <w:p>
            <w:pPr>
              <w:pStyle w:val="TableParagraph"/>
              <w:ind w:left="1472" w:right="181"/>
              <w:rPr>
                <w:rFonts w:ascii="Times New Roman"/>
                <w:sz w:val="20"/>
              </w:rPr>
            </w:pPr>
            <w:r>
              <w:rPr>
                <w:rFonts w:ascii="Times New Roman"/>
                <w:sz w:val="20"/>
              </w:rPr>
              <w:t>I hereby certify that on October 3, 2017, I served the foregoing document through ICCES to opposing counsel of record.</w:t>
            </w:r>
          </w:p>
          <w:p>
            <w:pPr>
              <w:pStyle w:val="TableParagraph"/>
              <w:rPr>
                <w:sz w:val="22"/>
              </w:rPr>
            </w:pPr>
          </w:p>
          <w:p>
            <w:pPr>
              <w:pStyle w:val="TableParagraph"/>
              <w:spacing w:before="8"/>
              <w:rPr>
                <w:sz w:val="18"/>
              </w:rPr>
            </w:pPr>
          </w:p>
          <w:p>
            <w:pPr>
              <w:pStyle w:val="TableParagraph"/>
              <w:spacing w:before="1"/>
              <w:ind w:left="2312"/>
              <w:rPr>
                <w:rFonts w:ascii="Times New Roman"/>
                <w:sz w:val="24"/>
              </w:rPr>
            </w:pPr>
            <w:r>
              <w:rPr>
                <w:rFonts w:ascii="Times New Roman"/>
                <w:sz w:val="24"/>
              </w:rPr>
              <w:t>/s/ Katie Telfer</w:t>
            </w:r>
          </w:p>
        </w:tc>
      </w:tr>
    </w:tbl>
    <w:sectPr>
      <w:pgSz w:w="12240" w:h="15840"/>
      <w:pgMar w:top="1440" w:bottom="2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60" w:hanging="360"/>
        <w:jc w:val="left"/>
      </w:pPr>
      <w:rPr>
        <w:rFonts w:hint="default" w:ascii="Garamond" w:hAnsi="Garamond" w:eastAsia="Garamond" w:cs="Garamond"/>
        <w:spacing w:val="-3"/>
        <w:w w:val="100"/>
        <w:sz w:val="24"/>
        <w:szCs w:val="24"/>
      </w:rPr>
    </w:lvl>
    <w:lvl w:ilvl="1">
      <w:start w:val="2"/>
      <w:numFmt w:val="decimal"/>
      <w:lvlText w:val="(%2)"/>
      <w:lvlJc w:val="left"/>
      <w:pPr>
        <w:ind w:left="1260" w:hanging="313"/>
        <w:jc w:val="left"/>
      </w:pPr>
      <w:rPr>
        <w:rFonts w:hint="default" w:ascii="Garamond" w:hAnsi="Garamond" w:eastAsia="Garamond" w:cs="Garamond"/>
        <w:w w:val="100"/>
        <w:sz w:val="24"/>
        <w:szCs w:val="24"/>
      </w:rPr>
    </w:lvl>
    <w:lvl w:ilvl="2">
      <w:start w:val="0"/>
      <w:numFmt w:val="bullet"/>
      <w:lvlText w:val="•"/>
      <w:lvlJc w:val="left"/>
      <w:pPr>
        <w:ind w:left="3000" w:hanging="313"/>
      </w:pPr>
      <w:rPr>
        <w:rFonts w:hint="default"/>
      </w:rPr>
    </w:lvl>
    <w:lvl w:ilvl="3">
      <w:start w:val="0"/>
      <w:numFmt w:val="bullet"/>
      <w:lvlText w:val="•"/>
      <w:lvlJc w:val="left"/>
      <w:pPr>
        <w:ind w:left="3870" w:hanging="313"/>
      </w:pPr>
      <w:rPr>
        <w:rFonts w:hint="default"/>
      </w:rPr>
    </w:lvl>
    <w:lvl w:ilvl="4">
      <w:start w:val="0"/>
      <w:numFmt w:val="bullet"/>
      <w:lvlText w:val="•"/>
      <w:lvlJc w:val="left"/>
      <w:pPr>
        <w:ind w:left="4740" w:hanging="313"/>
      </w:pPr>
      <w:rPr>
        <w:rFonts w:hint="default"/>
      </w:rPr>
    </w:lvl>
    <w:lvl w:ilvl="5">
      <w:start w:val="0"/>
      <w:numFmt w:val="bullet"/>
      <w:lvlText w:val="•"/>
      <w:lvlJc w:val="left"/>
      <w:pPr>
        <w:ind w:left="5610" w:hanging="313"/>
      </w:pPr>
      <w:rPr>
        <w:rFonts w:hint="default"/>
      </w:rPr>
    </w:lvl>
    <w:lvl w:ilvl="6">
      <w:start w:val="0"/>
      <w:numFmt w:val="bullet"/>
      <w:lvlText w:val="•"/>
      <w:lvlJc w:val="left"/>
      <w:pPr>
        <w:ind w:left="6480" w:hanging="313"/>
      </w:pPr>
      <w:rPr>
        <w:rFonts w:hint="default"/>
      </w:rPr>
    </w:lvl>
    <w:lvl w:ilvl="7">
      <w:start w:val="0"/>
      <w:numFmt w:val="bullet"/>
      <w:lvlText w:val="•"/>
      <w:lvlJc w:val="left"/>
      <w:pPr>
        <w:ind w:left="7350" w:hanging="313"/>
      </w:pPr>
      <w:rPr>
        <w:rFonts w:hint="default"/>
      </w:rPr>
    </w:lvl>
    <w:lvl w:ilvl="8">
      <w:start w:val="0"/>
      <w:numFmt w:val="bullet"/>
      <w:lvlText w:val="•"/>
      <w:lvlJc w:val="left"/>
      <w:pPr>
        <w:ind w:left="8220" w:hanging="3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ListParagraph" w:type="paragraph">
    <w:name w:val="List Paragraph"/>
    <w:basedOn w:val="Normal"/>
    <w:uiPriority w:val="1"/>
    <w:qFormat/>
    <w:pPr>
      <w:ind w:left="1260" w:hanging="360"/>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ie.telfer@coloradodefender.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2019-03-22T15:40:18Z</dcterms:created>
  <dcterms:modified xsi:type="dcterms:W3CDTF">2019-03-22T15:40:18Z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