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shapetype id="_x0000_t202" o:spt="202" coordsize="21600,21600" path="m,l,21600r21600,l21600,xe">
            <v:stroke joinstyle="miter"/>
            <v:path gradientshapeok="t" o:connecttype="rect"/>
          </v:shapetype>
          <v:shape style="position:absolute;margin-left:84.360001pt;margin-top:72.000008pt;width:469.65pt;height:298pt;mso-position-horizontal-relative:page;mso-position-vertical-relative:page;z-index:102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8"/>
                    <w:gridCol w:w="3420"/>
                  </w:tblGrid>
                  <w:tr>
                    <w:trPr>
                      <w:trHeight w:val="844" w:hRule="atLeast"/>
                    </w:trPr>
                    <w:tc>
                      <w:tcPr>
                        <w:tcW w:w="5958" w:type="dxa"/>
                      </w:tcPr>
                      <w:p>
                        <w:pPr>
                          <w:pStyle w:val="TableParagraph"/>
                          <w:ind w:right="1272"/>
                          <w:rPr>
                            <w:sz w:val="24"/>
                          </w:rPr>
                        </w:pPr>
                        <w:r>
                          <w:rPr>
                            <w:sz w:val="24"/>
                          </w:rPr>
                          <w:t>District Court, Adams County, Colorado Court Address: 1100 Judicial Center Drive</w:t>
                        </w:r>
                      </w:p>
                      <w:p>
                        <w:pPr>
                          <w:pStyle w:val="TableParagraph"/>
                          <w:spacing w:line="262" w:lineRule="exact"/>
                          <w:ind w:left="1480"/>
                          <w:rPr>
                            <w:sz w:val="24"/>
                          </w:rPr>
                        </w:pPr>
                        <w:r>
                          <w:rPr>
                            <w:sz w:val="24"/>
                          </w:rPr>
                          <w:t>Brighton, CO</w:t>
                        </w:r>
                        <w:r>
                          <w:rPr>
                            <w:spacing w:val="51"/>
                            <w:sz w:val="24"/>
                          </w:rPr>
                          <w:t> </w:t>
                        </w:r>
                        <w:r>
                          <w:rPr>
                            <w:sz w:val="24"/>
                          </w:rPr>
                          <w:t>80601</w:t>
                        </w:r>
                      </w:p>
                    </w:tc>
                    <w:tc>
                      <w:tcPr>
                        <w:tcW w:w="3420" w:type="dxa"/>
                        <w:vMerge w:val="restart"/>
                      </w:tcPr>
                      <w:p>
                        <w:pPr>
                          <w:pStyle w:val="TableParagraph"/>
                          <w:ind w:left="0"/>
                          <w:rPr>
                            <w:sz w:val="26"/>
                          </w:rPr>
                        </w:pPr>
                      </w:p>
                      <w:p>
                        <w:pPr>
                          <w:pStyle w:val="TableParagraph"/>
                          <w:spacing w:before="2"/>
                          <w:ind w:left="0"/>
                          <w:rPr>
                            <w:sz w:val="33"/>
                          </w:rPr>
                        </w:pPr>
                      </w:p>
                      <w:p>
                        <w:pPr>
                          <w:pStyle w:val="TableParagraph"/>
                          <w:spacing w:line="220" w:lineRule="auto" w:before="1"/>
                          <w:ind w:left="766" w:right="-120"/>
                          <w:rPr>
                            <w:rFonts w:ascii="Minion Pro"/>
                            <w:sz w:val="19"/>
                          </w:rPr>
                        </w:pPr>
                        <w:r>
                          <w:rPr>
                            <w:rFonts w:ascii="Minion Pro"/>
                            <w:color w:val="0000FF"/>
                            <w:spacing w:val="-6"/>
                            <w:w w:val="105"/>
                            <w:sz w:val="19"/>
                          </w:rPr>
                          <w:t>DATE</w:t>
                        </w:r>
                        <w:r>
                          <w:rPr>
                            <w:rFonts w:ascii="Minion Pro"/>
                            <w:color w:val="0000FF"/>
                            <w:spacing w:val="-9"/>
                            <w:w w:val="105"/>
                            <w:sz w:val="19"/>
                          </w:rPr>
                          <w:t> </w:t>
                        </w:r>
                        <w:r>
                          <w:rPr>
                            <w:rFonts w:ascii="Minion Pro"/>
                            <w:color w:val="0000FF"/>
                            <w:w w:val="105"/>
                            <w:sz w:val="19"/>
                          </w:rPr>
                          <w:t>FILED:</w:t>
                        </w:r>
                        <w:r>
                          <w:rPr>
                            <w:rFonts w:ascii="Minion Pro"/>
                            <w:color w:val="0000FF"/>
                            <w:spacing w:val="-9"/>
                            <w:w w:val="105"/>
                            <w:sz w:val="19"/>
                          </w:rPr>
                          <w:t> </w:t>
                        </w:r>
                        <w:r>
                          <w:rPr>
                            <w:rFonts w:ascii="Minion Pro"/>
                            <w:color w:val="0000FF"/>
                            <w:w w:val="105"/>
                            <w:sz w:val="19"/>
                          </w:rPr>
                          <w:t>June</w:t>
                        </w:r>
                        <w:r>
                          <w:rPr>
                            <w:rFonts w:ascii="Minion Pro"/>
                            <w:color w:val="0000FF"/>
                            <w:spacing w:val="-9"/>
                            <w:w w:val="105"/>
                            <w:sz w:val="19"/>
                          </w:rPr>
                          <w:t> </w:t>
                        </w:r>
                        <w:r>
                          <w:rPr>
                            <w:rFonts w:ascii="Minion Pro"/>
                            <w:color w:val="0000FF"/>
                            <w:w w:val="105"/>
                            <w:sz w:val="19"/>
                          </w:rPr>
                          <w:t>1,</w:t>
                        </w:r>
                        <w:r>
                          <w:rPr>
                            <w:rFonts w:ascii="Minion Pro"/>
                            <w:color w:val="0000FF"/>
                            <w:spacing w:val="-9"/>
                            <w:w w:val="105"/>
                            <w:sz w:val="19"/>
                          </w:rPr>
                          <w:t> </w:t>
                        </w:r>
                        <w:r>
                          <w:rPr>
                            <w:rFonts w:ascii="Minion Pro"/>
                            <w:color w:val="0000FF"/>
                            <w:w w:val="105"/>
                            <w:sz w:val="19"/>
                          </w:rPr>
                          <w:t>2017</w:t>
                        </w:r>
                        <w:r>
                          <w:rPr>
                            <w:rFonts w:ascii="Minion Pro"/>
                            <w:color w:val="0000FF"/>
                            <w:spacing w:val="-8"/>
                            <w:w w:val="105"/>
                            <w:sz w:val="19"/>
                          </w:rPr>
                          <w:t> </w:t>
                        </w:r>
                        <w:r>
                          <w:rPr>
                            <w:rFonts w:ascii="Minion Pro"/>
                            <w:color w:val="0000FF"/>
                            <w:w w:val="105"/>
                            <w:sz w:val="19"/>
                          </w:rPr>
                          <w:t>11:09</w:t>
                        </w:r>
                        <w:r>
                          <w:rPr>
                            <w:rFonts w:ascii="Minion Pro"/>
                            <w:color w:val="0000FF"/>
                            <w:spacing w:val="-9"/>
                            <w:w w:val="105"/>
                            <w:sz w:val="19"/>
                          </w:rPr>
                          <w:t> </w:t>
                        </w:r>
                        <w:r>
                          <w:rPr>
                            <w:rFonts w:ascii="Minion Pro"/>
                            <w:color w:val="0000FF"/>
                            <w:spacing w:val="-15"/>
                            <w:w w:val="105"/>
                            <w:sz w:val="19"/>
                          </w:rPr>
                          <w:t>A </w:t>
                        </w:r>
                        <w:r>
                          <w:rPr>
                            <w:rFonts w:ascii="Minion Pro"/>
                            <w:color w:val="0000FF"/>
                            <w:w w:val="105"/>
                            <w:sz w:val="19"/>
                          </w:rPr>
                          <w:t>FILING ID: 2BF170133CC34 CASE NUMBER:</w:t>
                        </w:r>
                        <w:r>
                          <w:rPr>
                            <w:rFonts w:ascii="Minion Pro"/>
                            <w:color w:val="0000FF"/>
                            <w:spacing w:val="-13"/>
                            <w:w w:val="105"/>
                            <w:sz w:val="19"/>
                          </w:rPr>
                          <w:t> </w:t>
                        </w:r>
                        <w:r>
                          <w:rPr>
                            <w:rFonts w:ascii="Minion Pro"/>
                            <w:color w:val="0000FF"/>
                            <w:w w:val="105"/>
                            <w:sz w:val="19"/>
                          </w:rPr>
                          <w:t>2016CR3773</w:t>
                        </w:r>
                      </w:p>
                      <w:p>
                        <w:pPr>
                          <w:pStyle w:val="TableParagraph"/>
                          <w:ind w:left="0"/>
                          <w:rPr>
                            <w:sz w:val="26"/>
                          </w:rPr>
                        </w:pPr>
                      </w:p>
                      <w:p>
                        <w:pPr>
                          <w:pStyle w:val="TableParagraph"/>
                          <w:ind w:left="0"/>
                          <w:rPr>
                            <w:sz w:val="26"/>
                          </w:rPr>
                        </w:pPr>
                      </w:p>
                      <w:p>
                        <w:pPr>
                          <w:pStyle w:val="TableParagraph"/>
                          <w:ind w:left="0"/>
                          <w:rPr>
                            <w:sz w:val="26"/>
                          </w:rPr>
                        </w:pPr>
                      </w:p>
                      <w:p>
                        <w:pPr>
                          <w:pStyle w:val="TableParagraph"/>
                          <w:spacing w:line="274" w:lineRule="exact" w:before="212"/>
                          <w:ind w:left="590"/>
                          <w:rPr>
                            <w:rFonts w:ascii="Symbol" w:hAnsi="Symbol"/>
                            <w:sz w:val="24"/>
                          </w:rPr>
                        </w:pPr>
                        <w:r>
                          <w:rPr>
                            <w:rFonts w:ascii="Symbol" w:hAnsi="Symbol"/>
                            <w:sz w:val="24"/>
                          </w:rPr>
                          <w:t></w:t>
                        </w:r>
                        <w:r>
                          <w:rPr>
                            <w:rFonts w:ascii="Times New Roman" w:hAnsi="Times New Roman"/>
                            <w:sz w:val="24"/>
                          </w:rPr>
                          <w:t> </w:t>
                        </w:r>
                        <w:r>
                          <w:rPr>
                            <w:sz w:val="24"/>
                          </w:rPr>
                          <w:t>COURT USE ONLY </w:t>
                        </w:r>
                        <w:r>
                          <w:rPr>
                            <w:rFonts w:ascii="Symbol" w:hAnsi="Symbol"/>
                            <w:sz w:val="24"/>
                          </w:rPr>
                          <w:t></w:t>
                        </w:r>
                      </w:p>
                    </w:tc>
                  </w:tr>
                  <w:tr>
                    <w:trPr>
                      <w:trHeight w:val="1968" w:hRule="atLeast"/>
                    </w:trPr>
                    <w:tc>
                      <w:tcPr>
                        <w:tcW w:w="5958" w:type="dxa"/>
                      </w:tcPr>
                      <w:p>
                        <w:pPr>
                          <w:pStyle w:val="TableParagraph"/>
                          <w:spacing w:line="281" w:lineRule="exact"/>
                          <w:rPr>
                            <w:sz w:val="24"/>
                          </w:rPr>
                        </w:pPr>
                        <w:r>
                          <w:rPr>
                            <w:sz w:val="24"/>
                          </w:rPr>
                          <w:t>THE PEOPLE OF THE STATE OF COLORADO,</w:t>
                        </w:r>
                      </w:p>
                      <w:p>
                        <w:pPr>
                          <w:pStyle w:val="TableParagraph"/>
                          <w:spacing w:line="480" w:lineRule="auto"/>
                          <w:ind w:right="5008"/>
                          <w:rPr>
                            <w:sz w:val="24"/>
                          </w:rPr>
                        </w:pPr>
                        <w:r>
                          <w:rPr>
                            <w:sz w:val="24"/>
                          </w:rPr>
                          <w:t>Plaintiff v.</w:t>
                        </w:r>
                      </w:p>
                      <w:p>
                        <w:pPr>
                          <w:pStyle w:val="TableParagraph"/>
                          <w:spacing w:line="280" w:lineRule="exact"/>
                          <w:rPr>
                            <w:sz w:val="24"/>
                          </w:rPr>
                        </w:pPr>
                        <w:r>
                          <w:rPr>
                            <w:sz w:val="24"/>
                          </w:rPr>
                          <w:t>SATURNINO PADILLA,</w:t>
                        </w:r>
                      </w:p>
                      <w:p>
                        <w:pPr>
                          <w:pStyle w:val="TableParagraph"/>
                          <w:spacing w:line="261" w:lineRule="exact" w:before="1"/>
                          <w:rPr>
                            <w:sz w:val="24"/>
                          </w:rPr>
                        </w:pPr>
                        <w:r>
                          <w:rPr>
                            <w:sz w:val="24"/>
                          </w:rPr>
                          <w:t>Defendant</w:t>
                        </w:r>
                      </w:p>
                    </w:tc>
                    <w:tc>
                      <w:tcPr>
                        <w:tcW w:w="3420" w:type="dxa"/>
                        <w:vMerge/>
                        <w:tcBorders>
                          <w:top w:val="nil"/>
                        </w:tcBorders>
                      </w:tcPr>
                      <w:p>
                        <w:pPr>
                          <w:rPr>
                            <w:sz w:val="2"/>
                            <w:szCs w:val="2"/>
                          </w:rPr>
                        </w:pPr>
                      </w:p>
                    </w:tc>
                  </w:tr>
                  <w:tr>
                    <w:trPr>
                      <w:trHeight w:val="1969" w:hRule="atLeast"/>
                    </w:trPr>
                    <w:tc>
                      <w:tcPr>
                        <w:tcW w:w="5958" w:type="dxa"/>
                      </w:tcPr>
                      <w:p>
                        <w:pPr>
                          <w:pStyle w:val="TableParagraph"/>
                          <w:spacing w:before="1"/>
                          <w:ind w:right="679"/>
                          <w:rPr>
                            <w:sz w:val="24"/>
                          </w:rPr>
                        </w:pPr>
                        <w:r>
                          <w:rPr>
                            <w:sz w:val="24"/>
                          </w:rPr>
                          <w:t>Douglas K. Wilson, Colorado State Public Defender Hillary Aizenman, No. 42351</w:t>
                        </w:r>
                      </w:p>
                      <w:p>
                        <w:pPr>
                          <w:pStyle w:val="TableParagraph"/>
                          <w:spacing w:line="281" w:lineRule="exact"/>
                          <w:rPr>
                            <w:sz w:val="24"/>
                          </w:rPr>
                        </w:pPr>
                        <w:r>
                          <w:rPr>
                            <w:sz w:val="24"/>
                          </w:rPr>
                          <w:t>Deputy Public Defender</w:t>
                        </w:r>
                      </w:p>
                      <w:p>
                        <w:pPr>
                          <w:pStyle w:val="TableParagraph"/>
                          <w:spacing w:line="281" w:lineRule="exact"/>
                          <w:rPr>
                            <w:sz w:val="24"/>
                          </w:rPr>
                        </w:pPr>
                        <w:r>
                          <w:rPr>
                            <w:sz w:val="24"/>
                          </w:rPr>
                          <w:t>Brighton Regional Public Defenders</w:t>
                        </w:r>
                      </w:p>
                      <w:p>
                        <w:pPr>
                          <w:pStyle w:val="TableParagraph"/>
                          <w:spacing w:line="281" w:lineRule="exact"/>
                          <w:rPr>
                            <w:sz w:val="24"/>
                          </w:rPr>
                        </w:pPr>
                        <w:r>
                          <w:rPr>
                            <w:sz w:val="24"/>
                          </w:rPr>
                          <w:t>4710 East Bromley Lane, Brighton, CO 80601</w:t>
                        </w:r>
                      </w:p>
                      <w:p>
                        <w:pPr>
                          <w:pStyle w:val="TableParagraph"/>
                          <w:tabs>
                            <w:tab w:pos="3413" w:val="left" w:leader="none"/>
                          </w:tabs>
                          <w:spacing w:line="281" w:lineRule="exact"/>
                          <w:rPr>
                            <w:sz w:val="24"/>
                          </w:rPr>
                        </w:pPr>
                        <w:r>
                          <w:rPr>
                            <w:sz w:val="24"/>
                          </w:rPr>
                          <w:t>Phone:  (303) 659‐4274</w:t>
                          <w:tab/>
                          <w:t>Fax: (303)</w:t>
                        </w:r>
                        <w:r>
                          <w:rPr>
                            <w:spacing w:val="-1"/>
                            <w:sz w:val="24"/>
                          </w:rPr>
                          <w:t> </w:t>
                        </w:r>
                        <w:r>
                          <w:rPr>
                            <w:sz w:val="24"/>
                          </w:rPr>
                          <w:t>659‐6935</w:t>
                        </w:r>
                      </w:p>
                      <w:p>
                        <w:pPr>
                          <w:pStyle w:val="TableParagraph"/>
                          <w:spacing w:line="261" w:lineRule="exact" w:before="1"/>
                          <w:rPr>
                            <w:sz w:val="24"/>
                          </w:rPr>
                        </w:pPr>
                        <w:r>
                          <w:rPr>
                            <w:sz w:val="24"/>
                          </w:rPr>
                          <w:t>E‐mail:</w:t>
                        </w:r>
                        <w:r>
                          <w:rPr>
                            <w:spacing w:val="52"/>
                            <w:sz w:val="24"/>
                          </w:rPr>
                          <w:t> </w:t>
                        </w:r>
                        <w:hyperlink r:id="rId5">
                          <w:r>
                            <w:rPr>
                              <w:color w:val="0000FF"/>
                              <w:sz w:val="24"/>
                              <w:u w:val="single" w:color="0000FF"/>
                            </w:rPr>
                            <w:t>brighton.defenders@state.co.us</w:t>
                          </w:r>
                        </w:hyperlink>
                      </w:p>
                    </w:tc>
                    <w:tc>
                      <w:tcPr>
                        <w:tcW w:w="3420" w:type="dxa"/>
                      </w:tcPr>
                      <w:p>
                        <w:pPr>
                          <w:pStyle w:val="TableParagraph"/>
                          <w:spacing w:before="1"/>
                          <w:rPr>
                            <w:sz w:val="24"/>
                          </w:rPr>
                        </w:pPr>
                        <w:r>
                          <w:rPr>
                            <w:sz w:val="24"/>
                          </w:rPr>
                          <w:t>Case No. 16CR3773</w:t>
                        </w:r>
                      </w:p>
                      <w:p>
                        <w:pPr>
                          <w:pStyle w:val="TableParagraph"/>
                          <w:ind w:left="0"/>
                          <w:rPr>
                            <w:sz w:val="28"/>
                          </w:rPr>
                        </w:pPr>
                      </w:p>
                      <w:p>
                        <w:pPr>
                          <w:pStyle w:val="TableParagraph"/>
                          <w:ind w:left="0"/>
                          <w:rPr>
                            <w:sz w:val="28"/>
                          </w:rPr>
                        </w:pPr>
                      </w:p>
                      <w:p>
                        <w:pPr>
                          <w:pStyle w:val="TableParagraph"/>
                          <w:ind w:left="0"/>
                          <w:rPr>
                            <w:sz w:val="28"/>
                          </w:rPr>
                        </w:pPr>
                      </w:p>
                      <w:p>
                        <w:pPr>
                          <w:pStyle w:val="TableParagraph"/>
                          <w:ind w:left="0"/>
                          <w:rPr>
                            <w:sz w:val="36"/>
                          </w:rPr>
                        </w:pPr>
                      </w:p>
                      <w:p>
                        <w:pPr>
                          <w:pStyle w:val="TableParagraph"/>
                          <w:spacing w:line="261" w:lineRule="exact"/>
                          <w:rPr>
                            <w:sz w:val="24"/>
                          </w:rPr>
                        </w:pPr>
                        <w:r>
                          <w:rPr>
                            <w:sz w:val="24"/>
                          </w:rPr>
                          <w:t>Division: G</w:t>
                        </w:r>
                      </w:p>
                    </w:tc>
                  </w:tr>
                  <w:tr>
                    <w:trPr>
                      <w:trHeight w:val="1126" w:hRule="atLeast"/>
                    </w:trPr>
                    <w:tc>
                      <w:tcPr>
                        <w:tcW w:w="9378" w:type="dxa"/>
                        <w:gridSpan w:val="2"/>
                      </w:tcPr>
                      <w:p>
                        <w:pPr>
                          <w:pStyle w:val="TableParagraph"/>
                          <w:ind w:left="0"/>
                          <w:rPr>
                            <w:sz w:val="24"/>
                          </w:rPr>
                        </w:pPr>
                      </w:p>
                      <w:p>
                        <w:pPr>
                          <w:pStyle w:val="TableParagraph"/>
                          <w:ind w:left="1975" w:right="1946" w:firstLine="1470"/>
                          <w:rPr>
                            <w:b/>
                            <w:sz w:val="24"/>
                          </w:rPr>
                        </w:pPr>
                        <w:r>
                          <w:rPr>
                            <w:b/>
                            <w:sz w:val="24"/>
                          </w:rPr>
                          <w:t>MOTION TO SUPPRESS UNCONSTITUTIONALLY OBTAINED CONVICTIONS</w:t>
                        </w:r>
                      </w:p>
                    </w:tc>
                  </w:tr>
                </w:tbl>
                <w:p>
                  <w:pPr>
                    <w:pStyle w:val="BodyText"/>
                  </w:pPr>
                </w:p>
              </w:txbxContent>
            </v:textbox>
            <w10:wrap type="none"/>
          </v:shape>
        </w:pict>
      </w:r>
    </w:p>
    <w:p>
      <w:pPr>
        <w:pStyle w:val="BodyText"/>
        <w:rPr>
          <w:rFonts w:ascii="Times New Roman"/>
          <w:sz w:val="20"/>
        </w:rPr>
      </w:pPr>
    </w:p>
    <w:p>
      <w:pPr>
        <w:spacing w:before="229"/>
        <w:ind w:left="0" w:right="108" w:firstLine="0"/>
        <w:jc w:val="right"/>
        <w:rPr>
          <w:rFonts w:ascii="Minion Pro"/>
          <w:sz w:val="19"/>
        </w:rPr>
      </w:pPr>
      <w:r>
        <w:rPr>
          <w:rFonts w:ascii="Minion Pro"/>
          <w:color w:val="0000FF"/>
          <w:w w:val="103"/>
          <w:sz w:val="19"/>
        </w:rPr>
        <w:t>M</w:t>
      </w: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spacing w:before="6"/>
        <w:rPr>
          <w:rFonts w:ascii="Minion Pro"/>
          <w:sz w:val="28"/>
        </w:rPr>
      </w:pPr>
    </w:p>
    <w:p>
      <w:pPr>
        <w:pStyle w:val="BodyText"/>
        <w:ind w:left="220" w:right="1080" w:firstLine="719"/>
      </w:pPr>
      <w:r>
        <w:rPr/>
        <w:t>Saturnino Padilla, by and through counsel, hereby moves to suppress the use of any conviction from Adams County cases 06M4888 and 04M3645 in this prosecution because the convictions were obtained without counsel, in violation of the United States and Colorado Constitutions. The use of those convictions in this prosecution would, therefore, violate his rights to Due Process because he would be subjected to enhanced punishment due to unconstitutionally obtained convictions.</w:t>
      </w:r>
    </w:p>
    <w:p>
      <w:pPr>
        <w:pStyle w:val="BodyText"/>
        <w:ind w:left="220"/>
      </w:pPr>
      <w:r>
        <w:rPr/>
        <w:t>U.S. Const. amends. V, XIV; Colo. Const. Art. II, §§ 16, 25.</w:t>
      </w:r>
    </w:p>
    <w:p>
      <w:pPr>
        <w:pStyle w:val="BodyText"/>
      </w:pPr>
    </w:p>
    <w:p>
      <w:pPr>
        <w:pStyle w:val="Heading1"/>
        <w:numPr>
          <w:ilvl w:val="1"/>
          <w:numId w:val="1"/>
        </w:numPr>
        <w:tabs>
          <w:tab w:pos="940" w:val="left" w:leader="none"/>
        </w:tabs>
        <w:spacing w:line="240" w:lineRule="auto" w:before="1" w:after="0"/>
        <w:ind w:left="940" w:right="1752" w:hanging="360"/>
        <w:jc w:val="left"/>
        <w:rPr>
          <w:u w:val="none"/>
        </w:rPr>
      </w:pPr>
      <w:r>
        <w:rPr>
          <w:u w:val="single"/>
        </w:rPr>
        <w:t>Mr. Padilla’s Pro Se Convictions Were Obtained in Violation of</w:t>
      </w:r>
      <w:r>
        <w:rPr>
          <w:spacing w:val="-25"/>
          <w:u w:val="single"/>
        </w:rPr>
        <w:t> </w:t>
      </w:r>
      <w:r>
        <w:rPr>
          <w:u w:val="single"/>
        </w:rPr>
        <w:t>the United States and Colorado</w:t>
      </w:r>
      <w:r>
        <w:rPr>
          <w:spacing w:val="-4"/>
          <w:u w:val="single"/>
        </w:rPr>
        <w:t> </w:t>
      </w:r>
      <w:r>
        <w:rPr>
          <w:u w:val="single"/>
        </w:rPr>
        <w:t>Constitutions</w:t>
      </w:r>
    </w:p>
    <w:p>
      <w:pPr>
        <w:pStyle w:val="BodyText"/>
        <w:spacing w:before="4"/>
        <w:rPr>
          <w:b/>
          <w:sz w:val="15"/>
        </w:rPr>
      </w:pPr>
    </w:p>
    <w:p>
      <w:pPr>
        <w:pStyle w:val="ListParagraph"/>
        <w:numPr>
          <w:ilvl w:val="2"/>
          <w:numId w:val="1"/>
        </w:numPr>
        <w:tabs>
          <w:tab w:pos="940" w:val="left" w:leader="none"/>
        </w:tabs>
        <w:spacing w:line="240" w:lineRule="auto" w:before="101" w:after="0"/>
        <w:ind w:left="940" w:right="1083" w:hanging="360"/>
        <w:jc w:val="left"/>
        <w:rPr>
          <w:sz w:val="24"/>
        </w:rPr>
      </w:pPr>
      <w:r>
        <w:rPr>
          <w:sz w:val="24"/>
        </w:rPr>
        <w:t>Mr. Padilla is charged with Assault in the Third Degree, as a crime of domestic violence. This offense is normally a misdemeanor. It can, however, result in felony punishment when the State proves that the defendant has three or more prior convictions in which the underlying factual basis included an act of domestic violence. That is what the State is seeking to do in this prosecution under C.R.S. §</w:t>
      </w:r>
      <w:r>
        <w:rPr>
          <w:spacing w:val="-3"/>
          <w:sz w:val="24"/>
        </w:rPr>
        <w:t> </w:t>
      </w:r>
      <w:r>
        <w:rPr>
          <w:sz w:val="24"/>
        </w:rPr>
        <w:t>18‐6‐801(7).</w:t>
      </w:r>
    </w:p>
    <w:p>
      <w:pPr>
        <w:pStyle w:val="BodyText"/>
      </w:pPr>
    </w:p>
    <w:p>
      <w:pPr>
        <w:pStyle w:val="ListParagraph"/>
        <w:numPr>
          <w:ilvl w:val="2"/>
          <w:numId w:val="1"/>
        </w:numPr>
        <w:tabs>
          <w:tab w:pos="940" w:val="left" w:leader="none"/>
        </w:tabs>
        <w:spacing w:line="240" w:lineRule="auto" w:before="0" w:after="0"/>
        <w:ind w:left="940" w:right="1362" w:hanging="360"/>
        <w:jc w:val="left"/>
        <w:rPr>
          <w:sz w:val="24"/>
        </w:rPr>
      </w:pPr>
      <w:r>
        <w:rPr>
          <w:sz w:val="24"/>
        </w:rPr>
        <w:t>Two of the predicate offenses in the prosecution’s complaint are Adams County cases 06M4888 and 04M3645. Mr. Padilla was not represented by counsel in either</w:t>
      </w:r>
      <w:r>
        <w:rPr>
          <w:spacing w:val="-1"/>
          <w:sz w:val="24"/>
        </w:rPr>
        <w:t> </w:t>
      </w:r>
      <w:r>
        <w:rPr>
          <w:sz w:val="24"/>
        </w:rPr>
        <w:t>case.</w:t>
      </w:r>
    </w:p>
    <w:p>
      <w:pPr>
        <w:spacing w:after="0" w:line="240" w:lineRule="auto"/>
        <w:jc w:val="left"/>
        <w:rPr>
          <w:sz w:val="24"/>
        </w:rPr>
        <w:sectPr>
          <w:type w:val="continuous"/>
          <w:pgSz w:w="12240" w:h="15840"/>
          <w:pgMar w:top="1440" w:bottom="280" w:left="1580" w:right="780"/>
        </w:sectPr>
      </w:pPr>
    </w:p>
    <w:p>
      <w:pPr>
        <w:pStyle w:val="ListParagraph"/>
        <w:numPr>
          <w:ilvl w:val="2"/>
          <w:numId w:val="1"/>
        </w:numPr>
        <w:tabs>
          <w:tab w:pos="940" w:val="left" w:leader="none"/>
        </w:tabs>
        <w:spacing w:line="240" w:lineRule="auto" w:before="80" w:after="0"/>
        <w:ind w:left="940" w:right="1159" w:hanging="360"/>
        <w:jc w:val="left"/>
        <w:rPr>
          <w:sz w:val="24"/>
        </w:rPr>
      </w:pPr>
      <w:r>
        <w:rPr>
          <w:sz w:val="24"/>
        </w:rPr>
        <w:t>In addition to pleading guilty without counsel, Mr. Padilla pled guilty in each case at his first and only court appearance (other than jail advisement in 06M4888).</w:t>
      </w:r>
    </w:p>
    <w:p>
      <w:pPr>
        <w:pStyle w:val="BodyText"/>
      </w:pPr>
    </w:p>
    <w:p>
      <w:pPr>
        <w:pStyle w:val="ListParagraph"/>
        <w:numPr>
          <w:ilvl w:val="2"/>
          <w:numId w:val="1"/>
        </w:numPr>
        <w:tabs>
          <w:tab w:pos="940" w:val="left" w:leader="none"/>
        </w:tabs>
        <w:spacing w:line="240" w:lineRule="auto" w:before="0" w:after="0"/>
        <w:ind w:left="940" w:right="1448" w:hanging="360"/>
        <w:jc w:val="both"/>
        <w:rPr>
          <w:sz w:val="24"/>
        </w:rPr>
      </w:pPr>
      <w:r>
        <w:rPr>
          <w:sz w:val="24"/>
        </w:rPr>
        <w:t>In 06M4888, Mr. Padilla pled guilty to an added count of attempted Third Degree Assault on November 9, 2006. This was a mere five days after</w:t>
      </w:r>
      <w:r>
        <w:rPr>
          <w:spacing w:val="-20"/>
          <w:sz w:val="24"/>
        </w:rPr>
        <w:t> </w:t>
      </w:r>
      <w:r>
        <w:rPr>
          <w:sz w:val="24"/>
        </w:rPr>
        <w:t>the date of</w:t>
      </w:r>
      <w:r>
        <w:rPr>
          <w:spacing w:val="-1"/>
          <w:sz w:val="24"/>
        </w:rPr>
        <w:t> </w:t>
      </w:r>
      <w:r>
        <w:rPr>
          <w:sz w:val="24"/>
        </w:rPr>
        <w:t>offense.</w:t>
      </w:r>
    </w:p>
    <w:p>
      <w:pPr>
        <w:pStyle w:val="BodyText"/>
      </w:pPr>
    </w:p>
    <w:p>
      <w:pPr>
        <w:pStyle w:val="ListParagraph"/>
        <w:numPr>
          <w:ilvl w:val="2"/>
          <w:numId w:val="1"/>
        </w:numPr>
        <w:tabs>
          <w:tab w:pos="940" w:val="left" w:leader="none"/>
        </w:tabs>
        <w:spacing w:line="240" w:lineRule="auto" w:before="0" w:after="0"/>
        <w:ind w:left="940" w:right="1437" w:hanging="360"/>
        <w:jc w:val="left"/>
        <w:rPr>
          <w:sz w:val="24"/>
        </w:rPr>
      </w:pPr>
      <w:r>
        <w:rPr>
          <w:sz w:val="24"/>
        </w:rPr>
        <w:t>In 04M3645, Mr. Padilla pled guilty to an original count of Harassment on November 2, 2004.</w:t>
      </w:r>
    </w:p>
    <w:p>
      <w:pPr>
        <w:pStyle w:val="BodyText"/>
        <w:spacing w:before="11"/>
        <w:rPr>
          <w:sz w:val="23"/>
        </w:rPr>
      </w:pPr>
    </w:p>
    <w:p>
      <w:pPr>
        <w:pStyle w:val="ListParagraph"/>
        <w:numPr>
          <w:ilvl w:val="2"/>
          <w:numId w:val="1"/>
        </w:numPr>
        <w:tabs>
          <w:tab w:pos="940" w:val="left" w:leader="none"/>
        </w:tabs>
        <w:spacing w:line="240" w:lineRule="auto" w:before="0" w:after="0"/>
        <w:ind w:left="940" w:right="1085" w:hanging="360"/>
        <w:jc w:val="left"/>
        <w:rPr>
          <w:sz w:val="24"/>
        </w:rPr>
      </w:pPr>
      <w:r>
        <w:rPr>
          <w:sz w:val="24"/>
        </w:rPr>
        <w:t>Defense counsel has not received any copy of a formal plea agreement in either case through discovery. Through defense counsel’s own investigation, there is no Rule 11 for case number 04M3645. (The Rule 11 for case 06M4888 is attached as Exhibit</w:t>
      </w:r>
      <w:r>
        <w:rPr>
          <w:spacing w:val="-5"/>
          <w:sz w:val="24"/>
        </w:rPr>
        <w:t> </w:t>
      </w:r>
      <w:r>
        <w:rPr>
          <w:sz w:val="24"/>
        </w:rPr>
        <w:t>A).</w:t>
      </w:r>
    </w:p>
    <w:p>
      <w:pPr>
        <w:pStyle w:val="BodyText"/>
        <w:spacing w:before="1"/>
      </w:pPr>
    </w:p>
    <w:p>
      <w:pPr>
        <w:pStyle w:val="ListParagraph"/>
        <w:numPr>
          <w:ilvl w:val="2"/>
          <w:numId w:val="1"/>
        </w:numPr>
        <w:tabs>
          <w:tab w:pos="940" w:val="left" w:leader="none"/>
        </w:tabs>
        <w:spacing w:line="240" w:lineRule="auto" w:before="0" w:after="0"/>
        <w:ind w:left="940" w:right="1035" w:hanging="360"/>
        <w:jc w:val="left"/>
        <w:rPr>
          <w:sz w:val="24"/>
        </w:rPr>
      </w:pPr>
      <w:r>
        <w:rPr>
          <w:sz w:val="24"/>
        </w:rPr>
        <w:t>There is no transcript of the plea colloquy in either case. (Exhibit B). Therefore, there is no record of what rights the court advised Mr. Padilla of</w:t>
      </w:r>
      <w:r>
        <w:rPr>
          <w:spacing w:val="-26"/>
          <w:sz w:val="24"/>
        </w:rPr>
        <w:t> </w:t>
      </w:r>
      <w:r>
        <w:rPr>
          <w:sz w:val="24"/>
        </w:rPr>
        <w:t>at his court</w:t>
      </w:r>
      <w:r>
        <w:rPr>
          <w:spacing w:val="-2"/>
          <w:sz w:val="24"/>
        </w:rPr>
        <w:t> </w:t>
      </w:r>
      <w:r>
        <w:rPr>
          <w:sz w:val="24"/>
        </w:rPr>
        <w:t>appearance.</w:t>
      </w:r>
    </w:p>
    <w:p>
      <w:pPr>
        <w:pStyle w:val="BodyText"/>
        <w:spacing w:before="10"/>
        <w:rPr>
          <w:sz w:val="23"/>
        </w:rPr>
      </w:pPr>
    </w:p>
    <w:p>
      <w:pPr>
        <w:pStyle w:val="ListParagraph"/>
        <w:numPr>
          <w:ilvl w:val="2"/>
          <w:numId w:val="1"/>
        </w:numPr>
        <w:tabs>
          <w:tab w:pos="940" w:val="left" w:leader="none"/>
        </w:tabs>
        <w:spacing w:line="240" w:lineRule="auto" w:before="1" w:after="0"/>
        <w:ind w:left="940" w:right="2118" w:hanging="360"/>
        <w:jc w:val="left"/>
        <w:rPr>
          <w:sz w:val="24"/>
        </w:rPr>
      </w:pPr>
      <w:r>
        <w:rPr>
          <w:sz w:val="24"/>
        </w:rPr>
        <w:t>Furthermore, and more importantly, the procedure governing</w:t>
      </w:r>
      <w:r>
        <w:rPr>
          <w:spacing w:val="-30"/>
          <w:sz w:val="24"/>
        </w:rPr>
        <w:t> </w:t>
      </w:r>
      <w:r>
        <w:rPr>
          <w:sz w:val="24"/>
        </w:rPr>
        <w:t>plea negotiations at the time was</w:t>
      </w:r>
      <w:r>
        <w:rPr>
          <w:spacing w:val="-6"/>
          <w:sz w:val="24"/>
        </w:rPr>
        <w:t> </w:t>
      </w:r>
      <w:r>
        <w:rPr>
          <w:sz w:val="24"/>
        </w:rPr>
        <w:t>unconstitutional.</w:t>
      </w:r>
    </w:p>
    <w:p>
      <w:pPr>
        <w:pStyle w:val="BodyText"/>
      </w:pPr>
    </w:p>
    <w:p>
      <w:pPr>
        <w:pStyle w:val="ListParagraph"/>
        <w:numPr>
          <w:ilvl w:val="2"/>
          <w:numId w:val="1"/>
        </w:numPr>
        <w:tabs>
          <w:tab w:pos="940" w:val="left" w:leader="none"/>
        </w:tabs>
        <w:spacing w:line="240" w:lineRule="auto" w:before="0" w:after="0"/>
        <w:ind w:left="940" w:right="1410" w:hanging="360"/>
        <w:jc w:val="left"/>
        <w:rPr>
          <w:sz w:val="24"/>
        </w:rPr>
      </w:pPr>
      <w:r>
        <w:rPr>
          <w:sz w:val="24"/>
        </w:rPr>
        <w:t>Prior to its amendment in 2013, C.R.S § 16‐7‐301(4) required the prosecuting attorney to meet with criminal defendants in misdemeanor cases and advise the defendant of any plea offer before the defendant</w:t>
      </w:r>
      <w:r>
        <w:rPr>
          <w:spacing w:val="-26"/>
          <w:sz w:val="24"/>
        </w:rPr>
        <w:t> </w:t>
      </w:r>
      <w:r>
        <w:rPr>
          <w:sz w:val="24"/>
        </w:rPr>
        <w:t>was allowed to apply for court‐appointed</w:t>
      </w:r>
      <w:r>
        <w:rPr>
          <w:spacing w:val="-6"/>
          <w:sz w:val="24"/>
        </w:rPr>
        <w:t> </w:t>
      </w:r>
      <w:r>
        <w:rPr>
          <w:sz w:val="24"/>
        </w:rPr>
        <w:t>counsel:</w:t>
      </w:r>
    </w:p>
    <w:p>
      <w:pPr>
        <w:pStyle w:val="BodyText"/>
      </w:pPr>
    </w:p>
    <w:p>
      <w:pPr>
        <w:pStyle w:val="BodyText"/>
        <w:ind w:left="1930" w:right="1910"/>
      </w:pPr>
      <w:r>
        <w:rPr/>
        <w:t>“the prosecuting attorney is obligated to tell the defendant any offer that can be made based on the facts as known by the prosecuting attorney at that time . . . The prosecuting attorney shall advise the defendant that the defendant has the right to retain counsel or seek appointment of counsel. The application of counsel and the payment of the application fee shall be deferred until after the prosecuting attorney has spoken with the defendant as provided in this subsection.”</w:t>
      </w:r>
    </w:p>
    <w:p>
      <w:pPr>
        <w:pStyle w:val="BodyText"/>
      </w:pPr>
    </w:p>
    <w:p>
      <w:pPr>
        <w:pStyle w:val="BodyText"/>
        <w:ind w:left="940"/>
      </w:pPr>
      <w:r>
        <w:rPr/>
        <w:t>C.R.S. § 16‐7‐301(4) (2002).</w:t>
      </w:r>
    </w:p>
    <w:p>
      <w:pPr>
        <w:pStyle w:val="BodyText"/>
      </w:pPr>
    </w:p>
    <w:p>
      <w:pPr>
        <w:pStyle w:val="ListParagraph"/>
        <w:numPr>
          <w:ilvl w:val="2"/>
          <w:numId w:val="1"/>
        </w:numPr>
        <w:tabs>
          <w:tab w:pos="940" w:val="left" w:leader="none"/>
        </w:tabs>
        <w:spacing w:line="240" w:lineRule="auto" w:before="0" w:after="0"/>
        <w:ind w:left="940" w:right="1177" w:hanging="360"/>
        <w:jc w:val="left"/>
        <w:rPr>
          <w:sz w:val="24"/>
        </w:rPr>
      </w:pPr>
      <w:r>
        <w:rPr>
          <w:sz w:val="24"/>
        </w:rPr>
        <w:t>This practice was overruled (albeit in dicta) in </w:t>
      </w:r>
      <w:r>
        <w:rPr>
          <w:i/>
          <w:sz w:val="24"/>
        </w:rPr>
        <w:t>Rothgery v. Gillespie County, </w:t>
      </w:r>
      <w:r>
        <w:rPr>
          <w:i/>
          <w:sz w:val="24"/>
        </w:rPr>
        <w:t>Tex.</w:t>
      </w:r>
      <w:r>
        <w:rPr>
          <w:sz w:val="24"/>
        </w:rPr>
        <w:t>, 554 U.S. 191 (2008). There, the Supreme Court held that the Sixth Amendment right to counsel attaches at a defendant’s initial appearance before a judicial officer, at which he is told of the “formal accusation against him and restrictions are imposed on his liberty,” regardless of whether the prosecuting attorney is involved. </w:t>
      </w:r>
      <w:r>
        <w:rPr>
          <w:i/>
          <w:sz w:val="24"/>
        </w:rPr>
        <w:t>Id. </w:t>
      </w:r>
      <w:r>
        <w:rPr>
          <w:sz w:val="24"/>
        </w:rPr>
        <w:t>at 194. The Supreme Court</w:t>
      </w:r>
      <w:r>
        <w:rPr>
          <w:spacing w:val="-17"/>
          <w:sz w:val="24"/>
        </w:rPr>
        <w:t> </w:t>
      </w:r>
      <w:r>
        <w:rPr>
          <w:sz w:val="24"/>
        </w:rPr>
        <w:t>specifically</w:t>
      </w:r>
    </w:p>
    <w:p>
      <w:pPr>
        <w:spacing w:after="0" w:line="240" w:lineRule="auto"/>
        <w:jc w:val="left"/>
        <w:rPr>
          <w:sz w:val="24"/>
        </w:rPr>
        <w:sectPr>
          <w:pgSz w:w="12240" w:h="15840"/>
          <w:pgMar w:top="1360" w:bottom="280" w:left="1580" w:right="780"/>
        </w:sectPr>
      </w:pPr>
    </w:p>
    <w:p>
      <w:pPr>
        <w:pStyle w:val="BodyText"/>
        <w:spacing w:before="80"/>
        <w:ind w:left="939" w:right="1049"/>
      </w:pPr>
      <w:r>
        <w:rPr/>
        <w:t>noted that Colorado and the other six states that denied appointed counsel at this stage were in the distinct minority. </w:t>
      </w:r>
      <w:r>
        <w:rPr>
          <w:i/>
        </w:rPr>
        <w:t>Id. </w:t>
      </w:r>
      <w:r>
        <w:rPr/>
        <w:t>at 205.</w:t>
      </w:r>
    </w:p>
    <w:p>
      <w:pPr>
        <w:pStyle w:val="BodyText"/>
        <w:spacing w:before="11"/>
        <w:rPr>
          <w:sz w:val="23"/>
        </w:rPr>
      </w:pPr>
    </w:p>
    <w:p>
      <w:pPr>
        <w:pStyle w:val="ListParagraph"/>
        <w:numPr>
          <w:ilvl w:val="2"/>
          <w:numId w:val="1"/>
        </w:numPr>
        <w:tabs>
          <w:tab w:pos="940" w:val="left" w:leader="none"/>
        </w:tabs>
        <w:spacing w:line="240" w:lineRule="auto" w:before="0" w:after="0"/>
        <w:ind w:left="940" w:right="1049" w:hanging="360"/>
        <w:jc w:val="left"/>
        <w:rPr>
          <w:sz w:val="24"/>
        </w:rPr>
      </w:pPr>
      <w:r>
        <w:rPr>
          <w:sz w:val="24"/>
        </w:rPr>
        <w:t>Subsequently, the Colorado Legislature amended C.R.S. § 16‐7‐301 in 2013 by repealing section 16‐7‐301(4). Section 16‐7‐207 now requires that the judge must inform the defendant at his first appearance that he has a right to counsel, and an indigent person “may make application for a court‐appointed attorney” without having first consulted with the prosecuting attorney regarding</w:t>
      </w:r>
      <w:r>
        <w:rPr>
          <w:spacing w:val="-2"/>
          <w:sz w:val="24"/>
        </w:rPr>
        <w:t> </w:t>
      </w:r>
      <w:r>
        <w:rPr>
          <w:sz w:val="24"/>
        </w:rPr>
        <w:t>misdemeanors.</w:t>
      </w:r>
    </w:p>
    <w:p>
      <w:pPr>
        <w:pStyle w:val="BodyText"/>
        <w:spacing w:before="1"/>
      </w:pPr>
    </w:p>
    <w:p>
      <w:pPr>
        <w:pStyle w:val="ListParagraph"/>
        <w:numPr>
          <w:ilvl w:val="2"/>
          <w:numId w:val="1"/>
        </w:numPr>
        <w:tabs>
          <w:tab w:pos="940" w:val="left" w:leader="none"/>
        </w:tabs>
        <w:spacing w:line="240" w:lineRule="auto" w:before="0" w:after="0"/>
        <w:ind w:left="940" w:right="1068" w:hanging="360"/>
        <w:jc w:val="left"/>
        <w:rPr>
          <w:sz w:val="24"/>
        </w:rPr>
      </w:pPr>
      <w:r>
        <w:rPr>
          <w:sz w:val="24"/>
        </w:rPr>
        <w:t>The prior convictions in 06M4888 and 04M3645 were obtained without counsel, under an unconstitutional statute that denied defendants appointed counsel until after they consulted with the prosecuting attorney. In both of these convictions, Mr. Padilla pled guilty at his first court appearance, after having been presumably advised by the court that he must consult with the prosecuting attorney before being afforded court‐appointed counsel. Furthermore, there is no transcript of either of these plea colloquies which would demonstrate that Mr. Padilla was adequately advised of his constitutional rights to counsel or to a trial on all issues of guilt, such that</w:t>
      </w:r>
      <w:r>
        <w:rPr>
          <w:spacing w:val="-32"/>
          <w:sz w:val="24"/>
        </w:rPr>
        <w:t> </w:t>
      </w:r>
      <w:r>
        <w:rPr>
          <w:sz w:val="24"/>
        </w:rPr>
        <w:t>Mr. Padilla made a valid waiver of his right to counsel or jury</w:t>
      </w:r>
      <w:r>
        <w:rPr>
          <w:spacing w:val="-9"/>
          <w:sz w:val="24"/>
        </w:rPr>
        <w:t> </w:t>
      </w:r>
      <w:r>
        <w:rPr>
          <w:sz w:val="24"/>
        </w:rPr>
        <w:t>trial.</w:t>
      </w:r>
    </w:p>
    <w:p>
      <w:pPr>
        <w:pStyle w:val="BodyText"/>
        <w:spacing w:before="11"/>
        <w:rPr>
          <w:sz w:val="23"/>
        </w:rPr>
      </w:pPr>
    </w:p>
    <w:p>
      <w:pPr>
        <w:pStyle w:val="ListParagraph"/>
        <w:numPr>
          <w:ilvl w:val="2"/>
          <w:numId w:val="1"/>
        </w:numPr>
        <w:tabs>
          <w:tab w:pos="940" w:val="left" w:leader="none"/>
        </w:tabs>
        <w:spacing w:line="240" w:lineRule="auto" w:before="0" w:after="0"/>
        <w:ind w:left="940" w:right="1179" w:hanging="360"/>
        <w:jc w:val="left"/>
        <w:rPr>
          <w:sz w:val="24"/>
        </w:rPr>
      </w:pPr>
      <w:r>
        <w:rPr>
          <w:sz w:val="24"/>
        </w:rPr>
        <w:t>Both of these convictions, therefore, violated Mr. Padilla’s constitutional rights to effective assistance of counsel and due process. U.S. Const. amends. V, XIV; Colo. Const. Art. II, §§ 16,</w:t>
      </w:r>
      <w:r>
        <w:rPr>
          <w:spacing w:val="-5"/>
          <w:sz w:val="24"/>
        </w:rPr>
        <w:t> </w:t>
      </w:r>
      <w:r>
        <w:rPr>
          <w:sz w:val="24"/>
        </w:rPr>
        <w:t>25.</w:t>
      </w:r>
    </w:p>
    <w:p>
      <w:pPr>
        <w:pStyle w:val="BodyText"/>
      </w:pPr>
    </w:p>
    <w:p>
      <w:pPr>
        <w:pStyle w:val="Heading1"/>
        <w:numPr>
          <w:ilvl w:val="1"/>
          <w:numId w:val="1"/>
        </w:numPr>
        <w:tabs>
          <w:tab w:pos="940" w:val="left" w:leader="none"/>
        </w:tabs>
        <w:spacing w:line="240" w:lineRule="auto" w:before="0" w:after="0"/>
        <w:ind w:left="940" w:right="1366" w:hanging="360"/>
        <w:jc w:val="left"/>
        <w:rPr>
          <w:u w:val="none"/>
        </w:rPr>
      </w:pPr>
      <w:r>
        <w:rPr>
          <w:u w:val="single"/>
        </w:rPr>
        <w:t>Mr. Padilla Has Met His Burden of Making a </w:t>
      </w:r>
      <w:r>
        <w:rPr>
          <w:i/>
          <w:u w:val="single"/>
        </w:rPr>
        <w:t>Prima Facie </w:t>
      </w:r>
      <w:r>
        <w:rPr>
          <w:u w:val="single"/>
        </w:rPr>
        <w:t>Showing</w:t>
      </w:r>
      <w:r>
        <w:rPr>
          <w:spacing w:val="-29"/>
          <w:u w:val="single"/>
        </w:rPr>
        <w:t> </w:t>
      </w:r>
      <w:r>
        <w:rPr>
          <w:u w:val="single"/>
        </w:rPr>
        <w:t>that the Pleas Were Unconstitutionally</w:t>
      </w:r>
      <w:r>
        <w:rPr>
          <w:spacing w:val="-2"/>
          <w:u w:val="single"/>
        </w:rPr>
        <w:t> </w:t>
      </w:r>
      <w:r>
        <w:rPr>
          <w:u w:val="single"/>
        </w:rPr>
        <w:t>Obtained</w:t>
      </w:r>
    </w:p>
    <w:p>
      <w:pPr>
        <w:pStyle w:val="BodyText"/>
        <w:spacing w:before="5"/>
        <w:rPr>
          <w:b/>
          <w:sz w:val="15"/>
        </w:rPr>
      </w:pPr>
    </w:p>
    <w:p>
      <w:pPr>
        <w:pStyle w:val="ListParagraph"/>
        <w:numPr>
          <w:ilvl w:val="2"/>
          <w:numId w:val="1"/>
        </w:numPr>
        <w:tabs>
          <w:tab w:pos="940" w:val="left" w:leader="none"/>
        </w:tabs>
        <w:spacing w:line="240" w:lineRule="auto" w:before="100" w:after="0"/>
        <w:ind w:left="940" w:right="1089" w:hanging="360"/>
        <w:jc w:val="left"/>
        <w:rPr>
          <w:sz w:val="24"/>
        </w:rPr>
      </w:pPr>
      <w:r>
        <w:rPr>
          <w:sz w:val="24"/>
        </w:rPr>
        <w:t>A defendant who attacks the constitutionality of a prior conviction must only make a </w:t>
      </w:r>
      <w:r>
        <w:rPr>
          <w:i/>
          <w:sz w:val="24"/>
        </w:rPr>
        <w:t>prima facie </w:t>
      </w:r>
      <w:r>
        <w:rPr>
          <w:sz w:val="24"/>
        </w:rPr>
        <w:t>showing that the plea was unconstitutionally obtained. </w:t>
      </w:r>
      <w:r>
        <w:rPr>
          <w:i/>
          <w:sz w:val="24"/>
        </w:rPr>
        <w:t>Lacy v. People</w:t>
      </w:r>
      <w:r>
        <w:rPr>
          <w:sz w:val="24"/>
        </w:rPr>
        <w:t>, 775 P.2d 1, 6‐7 (Colo. 1989) (referencing proof of prior convictions for the purpose of habitual criminal</w:t>
      </w:r>
      <w:r>
        <w:rPr>
          <w:spacing w:val="-8"/>
          <w:sz w:val="24"/>
        </w:rPr>
        <w:t> </w:t>
      </w:r>
      <w:r>
        <w:rPr>
          <w:sz w:val="24"/>
        </w:rPr>
        <w:t>proceedings).</w:t>
      </w:r>
    </w:p>
    <w:p>
      <w:pPr>
        <w:pStyle w:val="BodyText"/>
        <w:spacing w:before="1"/>
      </w:pPr>
    </w:p>
    <w:p>
      <w:pPr>
        <w:pStyle w:val="ListParagraph"/>
        <w:numPr>
          <w:ilvl w:val="2"/>
          <w:numId w:val="1"/>
        </w:numPr>
        <w:tabs>
          <w:tab w:pos="940" w:val="left" w:leader="none"/>
        </w:tabs>
        <w:spacing w:line="240" w:lineRule="auto" w:before="0" w:after="0"/>
        <w:ind w:left="940" w:right="1018" w:hanging="360"/>
        <w:jc w:val="left"/>
        <w:rPr>
          <w:i/>
          <w:sz w:val="24"/>
        </w:rPr>
      </w:pPr>
      <w:r>
        <w:rPr>
          <w:sz w:val="24"/>
        </w:rPr>
        <w:t>A </w:t>
      </w:r>
      <w:r>
        <w:rPr>
          <w:i/>
          <w:sz w:val="24"/>
        </w:rPr>
        <w:t>prima facie </w:t>
      </w:r>
      <w:r>
        <w:rPr>
          <w:sz w:val="24"/>
        </w:rPr>
        <w:t>showing, in this context, means “evidence that when considered in a light most favorable to the defendant, will permit the court to conclude that the conviction failed to meet relevant constitutional standards.”</w:t>
      </w:r>
      <w:r>
        <w:rPr>
          <w:spacing w:val="-11"/>
          <w:sz w:val="24"/>
        </w:rPr>
        <w:t> </w:t>
      </w:r>
      <w:r>
        <w:rPr>
          <w:i/>
          <w:sz w:val="24"/>
        </w:rPr>
        <w:t>Id.</w:t>
      </w:r>
    </w:p>
    <w:p>
      <w:pPr>
        <w:pStyle w:val="BodyText"/>
        <w:spacing w:before="11"/>
        <w:rPr>
          <w:i/>
          <w:sz w:val="23"/>
        </w:rPr>
      </w:pPr>
    </w:p>
    <w:p>
      <w:pPr>
        <w:pStyle w:val="ListParagraph"/>
        <w:numPr>
          <w:ilvl w:val="2"/>
          <w:numId w:val="1"/>
        </w:numPr>
        <w:tabs>
          <w:tab w:pos="940" w:val="left" w:leader="none"/>
        </w:tabs>
        <w:spacing w:line="240" w:lineRule="auto" w:before="0" w:after="0"/>
        <w:ind w:left="940" w:right="1265" w:hanging="360"/>
        <w:jc w:val="left"/>
        <w:rPr>
          <w:i/>
          <w:sz w:val="24"/>
        </w:rPr>
      </w:pPr>
      <w:r>
        <w:rPr>
          <w:sz w:val="24"/>
        </w:rPr>
        <w:t>Once a </w:t>
      </w:r>
      <w:r>
        <w:rPr>
          <w:i/>
          <w:sz w:val="24"/>
        </w:rPr>
        <w:t>prima facie </w:t>
      </w:r>
      <w:r>
        <w:rPr>
          <w:sz w:val="24"/>
        </w:rPr>
        <w:t>showing is made, the conviction is not admissible unless the prosecution establishes by a preponderance of the evidence that the conviction was obtained in accordance with the defendant’s constitutional rights.</w:t>
      </w:r>
      <w:r>
        <w:rPr>
          <w:spacing w:val="-2"/>
          <w:sz w:val="24"/>
        </w:rPr>
        <w:t> </w:t>
      </w:r>
      <w:r>
        <w:rPr>
          <w:i/>
          <w:sz w:val="24"/>
        </w:rPr>
        <w:t>Id.</w:t>
      </w:r>
    </w:p>
    <w:p>
      <w:pPr>
        <w:pStyle w:val="BodyText"/>
        <w:rPr>
          <w:i/>
        </w:rPr>
      </w:pPr>
    </w:p>
    <w:p>
      <w:pPr>
        <w:pStyle w:val="ListParagraph"/>
        <w:numPr>
          <w:ilvl w:val="2"/>
          <w:numId w:val="1"/>
        </w:numPr>
        <w:tabs>
          <w:tab w:pos="940" w:val="left" w:leader="none"/>
        </w:tabs>
        <w:spacing w:line="240" w:lineRule="auto" w:before="1" w:after="0"/>
        <w:ind w:left="940" w:right="1082" w:hanging="360"/>
        <w:jc w:val="left"/>
        <w:rPr>
          <w:sz w:val="24"/>
        </w:rPr>
      </w:pPr>
      <w:r>
        <w:rPr>
          <w:sz w:val="24"/>
        </w:rPr>
        <w:t>Mr. Padilla has a made a </w:t>
      </w:r>
      <w:r>
        <w:rPr>
          <w:i/>
          <w:sz w:val="24"/>
        </w:rPr>
        <w:t>prima facie </w:t>
      </w:r>
      <w:r>
        <w:rPr>
          <w:sz w:val="24"/>
        </w:rPr>
        <w:t>showing in this case. The record reflects that he was not represented by counsel and that counsel was, in fact, denied at the time Mr. Padilla pled guilty because Mr. Padilla was required to confer with the prosecuting attorney under an unconstitutional</w:t>
      </w:r>
      <w:r>
        <w:rPr>
          <w:spacing w:val="-10"/>
          <w:sz w:val="24"/>
        </w:rPr>
        <w:t> </w:t>
      </w:r>
      <w:r>
        <w:rPr>
          <w:sz w:val="24"/>
        </w:rPr>
        <w:t>statute.</w:t>
      </w:r>
    </w:p>
    <w:p>
      <w:pPr>
        <w:spacing w:after="0" w:line="240" w:lineRule="auto"/>
        <w:jc w:val="left"/>
        <w:rPr>
          <w:sz w:val="24"/>
        </w:rPr>
        <w:sectPr>
          <w:pgSz w:w="12240" w:h="15840"/>
          <w:pgMar w:top="1360" w:bottom="280" w:left="1580" w:right="780"/>
        </w:sectPr>
      </w:pPr>
    </w:p>
    <w:p>
      <w:pPr>
        <w:pStyle w:val="BodyText"/>
        <w:spacing w:before="80"/>
        <w:ind w:left="940" w:right="1070"/>
      </w:pPr>
      <w:r>
        <w:rPr/>
        <w:t>Furthermore, there is no evidence that Mr. Padilla was informed by the court of all the rights he was waiving by pleading guilty.</w:t>
      </w:r>
    </w:p>
    <w:p>
      <w:pPr>
        <w:pStyle w:val="BodyText"/>
        <w:spacing w:before="11"/>
        <w:rPr>
          <w:sz w:val="23"/>
        </w:rPr>
      </w:pPr>
    </w:p>
    <w:p>
      <w:pPr>
        <w:pStyle w:val="Heading1"/>
        <w:numPr>
          <w:ilvl w:val="1"/>
          <w:numId w:val="1"/>
        </w:numPr>
        <w:tabs>
          <w:tab w:pos="940" w:val="left" w:leader="none"/>
        </w:tabs>
        <w:spacing w:line="240" w:lineRule="auto" w:before="0" w:after="0"/>
        <w:ind w:left="940" w:right="0" w:hanging="360"/>
        <w:jc w:val="left"/>
        <w:rPr>
          <w:u w:val="none"/>
        </w:rPr>
      </w:pPr>
      <w:r>
        <w:rPr>
          <w:u w:val="single"/>
        </w:rPr>
        <w:t>Using this Conviction Would Violate Mr. Padilla’s Right to Due</w:t>
      </w:r>
      <w:r>
        <w:rPr>
          <w:spacing w:val="-11"/>
          <w:u w:val="single"/>
        </w:rPr>
        <w:t> </w:t>
      </w:r>
      <w:r>
        <w:rPr>
          <w:u w:val="single"/>
        </w:rPr>
        <w:t>Process</w:t>
      </w:r>
    </w:p>
    <w:p>
      <w:pPr>
        <w:pStyle w:val="BodyText"/>
        <w:spacing w:before="5"/>
        <w:rPr>
          <w:b/>
          <w:sz w:val="15"/>
        </w:rPr>
      </w:pPr>
    </w:p>
    <w:p>
      <w:pPr>
        <w:pStyle w:val="ListParagraph"/>
        <w:numPr>
          <w:ilvl w:val="0"/>
          <w:numId w:val="2"/>
        </w:numPr>
        <w:tabs>
          <w:tab w:pos="940" w:val="left" w:leader="none"/>
        </w:tabs>
        <w:spacing w:line="240" w:lineRule="auto" w:before="100" w:after="0"/>
        <w:ind w:left="940" w:right="1041" w:hanging="360"/>
        <w:jc w:val="left"/>
        <w:rPr>
          <w:sz w:val="24"/>
        </w:rPr>
      </w:pPr>
      <w:r>
        <w:rPr>
          <w:sz w:val="24"/>
        </w:rPr>
        <w:t>“A prior conviction obtained in a constitutionally invalid manner cannot be used against an accused in a subsequent criminal proceeding to support guilt or to increase punishment.” </w:t>
      </w:r>
      <w:r>
        <w:rPr>
          <w:i/>
          <w:sz w:val="24"/>
        </w:rPr>
        <w:t>Lacey</w:t>
      </w:r>
      <w:r>
        <w:rPr>
          <w:sz w:val="24"/>
        </w:rPr>
        <w:t>, 775 P.2d at 4 (</w:t>
      </w:r>
      <w:r>
        <w:rPr>
          <w:i/>
          <w:sz w:val="24"/>
        </w:rPr>
        <w:t>citing Loper v. Beto</w:t>
      </w:r>
      <w:r>
        <w:rPr>
          <w:sz w:val="24"/>
        </w:rPr>
        <w:t>, 405 U.S. 473, 481 (1972)); </w:t>
      </w:r>
      <w:r>
        <w:rPr>
          <w:i/>
          <w:sz w:val="24"/>
        </w:rPr>
        <w:t>see also People v. Padilla</w:t>
      </w:r>
      <w:r>
        <w:rPr>
          <w:sz w:val="24"/>
        </w:rPr>
        <w:t>, 907 P.2d 601, 605 (Colo.</w:t>
      </w:r>
      <w:r>
        <w:rPr>
          <w:spacing w:val="-14"/>
          <w:sz w:val="24"/>
        </w:rPr>
        <w:t> </w:t>
      </w:r>
      <w:r>
        <w:rPr>
          <w:sz w:val="24"/>
        </w:rPr>
        <w:t>1995).</w:t>
      </w:r>
    </w:p>
    <w:p>
      <w:pPr>
        <w:pStyle w:val="BodyText"/>
        <w:spacing w:before="1"/>
      </w:pPr>
    </w:p>
    <w:p>
      <w:pPr>
        <w:pStyle w:val="ListParagraph"/>
        <w:numPr>
          <w:ilvl w:val="0"/>
          <w:numId w:val="2"/>
        </w:numPr>
        <w:tabs>
          <w:tab w:pos="940" w:val="left" w:leader="none"/>
        </w:tabs>
        <w:spacing w:line="240" w:lineRule="auto" w:before="0" w:after="0"/>
        <w:ind w:left="940" w:right="1194" w:hanging="360"/>
        <w:jc w:val="left"/>
        <w:rPr>
          <w:sz w:val="24"/>
        </w:rPr>
      </w:pPr>
      <w:r>
        <w:rPr>
          <w:sz w:val="24"/>
        </w:rPr>
        <w:t>Additionally, when the establishment of a prior conviction results in automatic sentence enhancement, “defendants are entitled to heightened procedural safeguards against infringement of their due process rights through the use of potentially invalid prior convictions.” </w:t>
      </w:r>
      <w:r>
        <w:rPr>
          <w:i/>
          <w:sz w:val="24"/>
        </w:rPr>
        <w:t>Padilla</w:t>
      </w:r>
      <w:r>
        <w:rPr>
          <w:sz w:val="24"/>
        </w:rPr>
        <w:t>, 907 P.2d at 607.</w:t>
      </w:r>
    </w:p>
    <w:p>
      <w:pPr>
        <w:pStyle w:val="BodyText"/>
      </w:pPr>
    </w:p>
    <w:p>
      <w:pPr>
        <w:pStyle w:val="ListParagraph"/>
        <w:numPr>
          <w:ilvl w:val="0"/>
          <w:numId w:val="2"/>
        </w:numPr>
        <w:tabs>
          <w:tab w:pos="940" w:val="left" w:leader="none"/>
        </w:tabs>
        <w:spacing w:line="240" w:lineRule="auto" w:before="0" w:after="0"/>
        <w:ind w:left="940" w:right="1130" w:hanging="360"/>
        <w:jc w:val="both"/>
        <w:rPr>
          <w:sz w:val="24"/>
        </w:rPr>
      </w:pPr>
      <w:r>
        <w:rPr>
          <w:sz w:val="24"/>
        </w:rPr>
        <w:t>A guilty plea is invalid if it is obtained without counsel and if the record</w:t>
      </w:r>
      <w:r>
        <w:rPr>
          <w:spacing w:val="-22"/>
          <w:sz w:val="24"/>
        </w:rPr>
        <w:t> </w:t>
      </w:r>
      <w:r>
        <w:rPr>
          <w:sz w:val="24"/>
        </w:rPr>
        <w:t>does not plainly establish a knowing, intelligent, and voluntary waiver of counsel. </w:t>
      </w:r>
      <w:r>
        <w:rPr>
          <w:i/>
          <w:sz w:val="24"/>
        </w:rPr>
        <w:t>People v. Harrington</w:t>
      </w:r>
      <w:r>
        <w:rPr>
          <w:sz w:val="24"/>
        </w:rPr>
        <w:t>, 500 P.2d 360 (Colo.</w:t>
      </w:r>
      <w:r>
        <w:rPr>
          <w:spacing w:val="-5"/>
          <w:sz w:val="24"/>
        </w:rPr>
        <w:t> </w:t>
      </w:r>
      <w:r>
        <w:rPr>
          <w:sz w:val="24"/>
        </w:rPr>
        <w:t>1972).</w:t>
      </w:r>
    </w:p>
    <w:p>
      <w:pPr>
        <w:pStyle w:val="BodyText"/>
        <w:spacing w:before="11"/>
        <w:rPr>
          <w:sz w:val="23"/>
        </w:rPr>
      </w:pPr>
    </w:p>
    <w:p>
      <w:pPr>
        <w:pStyle w:val="ListParagraph"/>
        <w:numPr>
          <w:ilvl w:val="0"/>
          <w:numId w:val="2"/>
        </w:numPr>
        <w:tabs>
          <w:tab w:pos="940" w:val="left" w:leader="none"/>
        </w:tabs>
        <w:spacing w:line="240" w:lineRule="auto" w:before="0" w:after="0"/>
        <w:ind w:left="940" w:right="1046" w:hanging="360"/>
        <w:jc w:val="left"/>
        <w:rPr>
          <w:sz w:val="24"/>
        </w:rPr>
      </w:pPr>
      <w:r>
        <w:rPr>
          <w:sz w:val="24"/>
        </w:rPr>
        <w:t>The right to collaterally attack a prior conviction as invalid based on the right to counsel arises from </w:t>
      </w:r>
      <w:r>
        <w:rPr>
          <w:i/>
          <w:sz w:val="24"/>
        </w:rPr>
        <w:t>Gideon v. Wainright</w:t>
      </w:r>
      <w:r>
        <w:rPr>
          <w:sz w:val="24"/>
        </w:rPr>
        <w:t>, 372 U.S. 335 (1963), which required that indigent defendants be appointed counsel in state‐court proceedings. </w:t>
      </w:r>
      <w:r>
        <w:rPr>
          <w:i/>
          <w:sz w:val="24"/>
        </w:rPr>
        <w:t>Curtis v. United States, </w:t>
      </w:r>
      <w:r>
        <w:rPr>
          <w:sz w:val="24"/>
        </w:rPr>
        <w:t>511 U.S. 485, 493‐94</w:t>
      </w:r>
      <w:r>
        <w:rPr>
          <w:spacing w:val="-4"/>
          <w:sz w:val="24"/>
        </w:rPr>
        <w:t> </w:t>
      </w:r>
      <w:r>
        <w:rPr>
          <w:sz w:val="24"/>
        </w:rPr>
        <w:t>(1994).</w:t>
      </w:r>
    </w:p>
    <w:p>
      <w:pPr>
        <w:pStyle w:val="BodyText"/>
        <w:spacing w:before="1"/>
      </w:pPr>
    </w:p>
    <w:p>
      <w:pPr>
        <w:pStyle w:val="ListParagraph"/>
        <w:numPr>
          <w:ilvl w:val="0"/>
          <w:numId w:val="2"/>
        </w:numPr>
        <w:tabs>
          <w:tab w:pos="940" w:val="left" w:leader="none"/>
        </w:tabs>
        <w:spacing w:line="240" w:lineRule="auto" w:before="0" w:after="0"/>
        <w:ind w:left="940" w:right="1135" w:hanging="360"/>
        <w:jc w:val="left"/>
        <w:rPr>
          <w:sz w:val="24"/>
        </w:rPr>
      </w:pPr>
      <w:r>
        <w:rPr>
          <w:sz w:val="24"/>
        </w:rPr>
        <w:t>A prior criminal conviction that does not comport with the </w:t>
      </w:r>
      <w:r>
        <w:rPr>
          <w:i/>
          <w:sz w:val="24"/>
        </w:rPr>
        <w:t>Gideon </w:t>
      </w:r>
      <w:r>
        <w:rPr>
          <w:sz w:val="24"/>
        </w:rPr>
        <w:t>standards is constitutionally infirm and cannot be used for sentence enhancement purposes. </w:t>
      </w:r>
      <w:r>
        <w:rPr>
          <w:i/>
          <w:sz w:val="24"/>
        </w:rPr>
        <w:t>Curtis</w:t>
      </w:r>
      <w:r>
        <w:rPr>
          <w:sz w:val="24"/>
        </w:rPr>
        <w:t>, 511 U.S. at</w:t>
      </w:r>
      <w:r>
        <w:rPr>
          <w:spacing w:val="-1"/>
          <w:sz w:val="24"/>
        </w:rPr>
        <w:t> </w:t>
      </w:r>
      <w:r>
        <w:rPr>
          <w:sz w:val="24"/>
        </w:rPr>
        <w:t>495.</w:t>
      </w:r>
    </w:p>
    <w:p>
      <w:pPr>
        <w:pStyle w:val="BodyText"/>
      </w:pPr>
    </w:p>
    <w:p>
      <w:pPr>
        <w:pStyle w:val="ListParagraph"/>
        <w:numPr>
          <w:ilvl w:val="0"/>
          <w:numId w:val="2"/>
        </w:numPr>
        <w:tabs>
          <w:tab w:pos="940" w:val="left" w:leader="none"/>
        </w:tabs>
        <w:spacing w:line="240" w:lineRule="auto" w:before="0" w:after="0"/>
        <w:ind w:left="940" w:right="1205" w:hanging="360"/>
        <w:jc w:val="left"/>
        <w:rPr>
          <w:sz w:val="24"/>
        </w:rPr>
      </w:pPr>
      <w:r>
        <w:rPr>
          <w:sz w:val="24"/>
        </w:rPr>
        <w:t>“Presuming waiver of counsel from a silent record is impermissible. To permit a conviction obtained in violation of </w:t>
      </w:r>
      <w:r>
        <w:rPr>
          <w:i/>
          <w:sz w:val="24"/>
        </w:rPr>
        <w:t>Gideon v. Wainwright </w:t>
      </w:r>
      <w:r>
        <w:rPr>
          <w:sz w:val="24"/>
        </w:rPr>
        <w:t>to be</w:t>
      </w:r>
      <w:r>
        <w:rPr>
          <w:spacing w:val="-21"/>
          <w:sz w:val="24"/>
        </w:rPr>
        <w:t> </w:t>
      </w:r>
      <w:r>
        <w:rPr>
          <w:sz w:val="24"/>
        </w:rPr>
        <w:t>used against a person either to support guilt or enhance punishment for another offense is to erode the principle of that case.” </w:t>
      </w:r>
      <w:r>
        <w:rPr>
          <w:i/>
          <w:sz w:val="24"/>
        </w:rPr>
        <w:t>Burgett v. Texas</w:t>
      </w:r>
      <w:r>
        <w:rPr>
          <w:sz w:val="24"/>
        </w:rPr>
        <w:t>, 389 U.S. 109, 114‐15 (1967).</w:t>
      </w:r>
    </w:p>
    <w:p>
      <w:pPr>
        <w:pStyle w:val="BodyText"/>
      </w:pPr>
    </w:p>
    <w:p>
      <w:pPr>
        <w:pStyle w:val="ListParagraph"/>
        <w:numPr>
          <w:ilvl w:val="0"/>
          <w:numId w:val="2"/>
        </w:numPr>
        <w:tabs>
          <w:tab w:pos="940" w:val="left" w:leader="none"/>
        </w:tabs>
        <w:spacing w:line="240" w:lineRule="auto" w:before="0" w:after="0"/>
        <w:ind w:left="940" w:right="1152" w:hanging="360"/>
        <w:jc w:val="left"/>
        <w:rPr>
          <w:sz w:val="24"/>
        </w:rPr>
      </w:pPr>
      <w:r>
        <w:rPr>
          <w:sz w:val="24"/>
        </w:rPr>
        <w:t>Even when incarceration was not a possible consequence in the prior proceeding, a prior conviction may not be used to enhance the sentence of a subsequent offense unless there is evidence the defendant was informed of his right to counsel and knowingly, intelligently, and voluntarily waived that right. </w:t>
      </w:r>
      <w:r>
        <w:rPr>
          <w:i/>
          <w:sz w:val="24"/>
        </w:rPr>
        <w:t>People v. Hampton</w:t>
      </w:r>
      <w:r>
        <w:rPr>
          <w:sz w:val="24"/>
        </w:rPr>
        <w:t>, 619 P.2d 48, 52‐53 (Colo.</w:t>
      </w:r>
      <w:r>
        <w:rPr>
          <w:spacing w:val="-6"/>
          <w:sz w:val="24"/>
        </w:rPr>
        <w:t> </w:t>
      </w:r>
      <w:r>
        <w:rPr>
          <w:sz w:val="24"/>
        </w:rPr>
        <w:t>1980).</w:t>
      </w:r>
    </w:p>
    <w:p>
      <w:pPr>
        <w:pStyle w:val="BodyText"/>
        <w:spacing w:before="11"/>
        <w:rPr>
          <w:sz w:val="23"/>
        </w:rPr>
      </w:pPr>
    </w:p>
    <w:p>
      <w:pPr>
        <w:pStyle w:val="ListParagraph"/>
        <w:numPr>
          <w:ilvl w:val="0"/>
          <w:numId w:val="2"/>
        </w:numPr>
        <w:tabs>
          <w:tab w:pos="940" w:val="left" w:leader="none"/>
        </w:tabs>
        <w:spacing w:line="240" w:lineRule="auto" w:before="0" w:after="0"/>
        <w:ind w:left="940" w:right="1445" w:hanging="360"/>
        <w:jc w:val="left"/>
        <w:rPr>
          <w:sz w:val="24"/>
        </w:rPr>
      </w:pPr>
      <w:r>
        <w:rPr>
          <w:sz w:val="24"/>
        </w:rPr>
        <w:t>If a defendant has made a </w:t>
      </w:r>
      <w:r>
        <w:rPr>
          <w:i/>
          <w:sz w:val="24"/>
        </w:rPr>
        <w:t>prima facie </w:t>
      </w:r>
      <w:r>
        <w:rPr>
          <w:sz w:val="24"/>
        </w:rPr>
        <w:t>showing that a prior conviction is invalid, it may not be used in a later proceeding unless the prosecution establishes the conviction was constitutionally obtained. </w:t>
      </w:r>
      <w:r>
        <w:rPr>
          <w:i/>
          <w:sz w:val="24"/>
        </w:rPr>
        <w:t>People v.</w:t>
      </w:r>
      <w:r>
        <w:rPr>
          <w:i/>
          <w:spacing w:val="-23"/>
          <w:sz w:val="24"/>
        </w:rPr>
        <w:t> </w:t>
      </w:r>
      <w:r>
        <w:rPr>
          <w:i/>
          <w:sz w:val="24"/>
        </w:rPr>
        <w:t>Roybal</w:t>
      </w:r>
      <w:r>
        <w:rPr>
          <w:sz w:val="24"/>
        </w:rPr>
        <w:t>, 618 P.2d 1121, 1126‐27 (Colo.</w:t>
      </w:r>
      <w:r>
        <w:rPr>
          <w:spacing w:val="-2"/>
          <w:sz w:val="24"/>
        </w:rPr>
        <w:t> </w:t>
      </w:r>
      <w:r>
        <w:rPr>
          <w:sz w:val="24"/>
        </w:rPr>
        <w:t>1980).</w:t>
      </w:r>
    </w:p>
    <w:p>
      <w:pPr>
        <w:spacing w:after="0" w:line="240" w:lineRule="auto"/>
        <w:jc w:val="left"/>
        <w:rPr>
          <w:sz w:val="24"/>
        </w:rPr>
        <w:sectPr>
          <w:pgSz w:w="12240" w:h="15840"/>
          <w:pgMar w:top="1360" w:bottom="280" w:left="1580" w:right="780"/>
        </w:sectPr>
      </w:pPr>
    </w:p>
    <w:p>
      <w:pPr>
        <w:pStyle w:val="BodyText"/>
        <w:spacing w:before="81"/>
        <w:ind w:left="222" w:right="1093" w:firstLine="360"/>
      </w:pPr>
      <w:r>
        <w:rPr>
          <w:b/>
        </w:rPr>
        <w:t>WHEREFORE</w:t>
      </w:r>
      <w:r>
        <w:rPr/>
        <w:t>, this Court should issue an order precluding the use of the unconstitutionally obtained prior convictions in Adams County cases 06M4888 and 04M3645 for purposes of enhancing the penalty in this case under the provisions in C.R.S. § 18‐6‐801(7) and 18‐3‐204(1)(a).</w:t>
      </w:r>
    </w:p>
    <w:p>
      <w:pPr>
        <w:pStyle w:val="BodyText"/>
        <w:spacing w:before="5"/>
        <w:rPr>
          <w:sz w:val="15"/>
        </w:rPr>
      </w:pPr>
    </w:p>
    <w:p>
      <w:pPr>
        <w:pStyle w:val="BodyText"/>
        <w:spacing w:before="100"/>
        <w:ind w:left="222"/>
      </w:pPr>
      <w:r>
        <w:rPr/>
        <w:t>Respectfully submitted,</w:t>
      </w:r>
    </w:p>
    <w:p>
      <w:pPr>
        <w:pStyle w:val="BodyText"/>
        <w:spacing w:before="5"/>
        <w:rPr>
          <w:sz w:val="15"/>
        </w:rPr>
      </w:pPr>
    </w:p>
    <w:p>
      <w:pPr>
        <w:pStyle w:val="BodyText"/>
        <w:spacing w:before="101"/>
        <w:ind w:left="222"/>
      </w:pPr>
      <w:r>
        <w:rPr/>
        <w:t>DOUGLAS K. WILSON</w:t>
      </w:r>
    </w:p>
    <w:p>
      <w:pPr>
        <w:pStyle w:val="BodyText"/>
        <w:ind w:left="222"/>
      </w:pPr>
      <w:r>
        <w:rPr/>
        <w:t>COLORADO STATE PUBLIC DEFENDER</w:t>
      </w:r>
    </w:p>
    <w:p>
      <w:pPr>
        <w:pStyle w:val="BodyText"/>
        <w:spacing w:before="11"/>
        <w:rPr>
          <w:sz w:val="22"/>
        </w:rPr>
      </w:pPr>
    </w:p>
    <w:p>
      <w:pPr>
        <w:pStyle w:val="BodyText"/>
        <w:ind w:left="208"/>
        <w:rPr>
          <w:sz w:val="20"/>
        </w:rPr>
      </w:pPr>
      <w:r>
        <w:rPr>
          <w:sz w:val="20"/>
        </w:rPr>
        <w:pict>
          <v:group style="width:144.8pt;height:29.35pt;mso-position-horizontal-relative:char;mso-position-vertical-relative:line" coordorigin="0,0" coordsize="2896,587">
            <v:line style="position:absolute" from="4,580" to="488,580" stroked="true" strokeweight=".65997pt" strokecolor="#000000">
              <v:stroke dashstyle="solid"/>
            </v:line>
            <v:line style="position:absolute" from="942,577" to="2894,577" stroked="true" strokeweight=".678402pt" strokecolor="#000000">
              <v:stroke dashstyle="solid"/>
            </v:line>
            <v:line style="position:absolute" from="488,580" to="1632,580" stroked="true" strokeweight=".65997pt" strokecolor="#000000">
              <v:stroke dashstyle="solid"/>
            </v:line>
            <v:shape style="position:absolute;left:0;top:0;width:950;height:557" type="#_x0000_t75" stroked="false">
              <v:imagedata r:id="rId6" o:title=""/>
            </v:shape>
            <v:line style="position:absolute" from="1632,580" to="2776,580" stroked="true" strokeweight=".65997pt" strokecolor="#000000">
              <v:stroke dashstyle="solid"/>
            </v:line>
            <v:rect style="position:absolute;left:2775;top:573;width:120;height:14" filled="true" fillcolor="#000000" stroked="false">
              <v:fill type="solid"/>
            </v:rect>
          </v:group>
        </w:pict>
      </w:r>
      <w:r>
        <w:rPr>
          <w:sz w:val="20"/>
        </w:rPr>
      </w:r>
    </w:p>
    <w:p>
      <w:pPr>
        <w:spacing w:after="0"/>
        <w:rPr>
          <w:sz w:val="20"/>
        </w:rPr>
        <w:sectPr>
          <w:pgSz w:w="12240" w:h="15840"/>
          <w:pgMar w:top="1360" w:bottom="280" w:left="1580" w:right="780"/>
        </w:sectPr>
      </w:pPr>
    </w:p>
    <w:p>
      <w:pPr>
        <w:pStyle w:val="BodyText"/>
        <w:spacing w:line="218" w:lineRule="auto" w:before="20"/>
        <w:ind w:left="222" w:right="14"/>
      </w:pPr>
      <w:r>
        <w:rPr/>
        <w:t>Hillary Aizenman, No. 42351 Deputy State Public Defender 4710 East Bromley Lane Brighton, CO 80601</w:t>
      </w:r>
    </w:p>
    <w:p>
      <w:pPr>
        <w:pStyle w:val="BodyText"/>
        <w:spacing w:line="243" w:lineRule="exact"/>
        <w:ind w:left="222"/>
      </w:pPr>
      <w:r>
        <w:rPr/>
        <w:t>(303) 659‐4274</w:t>
      </w:r>
    </w:p>
    <w:p>
      <w:pPr>
        <w:pStyle w:val="BodyText"/>
        <w:spacing w:before="5"/>
        <w:rPr>
          <w:sz w:val="23"/>
        </w:rPr>
      </w:pPr>
    </w:p>
    <w:p>
      <w:pPr>
        <w:pStyle w:val="BodyText"/>
        <w:ind w:left="222"/>
      </w:pPr>
      <w:r>
        <w:rPr/>
        <w:t>Dated: June 1, 2017</w:t>
      </w:r>
    </w:p>
    <w:p>
      <w:pPr>
        <w:pStyle w:val="Heading1"/>
        <w:spacing w:line="280" w:lineRule="exact"/>
        <w:ind w:left="222" w:firstLine="0"/>
        <w:rPr>
          <w:u w:val="none"/>
        </w:rPr>
      </w:pPr>
      <w:r>
        <w:rPr>
          <w:b w:val="0"/>
          <w:u w:val="none"/>
        </w:rPr>
        <w:br w:type="column"/>
      </w:r>
      <w:r>
        <w:rPr>
          <w:u w:val="single"/>
        </w:rPr>
        <w:t>Certificate of Service</w:t>
      </w:r>
    </w:p>
    <w:p>
      <w:pPr>
        <w:pStyle w:val="BodyText"/>
        <w:ind w:left="222" w:right="343"/>
      </w:pPr>
      <w:r>
        <w:rPr/>
        <w:t>I hereby certify that on this 1st day of June, 2017, a true and correct copy of the foregoing MOTION was served via ICCES on all parties who appear of record and have entered their appearances herein according to ICCES. </w:t>
      </w:r>
      <w:r>
        <w:rPr>
          <w:u w:val="single"/>
        </w:rPr>
        <w:t>/s/ Hillary Aizenman</w:t>
      </w:r>
    </w:p>
    <w:sectPr>
      <w:type w:val="continuous"/>
      <w:pgSz w:w="12240" w:h="15840"/>
      <w:pgMar w:top="1440" w:bottom="280" w:left="1580" w:right="780"/>
      <w:cols w:num="2" w:equalWidth="0">
        <w:col w:w="3262" w:space="2696"/>
        <w:col w:w="392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Symbol">
    <w:altName w:val="Symbol"/>
    <w:charset w:val="2"/>
    <w:family w:val="roman"/>
    <w:pitch w:val="variable"/>
  </w:font>
  <w:font w:name="Minion Pro">
    <w:altName w:val="Minion Pro"/>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40" w:hanging="360"/>
        <w:jc w:val="left"/>
      </w:pPr>
      <w:rPr>
        <w:rFonts w:hint="default" w:ascii="Cambria" w:hAnsi="Cambria" w:eastAsia="Cambria" w:cs="Cambria"/>
        <w:spacing w:val="-2"/>
        <w:w w:val="100"/>
        <w:sz w:val="24"/>
        <w:szCs w:val="24"/>
      </w:rPr>
    </w:lvl>
    <w:lvl w:ilvl="1">
      <w:start w:val="0"/>
      <w:numFmt w:val="bullet"/>
      <w:lvlText w:val="•"/>
      <w:lvlJc w:val="left"/>
      <w:pPr>
        <w:ind w:left="1834" w:hanging="360"/>
      </w:pPr>
      <w:rPr>
        <w:rFonts w:hint="default"/>
      </w:rPr>
    </w:lvl>
    <w:lvl w:ilvl="2">
      <w:start w:val="0"/>
      <w:numFmt w:val="bullet"/>
      <w:lvlText w:val="•"/>
      <w:lvlJc w:val="left"/>
      <w:pPr>
        <w:ind w:left="2728" w:hanging="360"/>
      </w:pPr>
      <w:rPr>
        <w:rFonts w:hint="default"/>
      </w:rPr>
    </w:lvl>
    <w:lvl w:ilvl="3">
      <w:start w:val="0"/>
      <w:numFmt w:val="bullet"/>
      <w:lvlText w:val="•"/>
      <w:lvlJc w:val="left"/>
      <w:pPr>
        <w:ind w:left="3622" w:hanging="360"/>
      </w:pPr>
      <w:rPr>
        <w:rFonts w:hint="default"/>
      </w:rPr>
    </w:lvl>
    <w:lvl w:ilvl="4">
      <w:start w:val="0"/>
      <w:numFmt w:val="bullet"/>
      <w:lvlText w:val="•"/>
      <w:lvlJc w:val="left"/>
      <w:pPr>
        <w:ind w:left="4516" w:hanging="360"/>
      </w:pPr>
      <w:rPr>
        <w:rFonts w:hint="default"/>
      </w:rPr>
    </w:lvl>
    <w:lvl w:ilvl="5">
      <w:start w:val="0"/>
      <w:numFmt w:val="bullet"/>
      <w:lvlText w:val="•"/>
      <w:lvlJc w:val="left"/>
      <w:pPr>
        <w:ind w:left="5410" w:hanging="360"/>
      </w:pPr>
      <w:rPr>
        <w:rFonts w:hint="default"/>
      </w:rPr>
    </w:lvl>
    <w:lvl w:ilvl="6">
      <w:start w:val="0"/>
      <w:numFmt w:val="bullet"/>
      <w:lvlText w:val="•"/>
      <w:lvlJc w:val="left"/>
      <w:pPr>
        <w:ind w:left="6304" w:hanging="360"/>
      </w:pPr>
      <w:rPr>
        <w:rFonts w:hint="default"/>
      </w:rPr>
    </w:lvl>
    <w:lvl w:ilvl="7">
      <w:start w:val="0"/>
      <w:numFmt w:val="bullet"/>
      <w:lvlText w:val="•"/>
      <w:lvlJc w:val="left"/>
      <w:pPr>
        <w:ind w:left="7198" w:hanging="360"/>
      </w:pPr>
      <w:rPr>
        <w:rFonts w:hint="default"/>
      </w:rPr>
    </w:lvl>
    <w:lvl w:ilvl="8">
      <w:start w:val="0"/>
      <w:numFmt w:val="bullet"/>
      <w:lvlText w:val="•"/>
      <w:lvlJc w:val="left"/>
      <w:pPr>
        <w:ind w:left="8092" w:hanging="360"/>
      </w:pPr>
      <w:rPr>
        <w:rFonts w:hint="default"/>
      </w:rPr>
    </w:lvl>
  </w:abstractNum>
  <w:abstractNum w:abstractNumId="0">
    <w:multiLevelType w:val="hybridMultilevel"/>
    <w:lvl w:ilvl="0">
      <w:start w:val="21"/>
      <w:numFmt w:val="upperLetter"/>
      <w:lvlText w:val="%1"/>
      <w:lvlJc w:val="left"/>
      <w:pPr>
        <w:ind w:left="645" w:hanging="426"/>
        <w:jc w:val="left"/>
      </w:pPr>
      <w:rPr>
        <w:rFonts w:hint="default"/>
      </w:rPr>
    </w:lvl>
    <w:lvl w:ilvl="1">
      <w:start w:val="1"/>
      <w:numFmt w:val="upperLetter"/>
      <w:lvlText w:val="%2."/>
      <w:lvlJc w:val="left"/>
      <w:pPr>
        <w:ind w:left="940" w:hanging="360"/>
        <w:jc w:val="left"/>
      </w:pPr>
      <w:rPr>
        <w:rFonts w:hint="default" w:ascii="Cambria" w:hAnsi="Cambria" w:eastAsia="Cambria" w:cs="Cambria"/>
        <w:b/>
        <w:bCs/>
        <w:spacing w:val="-11"/>
        <w:w w:val="100"/>
        <w:sz w:val="24"/>
        <w:szCs w:val="24"/>
      </w:rPr>
    </w:lvl>
    <w:lvl w:ilvl="2">
      <w:start w:val="1"/>
      <w:numFmt w:val="decimal"/>
      <w:lvlText w:val="%3."/>
      <w:lvlJc w:val="left"/>
      <w:pPr>
        <w:ind w:left="940" w:hanging="360"/>
        <w:jc w:val="left"/>
      </w:pPr>
      <w:rPr>
        <w:rFonts w:hint="default" w:ascii="Cambria" w:hAnsi="Cambria" w:eastAsia="Cambria" w:cs="Cambria"/>
        <w:spacing w:val="-5"/>
        <w:w w:val="100"/>
        <w:sz w:val="24"/>
        <w:szCs w:val="24"/>
      </w:rPr>
    </w:lvl>
    <w:lvl w:ilvl="3">
      <w:start w:val="0"/>
      <w:numFmt w:val="bullet"/>
      <w:lvlText w:val="•"/>
      <w:lvlJc w:val="left"/>
      <w:pPr>
        <w:ind w:left="2926" w:hanging="360"/>
      </w:pPr>
      <w:rPr>
        <w:rFonts w:hint="default"/>
      </w:rPr>
    </w:lvl>
    <w:lvl w:ilvl="4">
      <w:start w:val="0"/>
      <w:numFmt w:val="bullet"/>
      <w:lvlText w:val="•"/>
      <w:lvlJc w:val="left"/>
      <w:pPr>
        <w:ind w:left="3920" w:hanging="360"/>
      </w:pPr>
      <w:rPr>
        <w:rFonts w:hint="default"/>
      </w:rPr>
    </w:lvl>
    <w:lvl w:ilvl="5">
      <w:start w:val="0"/>
      <w:numFmt w:val="bullet"/>
      <w:lvlText w:val="•"/>
      <w:lvlJc w:val="left"/>
      <w:pPr>
        <w:ind w:left="4913" w:hanging="360"/>
      </w:pPr>
      <w:rPr>
        <w:rFonts w:hint="default"/>
      </w:rPr>
    </w:lvl>
    <w:lvl w:ilvl="6">
      <w:start w:val="0"/>
      <w:numFmt w:val="bullet"/>
      <w:lvlText w:val="•"/>
      <w:lvlJc w:val="left"/>
      <w:pPr>
        <w:ind w:left="5906" w:hanging="360"/>
      </w:pPr>
      <w:rPr>
        <w:rFonts w:hint="default"/>
      </w:rPr>
    </w:lvl>
    <w:lvl w:ilvl="7">
      <w:start w:val="0"/>
      <w:numFmt w:val="bullet"/>
      <w:lvlText w:val="•"/>
      <w:lvlJc w:val="left"/>
      <w:pPr>
        <w:ind w:left="6900" w:hanging="360"/>
      </w:pPr>
      <w:rPr>
        <w:rFonts w:hint="default"/>
      </w:rPr>
    </w:lvl>
    <w:lvl w:ilvl="8">
      <w:start w:val="0"/>
      <w:numFmt w:val="bullet"/>
      <w:lvlText w:val="•"/>
      <w:lvlJc w:val="left"/>
      <w:pPr>
        <w:ind w:left="7893"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rPr>
  </w:style>
  <w:style w:styleId="BodyText" w:type="paragraph">
    <w:name w:val="Body Text"/>
    <w:basedOn w:val="Normal"/>
    <w:uiPriority w:val="1"/>
    <w:qFormat/>
    <w:pPr/>
    <w:rPr>
      <w:rFonts w:ascii="Cambria" w:hAnsi="Cambria" w:eastAsia="Cambria" w:cs="Cambria"/>
      <w:sz w:val="24"/>
      <w:szCs w:val="24"/>
    </w:rPr>
  </w:style>
  <w:style w:styleId="Heading1" w:type="paragraph">
    <w:name w:val="Heading 1"/>
    <w:basedOn w:val="Normal"/>
    <w:uiPriority w:val="1"/>
    <w:qFormat/>
    <w:pPr>
      <w:ind w:left="940" w:hanging="360"/>
      <w:outlineLvl w:val="1"/>
    </w:pPr>
    <w:rPr>
      <w:rFonts w:ascii="Cambria" w:hAnsi="Cambria" w:eastAsia="Cambria" w:cs="Cambria"/>
      <w:b/>
      <w:bCs/>
      <w:sz w:val="24"/>
      <w:szCs w:val="24"/>
      <w:u w:val="single" w:color="000000"/>
    </w:rPr>
  </w:style>
  <w:style w:styleId="ListParagraph" w:type="paragraph">
    <w:name w:val="List Paragraph"/>
    <w:basedOn w:val="Normal"/>
    <w:uiPriority w:val="1"/>
    <w:qFormat/>
    <w:pPr>
      <w:ind w:left="940" w:hanging="360"/>
    </w:pPr>
    <w:rPr>
      <w:rFonts w:ascii="Cambria" w:hAnsi="Cambria" w:eastAsia="Cambria" w:cs="Cambria"/>
    </w:rPr>
  </w:style>
  <w:style w:styleId="TableParagraph" w:type="paragraph">
    <w:name w:val="Table Paragraph"/>
    <w:basedOn w:val="Normal"/>
    <w:uiPriority w:val="1"/>
    <w:qFormat/>
    <w:pPr>
      <w:ind w:left="107"/>
    </w:pPr>
    <w:rPr>
      <w:rFonts w:ascii="Cambria" w:hAnsi="Cambria" w:eastAsia="Cambria" w:cs="Cambri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brighton.defenders@state.co.us" TargetMode="Externa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haizenman</dc:creator>
  <dc:title>Microsoft Word - MOTION TO SUPPRESS CONVICTION DV.docx</dc:title>
  <dcterms:created xsi:type="dcterms:W3CDTF">2019-03-20T18:07:14Z</dcterms:created>
  <dcterms:modified xsi:type="dcterms:W3CDTF">2019-03-20T18:07:14Z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2017-06-01T00:00:00Z</vt:filetime>
  </property>
  <property fmtid="{D5CDD505-2E9C-101B-9397-08002B2CF9AE}" pid="3" name="Creator">
    <vt:lpwstr>PScript5.dll Version 5.2.2</vt:lpwstr>
  </property>
  <property fmtid="{D5CDD505-2E9C-101B-9397-08002B2CF9AE}" pid="4" name="LastSaved">
    <vt:filetime>2019-03-20T00:00:00Z</vt:filetime>
  </property>
</Properties>
</file>