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66.360001pt;margin-top:72.000023pt;width:469.65pt;height:333.7pt;mso-position-horizontal-relative:page;mso-position-vertical-relative:page;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1103" w:hRule="atLeast"/>
                    </w:trPr>
                    <w:tc>
                      <w:tcPr>
                        <w:tcW w:w="5958" w:type="dxa"/>
                      </w:tcPr>
                      <w:p>
                        <w:pPr>
                          <w:pStyle w:val="TableParagraph"/>
                          <w:spacing w:line="273" w:lineRule="exact"/>
                          <w:ind w:left="107"/>
                          <w:rPr>
                            <w:sz w:val="24"/>
                          </w:rPr>
                        </w:pPr>
                        <w:r>
                          <w:rPr>
                            <w:sz w:val="24"/>
                          </w:rPr>
                          <w:t>District Court, Adams County, Colorado</w:t>
                        </w:r>
                      </w:p>
                      <w:p>
                        <w:pPr>
                          <w:pStyle w:val="TableParagraph"/>
                          <w:rPr>
                            <w:sz w:val="24"/>
                          </w:rPr>
                        </w:pPr>
                      </w:p>
                      <w:p>
                        <w:pPr>
                          <w:pStyle w:val="TableParagraph"/>
                          <w:tabs>
                            <w:tab w:pos="5552" w:val="left" w:leader="none"/>
                          </w:tabs>
                          <w:spacing w:line="292" w:lineRule="exact"/>
                          <w:ind w:left="107" w:right="-29"/>
                          <w:rPr>
                            <w:sz w:val="20"/>
                          </w:rPr>
                        </w:pPr>
                        <w:r>
                          <w:rPr>
                            <w:sz w:val="24"/>
                          </w:rPr>
                          <w:t>Court Address:  1100 Judicial</w:t>
                        </w:r>
                        <w:r>
                          <w:rPr>
                            <w:spacing w:val="-11"/>
                            <w:sz w:val="24"/>
                          </w:rPr>
                          <w:t> </w:t>
                        </w:r>
                        <w:r>
                          <w:rPr>
                            <w:sz w:val="24"/>
                          </w:rPr>
                          <w:t>Center</w:t>
                        </w:r>
                        <w:r>
                          <w:rPr>
                            <w:spacing w:val="-3"/>
                            <w:sz w:val="24"/>
                          </w:rPr>
                          <w:t> </w:t>
                        </w:r>
                        <w:r>
                          <w:rPr>
                            <w:sz w:val="24"/>
                          </w:rPr>
                          <w:t>Drive</w:t>
                          <w:tab/>
                        </w:r>
                        <w:r>
                          <w:rPr>
                            <w:color w:val="0000FF"/>
                            <w:spacing w:val="-3"/>
                            <w:position w:val="-3"/>
                            <w:sz w:val="20"/>
                          </w:rPr>
                          <w:t>DAT</w:t>
                        </w:r>
                      </w:p>
                      <w:p>
                        <w:pPr>
                          <w:pStyle w:val="TableParagraph"/>
                          <w:tabs>
                            <w:tab w:pos="5552" w:val="left" w:leader="none"/>
                          </w:tabs>
                          <w:spacing w:line="243" w:lineRule="exact"/>
                          <w:ind w:left="1667"/>
                          <w:rPr>
                            <w:sz w:val="20"/>
                          </w:rPr>
                        </w:pPr>
                        <w:r>
                          <w:rPr>
                            <w:sz w:val="24"/>
                          </w:rPr>
                          <w:t>Brighton, CO</w:t>
                        </w:r>
                        <w:r>
                          <w:rPr>
                            <w:spacing w:val="59"/>
                            <w:sz w:val="24"/>
                          </w:rPr>
                          <w:t> </w:t>
                        </w:r>
                        <w:r>
                          <w:rPr>
                            <w:sz w:val="24"/>
                          </w:rPr>
                          <w:t>80601</w:t>
                          <w:tab/>
                        </w:r>
                        <w:r>
                          <w:rPr>
                            <w:color w:val="0000FF"/>
                            <w:position w:val="2"/>
                            <w:sz w:val="20"/>
                          </w:rPr>
                          <w:t>FILI</w:t>
                        </w:r>
                      </w:p>
                    </w:tc>
                    <w:tc>
                      <w:tcPr>
                        <w:tcW w:w="3420" w:type="dxa"/>
                        <w:vMerge w:val="restart"/>
                      </w:tcPr>
                      <w:p>
                        <w:pPr>
                          <w:pStyle w:val="TableParagraph"/>
                          <w:rPr>
                            <w:sz w:val="22"/>
                          </w:rPr>
                        </w:pPr>
                      </w:p>
                      <w:p>
                        <w:pPr>
                          <w:pStyle w:val="TableParagraph"/>
                          <w:rPr>
                            <w:sz w:val="22"/>
                          </w:rPr>
                        </w:pPr>
                      </w:p>
                      <w:p>
                        <w:pPr>
                          <w:pStyle w:val="TableParagraph"/>
                          <w:spacing w:line="225" w:lineRule="auto" w:before="132"/>
                          <w:ind w:left="115" w:right="185" w:hanging="104"/>
                          <w:rPr>
                            <w:sz w:val="20"/>
                          </w:rPr>
                        </w:pPr>
                        <w:r>
                          <w:rPr>
                            <w:color w:val="0000FF"/>
                            <w:sz w:val="20"/>
                          </w:rPr>
                          <w:t>E FILED: November 5, 2017 8:43 </w:t>
                        </w:r>
                        <w:r>
                          <w:rPr>
                            <w:color w:val="0000FF"/>
                            <w:spacing w:val="-7"/>
                            <w:sz w:val="20"/>
                          </w:rPr>
                          <w:t>PM</w:t>
                        </w:r>
                        <w:r>
                          <w:rPr>
                            <w:color w:val="0000FF"/>
                            <w:spacing w:val="36"/>
                            <w:sz w:val="20"/>
                          </w:rPr>
                          <w:t> </w:t>
                        </w:r>
                        <w:r>
                          <w:rPr>
                            <w:color w:val="0000FF"/>
                            <w:sz w:val="20"/>
                          </w:rPr>
                          <w:t>G ID:</w:t>
                        </w:r>
                        <w:r>
                          <w:rPr>
                            <w:color w:val="0000FF"/>
                            <w:spacing w:val="9"/>
                            <w:sz w:val="20"/>
                          </w:rPr>
                          <w:t> </w:t>
                        </w:r>
                        <w:r>
                          <w:rPr>
                            <w:color w:val="0000FF"/>
                            <w:sz w:val="20"/>
                          </w:rPr>
                          <w:t>C4083951718FA</w:t>
                        </w:r>
                      </w:p>
                      <w:p>
                        <w:pPr>
                          <w:pStyle w:val="TableParagraph"/>
                          <w:spacing w:line="218" w:lineRule="exact"/>
                          <w:ind w:left="-124"/>
                          <w:rPr>
                            <w:sz w:val="20"/>
                          </w:rPr>
                        </w:pPr>
                        <w:r>
                          <w:rPr>
                            <w:color w:val="0000FF"/>
                            <w:sz w:val="20"/>
                          </w:rPr>
                          <w:t>SE NUMBER: 2017CR2641</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22"/>
                          </w:rPr>
                        </w:pPr>
                      </w:p>
                      <w:p>
                        <w:pPr>
                          <w:pStyle w:val="TableParagraph"/>
                          <w:numPr>
                            <w:ilvl w:val="0"/>
                            <w:numId w:val="1"/>
                          </w:numPr>
                          <w:tabs>
                            <w:tab w:pos="685" w:val="left" w:leader="none"/>
                          </w:tabs>
                          <w:spacing w:line="259" w:lineRule="exact" w:before="0" w:after="0"/>
                          <w:ind w:left="684" w:right="0" w:hanging="171"/>
                          <w:jc w:val="left"/>
                          <w:rPr>
                            <w:rFonts w:ascii="Wingdings" w:hAnsi="Wingdings"/>
                            <w:sz w:val="24"/>
                          </w:rPr>
                        </w:pPr>
                        <w:r>
                          <w:rPr>
                            <w:sz w:val="24"/>
                          </w:rPr>
                          <w:t>COURT USE ONLY</w:t>
                        </w:r>
                        <w:r>
                          <w:rPr>
                            <w:spacing w:val="-3"/>
                            <w:sz w:val="24"/>
                          </w:rPr>
                          <w:t> </w:t>
                        </w:r>
                        <w:r>
                          <w:rPr>
                            <w:rFonts w:ascii="Wingdings" w:hAnsi="Wingdings"/>
                            <w:sz w:val="24"/>
                          </w:rPr>
                          <w:t></w:t>
                        </w:r>
                      </w:p>
                    </w:tc>
                  </w:tr>
                  <w:tr>
                    <w:trPr>
                      <w:trHeight w:val="2483" w:hRule="atLeast"/>
                    </w:trPr>
                    <w:tc>
                      <w:tcPr>
                        <w:tcW w:w="5958" w:type="dxa"/>
                      </w:tcPr>
                      <w:p>
                        <w:pPr>
                          <w:pStyle w:val="TableParagraph"/>
                          <w:spacing w:line="176" w:lineRule="exact"/>
                          <w:ind w:right="111"/>
                          <w:jc w:val="right"/>
                          <w:rPr>
                            <w:sz w:val="20"/>
                          </w:rPr>
                        </w:pPr>
                        <w:r>
                          <w:rPr>
                            <w:color w:val="0000FF"/>
                            <w:sz w:val="20"/>
                          </w:rPr>
                          <w:t>CA</w:t>
                        </w:r>
                      </w:p>
                      <w:p>
                        <w:pPr>
                          <w:pStyle w:val="TableParagraph"/>
                          <w:spacing w:before="98"/>
                          <w:ind w:left="107"/>
                          <w:rPr>
                            <w:sz w:val="24"/>
                          </w:rPr>
                        </w:pPr>
                        <w:r>
                          <w:rPr>
                            <w:sz w:val="24"/>
                          </w:rPr>
                          <w:t>THE PEOPLE OF THE STATE OF COLORADO,</w:t>
                        </w:r>
                      </w:p>
                      <w:p>
                        <w:pPr>
                          <w:pStyle w:val="TableParagraph"/>
                          <w:spacing w:line="480" w:lineRule="auto"/>
                          <w:ind w:left="107" w:right="4974"/>
                          <w:rPr>
                            <w:sz w:val="24"/>
                          </w:rPr>
                        </w:pPr>
                        <w:r>
                          <w:rPr>
                            <w:sz w:val="24"/>
                          </w:rPr>
                          <w:t>Plaintiff, v.</w:t>
                        </w:r>
                      </w:p>
                      <w:p>
                        <w:pPr>
                          <w:pStyle w:val="TableParagraph"/>
                          <w:spacing w:line="275" w:lineRule="exact"/>
                          <w:ind w:left="107"/>
                          <w:rPr>
                            <w:sz w:val="24"/>
                          </w:rPr>
                        </w:pPr>
                        <w:r>
                          <w:rPr>
                            <w:sz w:val="24"/>
                          </w:rPr>
                          <w:t>MISHA LAMANNA,</w:t>
                        </w:r>
                      </w:p>
                      <w:p>
                        <w:pPr>
                          <w:pStyle w:val="TableParagraph"/>
                          <w:ind w:left="107"/>
                          <w:rPr>
                            <w:sz w:val="24"/>
                          </w:rPr>
                        </w:pPr>
                        <w:r>
                          <w:rPr>
                            <w:sz w:val="24"/>
                          </w:rPr>
                          <w:t>Defendant.</w:t>
                        </w:r>
                      </w:p>
                    </w:tc>
                    <w:tc>
                      <w:tcPr>
                        <w:tcW w:w="3420" w:type="dxa"/>
                        <w:vMerge/>
                        <w:tcBorders>
                          <w:top w:val="nil"/>
                        </w:tcBorders>
                      </w:tcPr>
                      <w:p>
                        <w:pPr>
                          <w:rPr>
                            <w:sz w:val="2"/>
                            <w:szCs w:val="2"/>
                          </w:rPr>
                        </w:pPr>
                      </w:p>
                    </w:tc>
                  </w:tr>
                  <w:tr>
                    <w:trPr>
                      <w:trHeight w:val="1932" w:hRule="atLeast"/>
                    </w:trPr>
                    <w:tc>
                      <w:tcPr>
                        <w:tcW w:w="5958" w:type="dxa"/>
                      </w:tcPr>
                      <w:p>
                        <w:pPr>
                          <w:pStyle w:val="TableParagraph"/>
                          <w:ind w:left="107" w:right="795"/>
                          <w:rPr>
                            <w:sz w:val="24"/>
                          </w:rPr>
                        </w:pPr>
                        <w:r>
                          <w:rPr>
                            <w:sz w:val="24"/>
                          </w:rPr>
                          <w:t>Douglas K. Wilson, Colorado State Public Defender Reid Rowe #43612</w:t>
                        </w:r>
                      </w:p>
                      <w:p>
                        <w:pPr>
                          <w:pStyle w:val="TableParagraph"/>
                          <w:ind w:left="107"/>
                          <w:rPr>
                            <w:sz w:val="24"/>
                          </w:rPr>
                        </w:pPr>
                        <w:r>
                          <w:rPr>
                            <w:sz w:val="24"/>
                          </w:rPr>
                          <w:t>Deputy Public Defender</w:t>
                        </w:r>
                      </w:p>
                      <w:p>
                        <w:pPr>
                          <w:pStyle w:val="TableParagraph"/>
                          <w:ind w:left="107"/>
                          <w:rPr>
                            <w:sz w:val="24"/>
                          </w:rPr>
                        </w:pPr>
                        <w:r>
                          <w:rPr>
                            <w:sz w:val="24"/>
                          </w:rPr>
                          <w:t>Brighton Regional Public Defenders</w:t>
                        </w:r>
                      </w:p>
                      <w:p>
                        <w:pPr>
                          <w:pStyle w:val="TableParagraph"/>
                          <w:ind w:left="107"/>
                          <w:rPr>
                            <w:sz w:val="24"/>
                          </w:rPr>
                        </w:pPr>
                        <w:r>
                          <w:rPr>
                            <w:sz w:val="24"/>
                          </w:rPr>
                          <w:t>4710 East Bromley Lane, Brighton CO</w:t>
                        </w:r>
                        <w:r>
                          <w:rPr>
                            <w:spacing w:val="58"/>
                            <w:sz w:val="24"/>
                          </w:rPr>
                          <w:t> </w:t>
                        </w:r>
                        <w:r>
                          <w:rPr>
                            <w:sz w:val="24"/>
                          </w:rPr>
                          <w:t>80601</w:t>
                        </w:r>
                      </w:p>
                      <w:p>
                        <w:pPr>
                          <w:pStyle w:val="TableParagraph"/>
                          <w:tabs>
                            <w:tab w:pos="3353" w:val="left" w:leader="none"/>
                          </w:tabs>
                          <w:ind w:left="107"/>
                          <w:rPr>
                            <w:sz w:val="24"/>
                          </w:rPr>
                        </w:pPr>
                        <w:r>
                          <w:rPr>
                            <w:sz w:val="24"/>
                          </w:rPr>
                          <w:t>Phone:</w:t>
                        </w:r>
                        <w:r>
                          <w:rPr>
                            <w:spacing w:val="58"/>
                            <w:sz w:val="24"/>
                          </w:rPr>
                          <w:t> </w:t>
                        </w:r>
                        <w:r>
                          <w:rPr>
                            <w:sz w:val="24"/>
                          </w:rPr>
                          <w:t>(303)</w:t>
                        </w:r>
                        <w:r>
                          <w:rPr>
                            <w:spacing w:val="-1"/>
                            <w:sz w:val="24"/>
                          </w:rPr>
                          <w:t> </w:t>
                        </w:r>
                        <w:r>
                          <w:rPr>
                            <w:sz w:val="24"/>
                          </w:rPr>
                          <w:t>659-4274</w:t>
                          <w:tab/>
                          <w:t>Fax: (303)</w:t>
                        </w:r>
                        <w:r>
                          <w:rPr>
                            <w:spacing w:val="-2"/>
                            <w:sz w:val="24"/>
                          </w:rPr>
                          <w:t> </w:t>
                        </w:r>
                        <w:r>
                          <w:rPr>
                            <w:sz w:val="24"/>
                          </w:rPr>
                          <w:t>659-6935</w:t>
                        </w:r>
                      </w:p>
                      <w:p>
                        <w:pPr>
                          <w:pStyle w:val="TableParagraph"/>
                          <w:spacing w:line="259" w:lineRule="exact"/>
                          <w:ind w:left="107"/>
                          <w:rPr>
                            <w:sz w:val="24"/>
                          </w:rPr>
                        </w:pPr>
                        <w:r>
                          <w:rPr>
                            <w:sz w:val="24"/>
                          </w:rPr>
                          <w:t>E-m</w:t>
                        </w:r>
                        <w:hyperlink r:id="rId5">
                          <w:r>
                            <w:rPr>
                              <w:sz w:val="24"/>
                            </w:rPr>
                            <w:t>ail:</w:t>
                          </w:r>
                          <w:r>
                            <w:rPr>
                              <w:spacing w:val="59"/>
                              <w:sz w:val="24"/>
                            </w:rPr>
                            <w:t> </w:t>
                          </w:r>
                          <w:r>
                            <w:rPr>
                              <w:sz w:val="24"/>
                            </w:rPr>
                            <w:t>brighton.defenders@state.co.us</w:t>
                          </w:r>
                        </w:hyperlink>
                      </w:p>
                    </w:tc>
                    <w:tc>
                      <w:tcPr>
                        <w:tcW w:w="3420" w:type="dxa"/>
                      </w:tcPr>
                      <w:p>
                        <w:pPr>
                          <w:pStyle w:val="TableParagraph"/>
                          <w:spacing w:line="274" w:lineRule="exact"/>
                          <w:ind w:left="107"/>
                          <w:rPr>
                            <w:sz w:val="24"/>
                          </w:rPr>
                        </w:pPr>
                        <w:r>
                          <w:rPr>
                            <w:sz w:val="24"/>
                          </w:rPr>
                          <w:t>Case No.17CR2641</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line="259" w:lineRule="exact" w:before="184"/>
                          <w:ind w:left="107"/>
                          <w:rPr>
                            <w:sz w:val="24"/>
                          </w:rPr>
                        </w:pPr>
                        <w:r>
                          <w:rPr>
                            <w:sz w:val="24"/>
                          </w:rPr>
                          <w:t>Division E</w:t>
                        </w:r>
                      </w:p>
                    </w:tc>
                  </w:tr>
                  <w:tr>
                    <w:trPr>
                      <w:trHeight w:val="1103" w:hRule="atLeast"/>
                    </w:trPr>
                    <w:tc>
                      <w:tcPr>
                        <w:tcW w:w="9378" w:type="dxa"/>
                        <w:gridSpan w:val="2"/>
                      </w:tcPr>
                      <w:p>
                        <w:pPr>
                          <w:pStyle w:val="TableParagraph"/>
                          <w:spacing w:before="10"/>
                          <w:rPr>
                            <w:sz w:val="23"/>
                          </w:rPr>
                        </w:pPr>
                      </w:p>
                      <w:p>
                        <w:pPr>
                          <w:pStyle w:val="TableParagraph"/>
                          <w:ind w:left="1941" w:right="172" w:hanging="1740"/>
                          <w:rPr>
                            <w:b/>
                            <w:sz w:val="24"/>
                          </w:rPr>
                        </w:pPr>
                        <w:r>
                          <w:rPr>
                            <w:b/>
                            <w:sz w:val="24"/>
                          </w:rPr>
                          <w:t>MOTION TO SUPPRESS EVIDENCE AND STATEMENTS RESULTING FROM AN ILLEGAL INVESTIGATORY STOP AND ARREST</w:t>
                        </w:r>
                      </w:p>
                    </w:tc>
                  </w:tr>
                </w:tbl>
                <w:p>
                  <w:pPr>
                    <w:pStyle w:val="BodyText"/>
                  </w:pPr>
                </w:p>
              </w:txbxContent>
            </v:textbox>
            <w10:wrap type="none"/>
          </v:shape>
        </w:pict>
      </w:r>
    </w:p>
    <w:p>
      <w:pPr>
        <w:pStyle w:val="BodyText"/>
        <w:rPr>
          <w:sz w:val="20"/>
        </w:rPr>
      </w:pPr>
    </w:p>
    <w:p>
      <w:pPr>
        <w:pStyle w:val="BodyText"/>
        <w:spacing w:before="2"/>
        <w:rPr>
          <w:sz w:val="26"/>
        </w:rPr>
      </w:pPr>
    </w:p>
    <w:p>
      <w:pPr>
        <w:spacing w:before="92"/>
        <w:ind w:left="6039" w:right="0" w:firstLine="0"/>
        <w:jc w:val="left"/>
        <w:rPr>
          <w:sz w:val="20"/>
        </w:rPr>
      </w:pPr>
      <w:r>
        <w:rPr>
          <w:color w:val="0000FF"/>
          <w:spacing w:val="2"/>
          <w:sz w:val="20"/>
        </w:rPr>
        <w:t>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5"/>
        </w:rPr>
      </w:pPr>
    </w:p>
    <w:p>
      <w:pPr>
        <w:pStyle w:val="BodyText"/>
        <w:ind w:left="219" w:right="296"/>
      </w:pPr>
      <w:r>
        <w:rPr/>
        <w:t>Misha Lamanna, by and through counsel, respectfully requests this Court issue an Order suppressing all evidence, observations, and statements obtained from an unlawful investigatory stop and to preclude the use of this evidence by the prosecution at trial. Mr. Lamanna asserts: this motion:</w:t>
      </w:r>
    </w:p>
    <w:p>
      <w:pPr>
        <w:pStyle w:val="BodyText"/>
      </w:pPr>
    </w:p>
    <w:p>
      <w:pPr>
        <w:pStyle w:val="ListParagraph"/>
        <w:numPr>
          <w:ilvl w:val="0"/>
          <w:numId w:val="2"/>
        </w:numPr>
        <w:tabs>
          <w:tab w:pos="939" w:val="left" w:leader="none"/>
          <w:tab w:pos="940" w:val="left" w:leader="none"/>
        </w:tabs>
        <w:spacing w:line="240" w:lineRule="auto" w:before="0" w:after="0"/>
        <w:ind w:left="940" w:right="239" w:hanging="720"/>
        <w:jc w:val="left"/>
        <w:rPr>
          <w:sz w:val="24"/>
        </w:rPr>
      </w:pPr>
      <w:r>
        <w:rPr>
          <w:sz w:val="24"/>
        </w:rPr>
        <w:t>The Fourth Amendment to the United States Constitution and Article II, Section 7 of the Colorado Constitution guarantee our citizens to be secure against unreasonable seizures by law enforcement</w:t>
      </w:r>
      <w:r>
        <w:rPr>
          <w:spacing w:val="-1"/>
          <w:sz w:val="24"/>
        </w:rPr>
        <w:t> </w:t>
      </w:r>
      <w:r>
        <w:rPr>
          <w:sz w:val="24"/>
        </w:rPr>
        <w:t>authorities.</w:t>
      </w:r>
    </w:p>
    <w:p>
      <w:pPr>
        <w:pStyle w:val="BodyText"/>
      </w:pPr>
    </w:p>
    <w:p>
      <w:pPr>
        <w:pStyle w:val="ListParagraph"/>
        <w:numPr>
          <w:ilvl w:val="0"/>
          <w:numId w:val="2"/>
        </w:numPr>
        <w:tabs>
          <w:tab w:pos="939" w:val="left" w:leader="none"/>
          <w:tab w:pos="940" w:val="left" w:leader="none"/>
        </w:tabs>
        <w:spacing w:line="240" w:lineRule="auto" w:before="0" w:after="0"/>
        <w:ind w:left="940" w:right="163" w:hanging="720"/>
        <w:jc w:val="left"/>
        <w:rPr>
          <w:sz w:val="24"/>
        </w:rPr>
      </w:pPr>
      <w:r>
        <w:rPr>
          <w:sz w:val="24"/>
        </w:rPr>
        <w:t>An investigatory stop is permitted where an officer, lacking probable cause to arrest, reasonably suspects a citizen is committing, has committed, or is about to commit a crime. The officer may require the citizen to provide identification and an explanation</w:t>
      </w:r>
      <w:r>
        <w:rPr>
          <w:spacing w:val="-32"/>
          <w:sz w:val="24"/>
        </w:rPr>
        <w:t> </w:t>
      </w:r>
      <w:r>
        <w:rPr>
          <w:sz w:val="24"/>
        </w:rPr>
        <w:t>of the citizen’s actions. </w:t>
      </w:r>
      <w:r>
        <w:rPr>
          <w:i/>
          <w:sz w:val="24"/>
        </w:rPr>
        <w:t>See Terry v. Ohio</w:t>
      </w:r>
      <w:r>
        <w:rPr>
          <w:sz w:val="24"/>
        </w:rPr>
        <w:t>, 392 U.S. 1 (1968); </w:t>
      </w:r>
      <w:r>
        <w:rPr>
          <w:i/>
          <w:sz w:val="24"/>
        </w:rPr>
        <w:t>Stone v. People</w:t>
      </w:r>
      <w:r>
        <w:rPr>
          <w:sz w:val="24"/>
        </w:rPr>
        <w:t>, 485 P.2d 495 (1971).</w:t>
      </w:r>
    </w:p>
    <w:p>
      <w:pPr>
        <w:pStyle w:val="BodyText"/>
      </w:pPr>
    </w:p>
    <w:p>
      <w:pPr>
        <w:pStyle w:val="ListParagraph"/>
        <w:numPr>
          <w:ilvl w:val="0"/>
          <w:numId w:val="2"/>
        </w:numPr>
        <w:tabs>
          <w:tab w:pos="939" w:val="left" w:leader="none"/>
          <w:tab w:pos="940" w:val="left" w:leader="none"/>
        </w:tabs>
        <w:spacing w:line="240" w:lineRule="auto" w:before="0" w:after="0"/>
        <w:ind w:left="940" w:right="213" w:hanging="720"/>
        <w:jc w:val="left"/>
        <w:rPr>
          <w:sz w:val="24"/>
        </w:rPr>
      </w:pPr>
      <w:r>
        <w:rPr>
          <w:sz w:val="24"/>
        </w:rPr>
        <w:t>Colorado requires three conditions to be satisfied in order justify an investigatory stop of a citizen by a police</w:t>
      </w:r>
      <w:r>
        <w:rPr>
          <w:spacing w:val="-5"/>
          <w:sz w:val="24"/>
        </w:rPr>
        <w:t> </w:t>
      </w:r>
      <w:r>
        <w:rPr>
          <w:sz w:val="24"/>
        </w:rPr>
        <w:t>officer:</w:t>
      </w:r>
    </w:p>
    <w:p>
      <w:pPr>
        <w:pStyle w:val="ListParagraph"/>
        <w:numPr>
          <w:ilvl w:val="1"/>
          <w:numId w:val="2"/>
        </w:numPr>
        <w:tabs>
          <w:tab w:pos="1300" w:val="left" w:leader="none"/>
        </w:tabs>
        <w:spacing w:line="240" w:lineRule="auto" w:before="0" w:after="0"/>
        <w:ind w:left="1300" w:right="261" w:hanging="360"/>
        <w:jc w:val="left"/>
        <w:rPr>
          <w:sz w:val="24"/>
        </w:rPr>
      </w:pPr>
      <w:r>
        <w:rPr>
          <w:sz w:val="24"/>
        </w:rPr>
        <w:t>the officer must have an articulable and specific basis in fact for suspecting criminal activity; there must be some objective manifestation, under the totality of the circumstances, the citizen was, is, or is about to be engaged in some type of</w:t>
      </w:r>
      <w:r>
        <w:rPr>
          <w:spacing w:val="-20"/>
          <w:sz w:val="24"/>
        </w:rPr>
        <w:t> </w:t>
      </w:r>
      <w:r>
        <w:rPr>
          <w:sz w:val="24"/>
        </w:rPr>
        <w:t>criminal activity, </w:t>
      </w:r>
      <w:r>
        <w:rPr>
          <w:i/>
          <w:sz w:val="24"/>
        </w:rPr>
        <w:t>see Outlaw v. People</w:t>
      </w:r>
      <w:r>
        <w:rPr>
          <w:sz w:val="24"/>
        </w:rPr>
        <w:t>, 17 P.3d 150</w:t>
      </w:r>
      <w:r>
        <w:rPr>
          <w:spacing w:val="-9"/>
          <w:sz w:val="24"/>
        </w:rPr>
        <w:t> </w:t>
      </w:r>
      <w:r>
        <w:rPr>
          <w:sz w:val="24"/>
        </w:rPr>
        <w:t>(Colo.2001);</w:t>
      </w:r>
    </w:p>
    <w:p>
      <w:pPr>
        <w:spacing w:after="0" w:line="240" w:lineRule="auto"/>
        <w:jc w:val="left"/>
        <w:rPr>
          <w:sz w:val="24"/>
        </w:rPr>
        <w:sectPr>
          <w:type w:val="continuous"/>
          <w:pgSz w:w="12240" w:h="15840"/>
          <w:pgMar w:top="1440" w:bottom="280" w:left="1220" w:right="1340"/>
        </w:sectPr>
      </w:pPr>
    </w:p>
    <w:p>
      <w:pPr>
        <w:pStyle w:val="ListParagraph"/>
        <w:numPr>
          <w:ilvl w:val="1"/>
          <w:numId w:val="2"/>
        </w:numPr>
        <w:tabs>
          <w:tab w:pos="1300" w:val="left" w:leader="none"/>
        </w:tabs>
        <w:spacing w:line="240" w:lineRule="auto" w:before="76" w:after="0"/>
        <w:ind w:left="1300" w:right="1073" w:hanging="360"/>
        <w:jc w:val="left"/>
        <w:rPr>
          <w:sz w:val="24"/>
        </w:rPr>
      </w:pPr>
      <w:r>
        <w:rPr>
          <w:sz w:val="24"/>
        </w:rPr>
        <w:t>the purpose of the stop must be reasonable, </w:t>
      </w:r>
      <w:r>
        <w:rPr>
          <w:i/>
          <w:sz w:val="24"/>
        </w:rPr>
        <w:t>see People v. Bell</w:t>
      </w:r>
      <w:r>
        <w:rPr>
          <w:sz w:val="24"/>
        </w:rPr>
        <w:t>, 698 P.2d 269 (Colo.1985);</w:t>
      </w:r>
      <w:r>
        <w:rPr>
          <w:spacing w:val="-2"/>
          <w:sz w:val="24"/>
        </w:rPr>
        <w:t> </w:t>
      </w:r>
      <w:r>
        <w:rPr>
          <w:sz w:val="24"/>
        </w:rPr>
        <w:t>and</w:t>
      </w:r>
    </w:p>
    <w:p>
      <w:pPr>
        <w:pStyle w:val="ListParagraph"/>
        <w:numPr>
          <w:ilvl w:val="1"/>
          <w:numId w:val="2"/>
        </w:numPr>
        <w:tabs>
          <w:tab w:pos="1300" w:val="left" w:leader="none"/>
        </w:tabs>
        <w:spacing w:line="240" w:lineRule="auto" w:before="0" w:after="0"/>
        <w:ind w:left="1300" w:right="652" w:hanging="360"/>
        <w:jc w:val="left"/>
        <w:rPr>
          <w:sz w:val="24"/>
        </w:rPr>
      </w:pPr>
      <w:r>
        <w:rPr>
          <w:sz w:val="24"/>
        </w:rPr>
        <w:t>the character and scope of the stop must be reasonably related to its purpose, </w:t>
      </w:r>
      <w:r>
        <w:rPr>
          <w:i/>
          <w:sz w:val="24"/>
        </w:rPr>
        <w:t>see </w:t>
      </w:r>
      <w:r>
        <w:rPr>
          <w:i/>
          <w:sz w:val="24"/>
        </w:rPr>
        <w:t>People v. Rodriguez</w:t>
      </w:r>
      <w:r>
        <w:rPr>
          <w:sz w:val="24"/>
        </w:rPr>
        <w:t>, 945 P.2d 1351</w:t>
      </w:r>
      <w:r>
        <w:rPr>
          <w:spacing w:val="-7"/>
          <w:sz w:val="24"/>
        </w:rPr>
        <w:t> </w:t>
      </w:r>
      <w:r>
        <w:rPr>
          <w:sz w:val="24"/>
        </w:rPr>
        <w:t>(Colo.1997).</w:t>
      </w:r>
    </w:p>
    <w:p>
      <w:pPr>
        <w:pStyle w:val="BodyText"/>
      </w:pPr>
    </w:p>
    <w:p>
      <w:pPr>
        <w:pStyle w:val="ListParagraph"/>
        <w:numPr>
          <w:ilvl w:val="0"/>
          <w:numId w:val="2"/>
        </w:numPr>
        <w:tabs>
          <w:tab w:pos="939" w:val="left" w:leader="none"/>
          <w:tab w:pos="940" w:val="left" w:leader="none"/>
        </w:tabs>
        <w:spacing w:line="240" w:lineRule="auto" w:before="1" w:after="0"/>
        <w:ind w:left="940" w:right="113" w:hanging="720"/>
        <w:jc w:val="left"/>
        <w:rPr>
          <w:sz w:val="24"/>
        </w:rPr>
      </w:pPr>
      <w:r>
        <w:rPr>
          <w:sz w:val="24"/>
        </w:rPr>
        <w:t>Any greater intrusion or detention of the citizen will amount to an arrest that must then be supported by probable cause</w:t>
      </w:r>
      <w:r>
        <w:rPr>
          <w:i/>
          <w:sz w:val="24"/>
        </w:rPr>
        <w:t>. See People v. Davis</w:t>
      </w:r>
      <w:r>
        <w:rPr>
          <w:sz w:val="24"/>
        </w:rPr>
        <w:t>, 903 P.2d 1</w:t>
      </w:r>
      <w:r>
        <w:rPr>
          <w:spacing w:val="-5"/>
          <w:sz w:val="24"/>
        </w:rPr>
        <w:t> </w:t>
      </w:r>
      <w:r>
        <w:rPr>
          <w:sz w:val="24"/>
        </w:rPr>
        <w:t>(Colo.1995).</w:t>
      </w:r>
    </w:p>
    <w:p>
      <w:pPr>
        <w:pStyle w:val="BodyText"/>
        <w:spacing w:before="11"/>
        <w:rPr>
          <w:sz w:val="23"/>
        </w:rPr>
      </w:pPr>
    </w:p>
    <w:p>
      <w:pPr>
        <w:pStyle w:val="ListParagraph"/>
        <w:numPr>
          <w:ilvl w:val="0"/>
          <w:numId w:val="2"/>
        </w:numPr>
        <w:tabs>
          <w:tab w:pos="939" w:val="left" w:leader="none"/>
          <w:tab w:pos="940" w:val="left" w:leader="none"/>
        </w:tabs>
        <w:spacing w:line="240" w:lineRule="auto" w:before="0" w:after="0"/>
        <w:ind w:left="940" w:right="125" w:hanging="720"/>
        <w:jc w:val="left"/>
        <w:rPr>
          <w:sz w:val="24"/>
        </w:rPr>
      </w:pPr>
      <w:r>
        <w:rPr>
          <w:sz w:val="24"/>
        </w:rPr>
        <w:t>In determining whether or not a valid investigatory stop has become an arrest the Court must assess the totality of the circumstances. Important factors the Court should consider are:</w:t>
      </w:r>
    </w:p>
    <w:p>
      <w:pPr>
        <w:pStyle w:val="ListParagraph"/>
        <w:numPr>
          <w:ilvl w:val="1"/>
          <w:numId w:val="2"/>
        </w:numPr>
        <w:tabs>
          <w:tab w:pos="1300" w:val="left" w:leader="none"/>
        </w:tabs>
        <w:spacing w:line="240" w:lineRule="auto" w:before="0" w:after="0"/>
        <w:ind w:left="1300" w:right="0" w:hanging="360"/>
        <w:jc w:val="left"/>
        <w:rPr>
          <w:sz w:val="24"/>
        </w:rPr>
      </w:pPr>
      <w:r>
        <w:rPr>
          <w:sz w:val="24"/>
        </w:rPr>
        <w:t>the length of the detention;</w:t>
      </w:r>
    </w:p>
    <w:p>
      <w:pPr>
        <w:pStyle w:val="ListParagraph"/>
        <w:numPr>
          <w:ilvl w:val="1"/>
          <w:numId w:val="2"/>
        </w:numPr>
        <w:tabs>
          <w:tab w:pos="1300" w:val="left" w:leader="none"/>
        </w:tabs>
        <w:spacing w:line="240" w:lineRule="auto" w:before="0" w:after="0"/>
        <w:ind w:left="1300" w:right="0" w:hanging="360"/>
        <w:jc w:val="left"/>
        <w:rPr>
          <w:sz w:val="24"/>
        </w:rPr>
      </w:pPr>
      <w:r>
        <w:rPr>
          <w:sz w:val="24"/>
        </w:rPr>
        <w:t>whether the officer diligently pursued the</w:t>
      </w:r>
      <w:r>
        <w:rPr>
          <w:spacing w:val="-2"/>
          <w:sz w:val="24"/>
        </w:rPr>
        <w:t> </w:t>
      </w:r>
      <w:r>
        <w:rPr>
          <w:sz w:val="24"/>
        </w:rPr>
        <w:t>investigation;</w:t>
      </w:r>
    </w:p>
    <w:p>
      <w:pPr>
        <w:pStyle w:val="ListParagraph"/>
        <w:numPr>
          <w:ilvl w:val="1"/>
          <w:numId w:val="2"/>
        </w:numPr>
        <w:tabs>
          <w:tab w:pos="1300" w:val="left" w:leader="none"/>
        </w:tabs>
        <w:spacing w:line="240" w:lineRule="auto" w:before="0" w:after="0"/>
        <w:ind w:left="1300" w:right="0" w:hanging="360"/>
        <w:jc w:val="left"/>
        <w:rPr>
          <w:sz w:val="24"/>
        </w:rPr>
      </w:pPr>
      <w:r>
        <w:rPr>
          <w:sz w:val="24"/>
        </w:rPr>
        <w:t>whether the citizen was moved from one location to another;</w:t>
      </w:r>
      <w:r>
        <w:rPr>
          <w:spacing w:val="-9"/>
          <w:sz w:val="24"/>
        </w:rPr>
        <w:t> </w:t>
      </w:r>
      <w:r>
        <w:rPr>
          <w:sz w:val="24"/>
        </w:rPr>
        <w:t>and</w:t>
      </w:r>
    </w:p>
    <w:p>
      <w:pPr>
        <w:pStyle w:val="ListParagraph"/>
        <w:numPr>
          <w:ilvl w:val="1"/>
          <w:numId w:val="2"/>
        </w:numPr>
        <w:tabs>
          <w:tab w:pos="1300" w:val="left" w:leader="none"/>
        </w:tabs>
        <w:spacing w:line="240" w:lineRule="auto" w:before="0" w:after="0"/>
        <w:ind w:left="1300" w:right="320" w:hanging="360"/>
        <w:jc w:val="left"/>
        <w:rPr>
          <w:sz w:val="24"/>
        </w:rPr>
      </w:pPr>
      <w:r>
        <w:rPr>
          <w:sz w:val="24"/>
        </w:rPr>
        <w:t>whether there was an alternative, less intrusive means available and whether the officer unreasonably failed to utilize them. </w:t>
      </w:r>
      <w:r>
        <w:rPr>
          <w:i/>
          <w:sz w:val="24"/>
        </w:rPr>
        <w:t>See People v. Rodriguez</w:t>
      </w:r>
      <w:r>
        <w:rPr>
          <w:sz w:val="24"/>
        </w:rPr>
        <w:t>, 945 P.2d 1351 (Colo.1997).</w:t>
      </w:r>
    </w:p>
    <w:p>
      <w:pPr>
        <w:pStyle w:val="BodyText"/>
      </w:pPr>
    </w:p>
    <w:p>
      <w:pPr>
        <w:pStyle w:val="ListParagraph"/>
        <w:numPr>
          <w:ilvl w:val="0"/>
          <w:numId w:val="2"/>
        </w:numPr>
        <w:tabs>
          <w:tab w:pos="939" w:val="left" w:leader="none"/>
          <w:tab w:pos="940" w:val="left" w:leader="none"/>
        </w:tabs>
        <w:spacing w:line="240" w:lineRule="auto" w:before="0" w:after="0"/>
        <w:ind w:left="940" w:right="374" w:hanging="720"/>
        <w:jc w:val="left"/>
        <w:rPr>
          <w:sz w:val="24"/>
        </w:rPr>
      </w:pPr>
      <w:r>
        <w:rPr>
          <w:sz w:val="24"/>
        </w:rPr>
        <w:t>Misha Lamanna was at a gas station when approached by law enforcement in this case. He was committing no</w:t>
      </w:r>
      <w:r>
        <w:rPr>
          <w:spacing w:val="-1"/>
          <w:sz w:val="24"/>
        </w:rPr>
        <w:t> </w:t>
      </w:r>
      <w:r>
        <w:rPr>
          <w:sz w:val="24"/>
        </w:rPr>
        <w:t>crime.</w:t>
      </w:r>
    </w:p>
    <w:p>
      <w:pPr>
        <w:pStyle w:val="BodyText"/>
      </w:pPr>
    </w:p>
    <w:p>
      <w:pPr>
        <w:pStyle w:val="ListParagraph"/>
        <w:numPr>
          <w:ilvl w:val="0"/>
          <w:numId w:val="2"/>
        </w:numPr>
        <w:tabs>
          <w:tab w:pos="939" w:val="left" w:leader="none"/>
          <w:tab w:pos="940" w:val="left" w:leader="none"/>
        </w:tabs>
        <w:spacing w:line="240" w:lineRule="auto" w:before="0" w:after="0"/>
        <w:ind w:left="940" w:right="356" w:hanging="720"/>
        <w:jc w:val="left"/>
        <w:rPr>
          <w:sz w:val="24"/>
        </w:rPr>
      </w:pPr>
      <w:r>
        <w:rPr>
          <w:sz w:val="24"/>
        </w:rPr>
        <w:t>The officer’s stop of Mr. Lamanna amounted to no more than an unarticulated hunch,</w:t>
      </w:r>
      <w:r>
        <w:rPr>
          <w:spacing w:val="-28"/>
          <w:sz w:val="24"/>
        </w:rPr>
        <w:t> </w:t>
      </w:r>
      <w:r>
        <w:rPr>
          <w:sz w:val="24"/>
        </w:rPr>
        <w:t>a fishing expedition in which Mr. Lamanna was not suspected of so much as a traffic violation. The detention and intrusion were insufficient to support a finding of reasonable suspicion for an investigatory stop. </w:t>
      </w:r>
      <w:r>
        <w:rPr>
          <w:i/>
          <w:sz w:val="24"/>
        </w:rPr>
        <w:t>See United States v. Arvizuu</w:t>
      </w:r>
      <w:r>
        <w:rPr>
          <w:sz w:val="24"/>
        </w:rPr>
        <w:t>, 534 U.S. 266 (2002); </w:t>
      </w:r>
      <w:r>
        <w:rPr>
          <w:i/>
          <w:sz w:val="24"/>
        </w:rPr>
        <w:t>People v. Coca</w:t>
      </w:r>
      <w:r>
        <w:rPr>
          <w:sz w:val="24"/>
        </w:rPr>
        <w:t>, 829 P.2d 385</w:t>
      </w:r>
      <w:r>
        <w:rPr>
          <w:spacing w:val="-3"/>
          <w:sz w:val="24"/>
        </w:rPr>
        <w:t> </w:t>
      </w:r>
      <w:r>
        <w:rPr>
          <w:sz w:val="24"/>
        </w:rPr>
        <w:t>(Colo.1992).</w:t>
      </w:r>
    </w:p>
    <w:p>
      <w:pPr>
        <w:pStyle w:val="BodyText"/>
        <w:spacing w:before="11"/>
        <w:rPr>
          <w:sz w:val="23"/>
        </w:rPr>
      </w:pPr>
    </w:p>
    <w:p>
      <w:pPr>
        <w:pStyle w:val="ListParagraph"/>
        <w:numPr>
          <w:ilvl w:val="0"/>
          <w:numId w:val="2"/>
        </w:numPr>
        <w:tabs>
          <w:tab w:pos="939" w:val="left" w:leader="none"/>
          <w:tab w:pos="940" w:val="left" w:leader="none"/>
        </w:tabs>
        <w:spacing w:line="240" w:lineRule="auto" w:before="0" w:after="0"/>
        <w:ind w:left="940" w:right="247" w:hanging="720"/>
        <w:jc w:val="left"/>
        <w:rPr>
          <w:sz w:val="24"/>
        </w:rPr>
      </w:pPr>
      <w:r>
        <w:rPr>
          <w:sz w:val="24"/>
        </w:rPr>
        <w:t>Even if this Court finds that the interaction between the officers and Mr. Lamanna was a valid investigatory encounter, the detention quickly amounted to an invalid arrest, unsupported by probable</w:t>
      </w:r>
      <w:r>
        <w:rPr>
          <w:spacing w:val="-4"/>
          <w:sz w:val="24"/>
        </w:rPr>
        <w:t> </w:t>
      </w:r>
      <w:r>
        <w:rPr>
          <w:sz w:val="24"/>
        </w:rPr>
        <w:t>cause.</w:t>
      </w:r>
    </w:p>
    <w:p>
      <w:pPr>
        <w:pStyle w:val="BodyText"/>
      </w:pPr>
    </w:p>
    <w:p>
      <w:pPr>
        <w:pStyle w:val="ListParagraph"/>
        <w:numPr>
          <w:ilvl w:val="0"/>
          <w:numId w:val="2"/>
        </w:numPr>
        <w:tabs>
          <w:tab w:pos="939" w:val="left" w:leader="none"/>
          <w:tab w:pos="940" w:val="left" w:leader="none"/>
        </w:tabs>
        <w:spacing w:line="240" w:lineRule="auto" w:before="0" w:after="0"/>
        <w:ind w:left="940" w:right="237" w:hanging="720"/>
        <w:jc w:val="left"/>
        <w:rPr>
          <w:sz w:val="24"/>
        </w:rPr>
      </w:pPr>
      <w:r>
        <w:rPr>
          <w:sz w:val="24"/>
        </w:rPr>
        <w:t>Due to the fact that the stop and subsequent arrest of was not supported by reasonable suspicion nor probable cause, Mr. Lamanna moves for the suppression of all statements, evidence, and observations as fruits of an illegal stop and arrest, and were unconstitutionally obtained in violation of the United States and Colorado Constitutions. </w:t>
      </w:r>
      <w:r>
        <w:rPr>
          <w:i/>
          <w:sz w:val="24"/>
        </w:rPr>
        <w:t>Wong Sun v. U.S.</w:t>
      </w:r>
      <w:r>
        <w:rPr>
          <w:sz w:val="24"/>
        </w:rPr>
        <w:t>, 371 U.S. 471</w:t>
      </w:r>
      <w:r>
        <w:rPr>
          <w:spacing w:val="-4"/>
          <w:sz w:val="24"/>
        </w:rPr>
        <w:t> </w:t>
      </w:r>
      <w:r>
        <w:rPr>
          <w:sz w:val="24"/>
        </w:rPr>
        <w:t>(1962).</w:t>
      </w:r>
    </w:p>
    <w:p>
      <w:pPr>
        <w:pStyle w:val="BodyText"/>
      </w:pPr>
    </w:p>
    <w:p>
      <w:pPr>
        <w:pStyle w:val="BodyText"/>
        <w:ind w:left="220" w:right="261"/>
        <w:jc w:val="both"/>
      </w:pPr>
      <w:r>
        <w:rPr/>
        <w:t>WHEREFORE, Misha Lamanna respectfully requests this Court grant this motion and issue an Order to suppress all evidence, observations, and statements obtained as a result of his unlawful detention and to preclude the prosecution from introducing any of the evidence at trial. Mr.</w:t>
      </w:r>
    </w:p>
    <w:p>
      <w:pPr>
        <w:pStyle w:val="BodyText"/>
        <w:ind w:left="220"/>
      </w:pPr>
      <w:r>
        <w:rPr/>
        <w:t>Lamanna requests that this Court conduct a hearing on this matter.</w:t>
      </w:r>
    </w:p>
    <w:p>
      <w:pPr>
        <w:pStyle w:val="BodyText"/>
        <w:rPr>
          <w:sz w:val="26"/>
        </w:rPr>
      </w:pPr>
    </w:p>
    <w:p>
      <w:pPr>
        <w:pStyle w:val="BodyText"/>
        <w:rPr>
          <w:sz w:val="26"/>
        </w:rPr>
      </w:pPr>
    </w:p>
    <w:p>
      <w:pPr>
        <w:pStyle w:val="BodyText"/>
        <w:rPr>
          <w:sz w:val="26"/>
        </w:rPr>
      </w:pPr>
    </w:p>
    <w:p>
      <w:pPr>
        <w:pStyle w:val="BodyText"/>
        <w:spacing w:before="207"/>
        <w:ind w:left="220"/>
      </w:pPr>
      <w:r>
        <w:rPr/>
        <w:t>Respectfully Submitted,</w:t>
      </w:r>
    </w:p>
    <w:p>
      <w:pPr>
        <w:spacing w:after="0"/>
        <w:sectPr>
          <w:pgSz w:w="12240" w:h="15840"/>
          <w:pgMar w:top="1360" w:bottom="280" w:left="1220" w:right="1340"/>
        </w:sectPr>
      </w:pPr>
    </w:p>
    <w:p>
      <w:pPr>
        <w:pStyle w:val="BodyText"/>
        <w:spacing w:before="7"/>
        <w:rPr>
          <w:sz w:val="10"/>
        </w:rPr>
      </w:pPr>
    </w:p>
    <w:p>
      <w:pPr>
        <w:pStyle w:val="BodyText"/>
        <w:spacing w:before="90"/>
        <w:ind w:left="220"/>
      </w:pPr>
      <w:r>
        <w:rPr/>
        <w:t>DOUGLAS K. WILSON,</w:t>
      </w:r>
    </w:p>
    <w:p>
      <w:pPr>
        <w:pStyle w:val="BodyText"/>
        <w:ind w:left="220"/>
      </w:pPr>
      <w:r>
        <w:rPr/>
        <w:t>COLORADO STATE PUBLIC DEFENDER</w:t>
      </w:r>
    </w:p>
    <w:p>
      <w:pPr>
        <w:pStyle w:val="BodyText"/>
        <w:rPr>
          <w:sz w:val="26"/>
        </w:rPr>
      </w:pPr>
    </w:p>
    <w:p>
      <w:pPr>
        <w:pStyle w:val="BodyText"/>
        <w:rPr>
          <w:sz w:val="22"/>
        </w:rPr>
      </w:pPr>
    </w:p>
    <w:p>
      <w:pPr>
        <w:pStyle w:val="BodyText"/>
        <w:spacing w:before="1"/>
        <w:ind w:left="220"/>
      </w:pPr>
      <w:r>
        <w:rPr/>
        <w:t>/s/ Reid Rowe</w:t>
      </w:r>
    </w:p>
    <w:p>
      <w:pPr>
        <w:pStyle w:val="BodyText"/>
        <w:spacing w:before="1"/>
        <w:rPr>
          <w:sz w:val="23"/>
        </w:rPr>
      </w:pPr>
    </w:p>
    <w:p>
      <w:pPr>
        <w:pStyle w:val="BodyText"/>
        <w:spacing w:line="20" w:lineRule="exact"/>
        <w:ind w:left="215"/>
        <w:rPr>
          <w:sz w:val="2"/>
        </w:rPr>
      </w:pPr>
      <w:r>
        <w:rPr>
          <w:sz w:val="2"/>
        </w:rPr>
        <w:pict>
          <v:group style="width:210pt;height:.5pt;mso-position-horizontal-relative:char;mso-position-vertical-relative:line" coordorigin="0,0" coordsize="4200,10">
            <v:line style="position:absolute" from="0,5" to="4200,5" stroked="true" strokeweight=".48pt" strokecolor="#000000">
              <v:stroke dashstyle="solid"/>
            </v:line>
          </v:group>
        </w:pict>
      </w:r>
      <w:r>
        <w:rPr>
          <w:sz w:val="2"/>
        </w:rPr>
      </w:r>
    </w:p>
    <w:p>
      <w:pPr>
        <w:spacing w:after="0" w:line="20" w:lineRule="exact"/>
        <w:rPr>
          <w:sz w:val="2"/>
        </w:rPr>
        <w:sectPr>
          <w:pgSz w:w="12240" w:h="15840"/>
          <w:pgMar w:top="1500" w:bottom="280" w:left="1220" w:right="1340"/>
        </w:sectPr>
      </w:pPr>
    </w:p>
    <w:p>
      <w:pPr>
        <w:pStyle w:val="BodyText"/>
        <w:ind w:left="220" w:right="20"/>
      </w:pPr>
      <w:r>
        <w:rPr/>
        <w:t>Reid Rowe, No. 43612 Deputy State Public Defender 4710 East Bromley Lane,</w:t>
      </w:r>
    </w:p>
    <w:p>
      <w:pPr>
        <w:pStyle w:val="BodyText"/>
        <w:spacing w:line="262" w:lineRule="exact"/>
        <w:ind w:left="220"/>
      </w:pPr>
      <w:r>
        <w:rPr/>
        <w:t>Brighton CO</w:t>
      </w:r>
      <w:r>
        <w:rPr>
          <w:spacing w:val="58"/>
        </w:rPr>
        <w:t> </w:t>
      </w:r>
      <w:r>
        <w:rPr/>
        <w:t>80601</w:t>
      </w:r>
    </w:p>
    <w:p>
      <w:pPr>
        <w:pStyle w:val="BodyText"/>
        <w:spacing w:line="262" w:lineRule="exact"/>
        <w:ind w:left="220"/>
      </w:pPr>
      <w:r>
        <w:rPr/>
        <w:t>(303) 659-4274</w:t>
      </w:r>
    </w:p>
    <w:p>
      <w:pPr>
        <w:pStyle w:val="BodyText"/>
        <w:spacing w:before="5"/>
        <w:rPr>
          <w:sz w:val="22"/>
        </w:rPr>
      </w:pPr>
    </w:p>
    <w:p>
      <w:pPr>
        <w:pStyle w:val="BodyText"/>
        <w:spacing w:before="1"/>
        <w:ind w:left="220"/>
      </w:pPr>
      <w:r>
        <w:rPr/>
        <w:t>Dated: November 5, 2017</w:t>
      </w:r>
    </w:p>
    <w:p>
      <w:pPr>
        <w:spacing w:line="221" w:lineRule="exact" w:before="0"/>
        <w:ind w:left="1021" w:right="0" w:firstLine="0"/>
        <w:jc w:val="left"/>
        <w:rPr>
          <w:b/>
          <w:sz w:val="20"/>
        </w:rPr>
      </w:pPr>
      <w:r>
        <w:rPr/>
        <w:br w:type="column"/>
      </w:r>
      <w:r>
        <w:rPr>
          <w:b/>
          <w:sz w:val="20"/>
          <w:u w:val="single"/>
        </w:rPr>
        <w:t>Certificate of Service</w:t>
      </w:r>
    </w:p>
    <w:p>
      <w:pPr>
        <w:spacing w:before="0"/>
        <w:ind w:left="220" w:right="198" w:firstLine="0"/>
        <w:jc w:val="both"/>
        <w:rPr>
          <w:sz w:val="20"/>
        </w:rPr>
      </w:pPr>
      <w:r>
        <w:rPr>
          <w:sz w:val="20"/>
        </w:rPr>
        <w:t>I hereby certify that on 11/5/17, I served the foregoing document electronically on opposing counsel.</w:t>
      </w:r>
    </w:p>
    <w:p>
      <w:pPr>
        <w:pStyle w:val="BodyText"/>
        <w:spacing w:before="9"/>
        <w:rPr>
          <w:sz w:val="19"/>
        </w:rPr>
      </w:pPr>
    </w:p>
    <w:p>
      <w:pPr>
        <w:tabs>
          <w:tab w:pos="1621" w:val="left" w:leader="none"/>
          <w:tab w:pos="3455" w:val="left" w:leader="none"/>
        </w:tabs>
        <w:spacing w:before="0"/>
        <w:ind w:left="220" w:right="0" w:firstLine="0"/>
        <w:jc w:val="both"/>
        <w:rPr>
          <w:sz w:val="20"/>
        </w:rPr>
      </w:pPr>
      <w:r>
        <w:rPr>
          <w:w w:val="100"/>
          <w:sz w:val="20"/>
          <w:u w:val="single"/>
        </w:rPr>
        <w:t> </w:t>
      </w:r>
      <w:r>
        <w:rPr>
          <w:sz w:val="20"/>
          <w:u w:val="single"/>
        </w:rPr>
        <w:tab/>
      </w:r>
      <w:r>
        <w:rPr>
          <w:sz w:val="20"/>
        </w:rPr>
        <w:t>/s/ Reid</w:t>
      </w:r>
      <w:r>
        <w:rPr>
          <w:spacing w:val="-8"/>
          <w:sz w:val="20"/>
        </w:rPr>
        <w:t> </w:t>
      </w:r>
      <w:r>
        <w:rPr>
          <w:sz w:val="20"/>
        </w:rPr>
        <w:t>Rowe</w:t>
      </w:r>
      <w:r>
        <w:rPr>
          <w:sz w:val="20"/>
          <w:u w:val="single"/>
        </w:rPr>
        <w:t> </w:t>
        <w:tab/>
      </w:r>
    </w:p>
    <w:sectPr>
      <w:type w:val="continuous"/>
      <w:pgSz w:w="12240" w:h="15840"/>
      <w:pgMar w:top="1440" w:bottom="280" w:left="1220" w:right="1340"/>
      <w:cols w:num="2" w:equalWidth="0">
        <w:col w:w="3133" w:space="2825"/>
        <w:col w:w="372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84" w:hanging="171"/>
      </w:pPr>
      <w:rPr>
        <w:rFonts w:hint="default" w:ascii="Wingdings" w:hAnsi="Wingdings" w:eastAsia="Wingdings" w:cs="Wingdings"/>
        <w:w w:val="100"/>
        <w:sz w:val="24"/>
        <w:szCs w:val="24"/>
      </w:rPr>
    </w:lvl>
    <w:lvl w:ilvl="1">
      <w:start w:val="0"/>
      <w:numFmt w:val="bullet"/>
      <w:lvlText w:val="•"/>
      <w:lvlJc w:val="left"/>
      <w:pPr>
        <w:ind w:left="953" w:hanging="171"/>
      </w:pPr>
      <w:rPr>
        <w:rFonts w:hint="default"/>
      </w:rPr>
    </w:lvl>
    <w:lvl w:ilvl="2">
      <w:start w:val="0"/>
      <w:numFmt w:val="bullet"/>
      <w:lvlText w:val="•"/>
      <w:lvlJc w:val="left"/>
      <w:pPr>
        <w:ind w:left="1226" w:hanging="171"/>
      </w:pPr>
      <w:rPr>
        <w:rFonts w:hint="default"/>
      </w:rPr>
    </w:lvl>
    <w:lvl w:ilvl="3">
      <w:start w:val="0"/>
      <w:numFmt w:val="bullet"/>
      <w:lvlText w:val="•"/>
      <w:lvlJc w:val="left"/>
      <w:pPr>
        <w:ind w:left="1499" w:hanging="171"/>
      </w:pPr>
      <w:rPr>
        <w:rFonts w:hint="default"/>
      </w:rPr>
    </w:lvl>
    <w:lvl w:ilvl="4">
      <w:start w:val="0"/>
      <w:numFmt w:val="bullet"/>
      <w:lvlText w:val="•"/>
      <w:lvlJc w:val="left"/>
      <w:pPr>
        <w:ind w:left="1772" w:hanging="171"/>
      </w:pPr>
      <w:rPr>
        <w:rFonts w:hint="default"/>
      </w:rPr>
    </w:lvl>
    <w:lvl w:ilvl="5">
      <w:start w:val="0"/>
      <w:numFmt w:val="bullet"/>
      <w:lvlText w:val="•"/>
      <w:lvlJc w:val="left"/>
      <w:pPr>
        <w:ind w:left="2045" w:hanging="171"/>
      </w:pPr>
      <w:rPr>
        <w:rFonts w:hint="default"/>
      </w:rPr>
    </w:lvl>
    <w:lvl w:ilvl="6">
      <w:start w:val="0"/>
      <w:numFmt w:val="bullet"/>
      <w:lvlText w:val="•"/>
      <w:lvlJc w:val="left"/>
      <w:pPr>
        <w:ind w:left="2318" w:hanging="171"/>
      </w:pPr>
      <w:rPr>
        <w:rFonts w:hint="default"/>
      </w:rPr>
    </w:lvl>
    <w:lvl w:ilvl="7">
      <w:start w:val="0"/>
      <w:numFmt w:val="bullet"/>
      <w:lvlText w:val="•"/>
      <w:lvlJc w:val="left"/>
      <w:pPr>
        <w:ind w:left="2591" w:hanging="171"/>
      </w:pPr>
      <w:rPr>
        <w:rFonts w:hint="default"/>
      </w:rPr>
    </w:lvl>
    <w:lvl w:ilvl="8">
      <w:start w:val="0"/>
      <w:numFmt w:val="bullet"/>
      <w:lvlText w:val="•"/>
      <w:lvlJc w:val="left"/>
      <w:pPr>
        <w:ind w:left="2864" w:hanging="171"/>
      </w:pPr>
      <w:rPr>
        <w:rFonts w:hint="default"/>
      </w:rPr>
    </w:lvl>
  </w:abstractNum>
  <w:abstractNum w:abstractNumId="1">
    <w:multiLevelType w:val="hybridMultilevel"/>
    <w:lvl w:ilvl="0">
      <w:start w:val="1"/>
      <w:numFmt w:val="decimal"/>
      <w:lvlText w:val="%1."/>
      <w:lvlJc w:val="left"/>
      <w:pPr>
        <w:ind w:left="940" w:hanging="720"/>
        <w:jc w:val="left"/>
      </w:pPr>
      <w:rPr>
        <w:rFonts w:hint="default" w:ascii="Times New Roman" w:hAnsi="Times New Roman" w:eastAsia="Times New Roman" w:cs="Times New Roman"/>
        <w:spacing w:val="-2"/>
        <w:w w:val="99"/>
        <w:sz w:val="24"/>
        <w:szCs w:val="24"/>
      </w:rPr>
    </w:lvl>
    <w:lvl w:ilvl="1">
      <w:start w:val="1"/>
      <w:numFmt w:val="lowerLetter"/>
      <w:lvlText w:val="%2."/>
      <w:lvlJc w:val="left"/>
      <w:pPr>
        <w:ind w:left="1300" w:hanging="36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231" w:hanging="360"/>
      </w:pPr>
      <w:rPr>
        <w:rFonts w:hint="default"/>
      </w:rPr>
    </w:lvl>
    <w:lvl w:ilvl="3">
      <w:start w:val="0"/>
      <w:numFmt w:val="bullet"/>
      <w:lvlText w:val="•"/>
      <w:lvlJc w:val="left"/>
      <w:pPr>
        <w:ind w:left="3162" w:hanging="360"/>
      </w:pPr>
      <w:rPr>
        <w:rFonts w:hint="default"/>
      </w:rPr>
    </w:lvl>
    <w:lvl w:ilvl="4">
      <w:start w:val="0"/>
      <w:numFmt w:val="bullet"/>
      <w:lvlText w:val="•"/>
      <w:lvlJc w:val="left"/>
      <w:pPr>
        <w:ind w:left="4093" w:hanging="360"/>
      </w:pPr>
      <w:rPr>
        <w:rFonts w:hint="default"/>
      </w:rPr>
    </w:lvl>
    <w:lvl w:ilvl="5">
      <w:start w:val="0"/>
      <w:numFmt w:val="bullet"/>
      <w:lvlText w:val="•"/>
      <w:lvlJc w:val="left"/>
      <w:pPr>
        <w:ind w:left="5024" w:hanging="360"/>
      </w:pPr>
      <w:rPr>
        <w:rFonts w:hint="default"/>
      </w:rPr>
    </w:lvl>
    <w:lvl w:ilvl="6">
      <w:start w:val="0"/>
      <w:numFmt w:val="bullet"/>
      <w:lvlText w:val="•"/>
      <w:lvlJc w:val="left"/>
      <w:pPr>
        <w:ind w:left="5955" w:hanging="360"/>
      </w:pPr>
      <w:rPr>
        <w:rFonts w:hint="default"/>
      </w:rPr>
    </w:lvl>
    <w:lvl w:ilvl="7">
      <w:start w:val="0"/>
      <w:numFmt w:val="bullet"/>
      <w:lvlText w:val="•"/>
      <w:lvlJc w:val="left"/>
      <w:pPr>
        <w:ind w:left="6886" w:hanging="360"/>
      </w:pPr>
      <w:rPr>
        <w:rFonts w:hint="default"/>
      </w:rPr>
    </w:lvl>
    <w:lvl w:ilvl="8">
      <w:start w:val="0"/>
      <w:numFmt w:val="bullet"/>
      <w:lvlText w:val="•"/>
      <w:lvlJc w:val="left"/>
      <w:pPr>
        <w:ind w:left="7817"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940" w:hanging="72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righton.defenders@state.co.u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2019-03-22T16:26:11Z</dcterms:created>
  <dcterms:modified xsi:type="dcterms:W3CDTF">2019-03-22T16:26:11Z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2019-03-22T00:00:00Z</vt:filetime>
  </property>
</Properties>
</file>