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827" w:hRule="atLeast"/>
        </w:trPr>
        <w:tc>
          <w:tcPr>
            <w:tcW w:w="5958" w:type="dxa"/>
          </w:tcPr>
          <w:p>
            <w:pPr>
              <w:pStyle w:val="TableParagraph"/>
              <w:ind w:right="1407"/>
              <w:rPr>
                <w:sz w:val="24"/>
              </w:rPr>
            </w:pPr>
            <w:r>
              <w:rPr>
                <w:sz w:val="24"/>
              </w:rPr>
              <w:t>District Court, Adams County, Colorado Court Address: 1100 Judicial Center Drive</w:t>
            </w:r>
          </w:p>
          <w:p>
            <w:pPr>
              <w:pStyle w:val="TableParagraph"/>
              <w:tabs>
                <w:tab w:pos="5552" w:val="left" w:leader="none"/>
              </w:tabs>
              <w:spacing w:line="259" w:lineRule="exact"/>
              <w:ind w:left="1667" w:right="-29"/>
              <w:rPr>
                <w:sz w:val="20"/>
              </w:rPr>
            </w:pPr>
            <w:r>
              <w:rPr>
                <w:sz w:val="24"/>
              </w:rPr>
              <w:t>Brighton, CO,</w:t>
            </w:r>
            <w:r>
              <w:rPr>
                <w:spacing w:val="-1"/>
                <w:sz w:val="24"/>
              </w:rPr>
              <w:t> </w:t>
            </w:r>
            <w:r>
              <w:rPr>
                <w:sz w:val="24"/>
              </w:rPr>
              <w:t>80601</w:t>
              <w:tab/>
            </w:r>
            <w:r>
              <w:rPr>
                <w:color w:val="0000FF"/>
                <w:spacing w:val="-3"/>
                <w:position w:val="-3"/>
                <w:sz w:val="20"/>
              </w:rPr>
              <w:t>DAT</w:t>
            </w:r>
          </w:p>
        </w:tc>
        <w:tc>
          <w:tcPr>
            <w:tcW w:w="3420" w:type="dxa"/>
            <w:vMerge w:val="restart"/>
          </w:tcPr>
          <w:p>
            <w:pPr>
              <w:pStyle w:val="TableParagraph"/>
              <w:ind w:left="0"/>
              <w:rPr>
                <w:sz w:val="22"/>
              </w:rPr>
            </w:pPr>
          </w:p>
          <w:p>
            <w:pPr>
              <w:pStyle w:val="TableParagraph"/>
              <w:ind w:left="0"/>
              <w:rPr>
                <w:sz w:val="22"/>
              </w:rPr>
            </w:pPr>
          </w:p>
          <w:p>
            <w:pPr>
              <w:pStyle w:val="TableParagraph"/>
              <w:spacing w:line="225" w:lineRule="auto" w:before="132"/>
              <w:ind w:left="-31" w:right="47" w:firstLine="42"/>
              <w:rPr>
                <w:sz w:val="20"/>
              </w:rPr>
            </w:pPr>
            <w:r>
              <w:rPr>
                <w:color w:val="0000FF"/>
                <w:sz w:val="20"/>
              </w:rPr>
              <w:t>E FILED: November 5, 2017 8:45 PM NG ID: BC7C7E197AF24</w:t>
            </w:r>
          </w:p>
          <w:p>
            <w:pPr>
              <w:pStyle w:val="TableParagraph"/>
              <w:spacing w:line="218" w:lineRule="exact"/>
              <w:ind w:left="-124"/>
              <w:rPr>
                <w:sz w:val="20"/>
              </w:rPr>
            </w:pPr>
            <w:r>
              <w:rPr>
                <w:color w:val="0000FF"/>
                <w:sz w:val="20"/>
              </w:rPr>
              <w:t>SE NUMBER: 2017CR2641</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numPr>
                <w:ilvl w:val="0"/>
                <w:numId w:val="1"/>
              </w:numPr>
              <w:tabs>
                <w:tab w:pos="685" w:val="left" w:leader="none"/>
              </w:tabs>
              <w:spacing w:line="259" w:lineRule="exact" w:before="189" w:after="0"/>
              <w:ind w:left="684" w:right="0" w:hanging="171"/>
              <w:jc w:val="left"/>
              <w:rPr>
                <w:rFonts w:ascii="Wingdings" w:hAnsi="Wingdings"/>
                <w:sz w:val="24"/>
              </w:rPr>
            </w:pPr>
            <w:r>
              <w:rPr>
                <w:sz w:val="24"/>
              </w:rPr>
              <w:t>COURT USE ONLY</w:t>
            </w:r>
            <w:r>
              <w:rPr>
                <w:spacing w:val="-3"/>
                <w:sz w:val="24"/>
              </w:rPr>
              <w:t> </w:t>
            </w:r>
            <w:r>
              <w:rPr>
                <w:rFonts w:ascii="Wingdings" w:hAnsi="Wingdings"/>
                <w:sz w:val="24"/>
              </w:rPr>
              <w:t></w:t>
            </w:r>
          </w:p>
        </w:tc>
      </w:tr>
      <w:tr>
        <w:trPr>
          <w:trHeight w:val="1931" w:hRule="atLeast"/>
        </w:trPr>
        <w:tc>
          <w:tcPr>
            <w:tcW w:w="5958" w:type="dxa"/>
          </w:tcPr>
          <w:p>
            <w:pPr>
              <w:pStyle w:val="TableParagraph"/>
              <w:tabs>
                <w:tab w:pos="5552" w:val="left" w:leader="none"/>
              </w:tabs>
              <w:spacing w:line="247" w:lineRule="exact"/>
              <w:rPr>
                <w:sz w:val="20"/>
              </w:rPr>
            </w:pPr>
            <w:r>
              <w:rPr>
                <w:sz w:val="24"/>
              </w:rPr>
              <w:t>THE PEOPLE OF THE STATE</w:t>
            </w:r>
            <w:r>
              <w:rPr>
                <w:spacing w:val="-1"/>
                <w:sz w:val="24"/>
              </w:rPr>
              <w:t> </w:t>
            </w:r>
            <w:r>
              <w:rPr>
                <w:sz w:val="24"/>
              </w:rPr>
              <w:t>OF COLORADO,</w:t>
              <w:tab/>
            </w:r>
            <w:r>
              <w:rPr>
                <w:color w:val="0000FF"/>
                <w:position w:val="3"/>
                <w:sz w:val="20"/>
              </w:rPr>
              <w:t>FILI</w:t>
            </w:r>
          </w:p>
          <w:p>
            <w:pPr>
              <w:pStyle w:val="TableParagraph"/>
              <w:tabs>
                <w:tab w:pos="5552" w:val="left" w:leader="none"/>
              </w:tabs>
              <w:spacing w:line="302" w:lineRule="exact"/>
              <w:rPr>
                <w:sz w:val="20"/>
              </w:rPr>
            </w:pPr>
            <w:r>
              <w:rPr>
                <w:sz w:val="24"/>
              </w:rPr>
              <w:t>Plaintiff,</w:t>
              <w:tab/>
            </w:r>
            <w:r>
              <w:rPr>
                <w:color w:val="0000FF"/>
                <w:position w:val="9"/>
                <w:sz w:val="20"/>
              </w:rPr>
              <w:t>CA</w:t>
            </w:r>
          </w:p>
          <w:p>
            <w:pPr>
              <w:pStyle w:val="TableParagraph"/>
              <w:spacing w:before="276"/>
              <w:rPr>
                <w:sz w:val="24"/>
              </w:rPr>
            </w:pPr>
            <w:r>
              <w:rPr>
                <w:sz w:val="24"/>
              </w:rPr>
              <w:t>v.</w:t>
            </w:r>
          </w:p>
          <w:p>
            <w:pPr>
              <w:pStyle w:val="TableParagraph"/>
              <w:ind w:left="0"/>
              <w:rPr>
                <w:sz w:val="24"/>
              </w:rPr>
            </w:pPr>
          </w:p>
          <w:p>
            <w:pPr>
              <w:pStyle w:val="TableParagraph"/>
              <w:spacing w:line="275" w:lineRule="exact"/>
              <w:rPr>
                <w:sz w:val="24"/>
              </w:rPr>
            </w:pPr>
            <w:r>
              <w:rPr>
                <w:sz w:val="24"/>
              </w:rPr>
              <w:t>MISHA LAMANNA,</w:t>
            </w:r>
          </w:p>
          <w:p>
            <w:pPr>
              <w:pStyle w:val="TableParagraph"/>
              <w:spacing w:line="258" w:lineRule="exact"/>
              <w:rPr>
                <w:sz w:val="24"/>
              </w:rPr>
            </w:pPr>
            <w:r>
              <w:rPr>
                <w:sz w:val="24"/>
              </w:rPr>
              <w:t>Defendant.</w:t>
            </w:r>
          </w:p>
        </w:tc>
        <w:tc>
          <w:tcPr>
            <w:tcW w:w="3420" w:type="dxa"/>
            <w:vMerge/>
            <w:tcBorders>
              <w:top w:val="nil"/>
            </w:tcBorders>
          </w:tcPr>
          <w:p>
            <w:pPr>
              <w:rPr>
                <w:sz w:val="2"/>
                <w:szCs w:val="2"/>
              </w:rPr>
            </w:pPr>
          </w:p>
        </w:tc>
      </w:tr>
      <w:tr>
        <w:trPr>
          <w:trHeight w:val="1932" w:hRule="atLeast"/>
        </w:trPr>
        <w:tc>
          <w:tcPr>
            <w:tcW w:w="5958" w:type="dxa"/>
          </w:tcPr>
          <w:p>
            <w:pPr>
              <w:pStyle w:val="TableParagraph"/>
              <w:ind w:right="795"/>
              <w:rPr>
                <w:sz w:val="24"/>
              </w:rPr>
            </w:pPr>
            <w:r>
              <w:rPr>
                <w:sz w:val="24"/>
              </w:rPr>
              <w:t>Douglas K. Wilson, Colorado State Public Defender Reid Rowe #43612</w:t>
            </w:r>
          </w:p>
          <w:p>
            <w:pPr>
              <w:pStyle w:val="TableParagraph"/>
              <w:rPr>
                <w:sz w:val="24"/>
              </w:rPr>
            </w:pPr>
            <w:r>
              <w:rPr>
                <w:sz w:val="24"/>
              </w:rPr>
              <w:t>Deputy Public Defender</w:t>
            </w:r>
          </w:p>
          <w:p>
            <w:pPr>
              <w:pStyle w:val="TableParagraph"/>
              <w:rPr>
                <w:sz w:val="24"/>
              </w:rPr>
            </w:pPr>
            <w:r>
              <w:rPr>
                <w:sz w:val="24"/>
              </w:rPr>
              <w:t>Brighton Regional Public Defenders</w:t>
            </w:r>
          </w:p>
          <w:p>
            <w:pPr>
              <w:pStyle w:val="TableParagraph"/>
              <w:rPr>
                <w:sz w:val="24"/>
              </w:rPr>
            </w:pPr>
            <w:r>
              <w:rPr>
                <w:sz w:val="24"/>
              </w:rPr>
              <w:t>4710 East Bromley Lane, Brighton CO</w:t>
            </w:r>
            <w:r>
              <w:rPr>
                <w:spacing w:val="58"/>
                <w:sz w:val="24"/>
              </w:rPr>
              <w:t> </w:t>
            </w:r>
            <w:r>
              <w:rPr>
                <w:sz w:val="24"/>
              </w:rPr>
              <w:t>80601</w:t>
            </w:r>
          </w:p>
          <w:p>
            <w:pPr>
              <w:pStyle w:val="TableParagraph"/>
              <w:tabs>
                <w:tab w:pos="3353" w:val="left" w:leader="none"/>
              </w:tabs>
              <w:rPr>
                <w:sz w:val="24"/>
              </w:rPr>
            </w:pPr>
            <w:r>
              <w:rPr>
                <w:sz w:val="24"/>
              </w:rPr>
              <w:t>Phone:</w:t>
            </w:r>
            <w:r>
              <w:rPr>
                <w:spacing w:val="58"/>
                <w:sz w:val="24"/>
              </w:rPr>
              <w:t> </w:t>
            </w:r>
            <w:r>
              <w:rPr>
                <w:sz w:val="24"/>
              </w:rPr>
              <w:t>(303)</w:t>
            </w:r>
            <w:r>
              <w:rPr>
                <w:spacing w:val="-1"/>
                <w:sz w:val="24"/>
              </w:rPr>
              <w:t> </w:t>
            </w:r>
            <w:r>
              <w:rPr>
                <w:sz w:val="24"/>
              </w:rPr>
              <w:t>659-4274</w:t>
              <w:tab/>
              <w:t>Fax: (303)</w:t>
            </w:r>
            <w:r>
              <w:rPr>
                <w:spacing w:val="-2"/>
                <w:sz w:val="24"/>
              </w:rPr>
              <w:t> </w:t>
            </w:r>
            <w:r>
              <w:rPr>
                <w:sz w:val="24"/>
              </w:rPr>
              <w:t>659-6935</w:t>
            </w:r>
          </w:p>
          <w:p>
            <w:pPr>
              <w:pStyle w:val="TableParagraph"/>
              <w:spacing w:line="259" w:lineRule="exact"/>
              <w:rPr>
                <w:sz w:val="24"/>
              </w:rPr>
            </w:pPr>
            <w:r>
              <w:rPr>
                <w:sz w:val="24"/>
              </w:rPr>
              <w:t>E-m</w:t>
            </w:r>
            <w:hyperlink r:id="rId5">
              <w:r>
                <w:rPr>
                  <w:sz w:val="24"/>
                </w:rPr>
                <w:t>ail:</w:t>
              </w:r>
              <w:r>
                <w:rPr>
                  <w:spacing w:val="59"/>
                  <w:sz w:val="24"/>
                </w:rPr>
                <w:t> </w:t>
              </w:r>
              <w:r>
                <w:rPr>
                  <w:sz w:val="24"/>
                </w:rPr>
                <w:t>brighton.defenders@state.co.us</w:t>
              </w:r>
            </w:hyperlink>
          </w:p>
        </w:tc>
        <w:tc>
          <w:tcPr>
            <w:tcW w:w="3420" w:type="dxa"/>
          </w:tcPr>
          <w:p>
            <w:pPr>
              <w:pStyle w:val="TableParagraph"/>
              <w:spacing w:line="274" w:lineRule="exact"/>
              <w:rPr>
                <w:sz w:val="24"/>
              </w:rPr>
            </w:pPr>
            <w:r>
              <w:rPr>
                <w:sz w:val="24"/>
              </w:rPr>
              <w:t>Case No. 17CR2641</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line="259" w:lineRule="exact" w:before="184"/>
              <w:rPr>
                <w:sz w:val="24"/>
              </w:rPr>
            </w:pPr>
            <w:r>
              <w:rPr>
                <w:sz w:val="24"/>
              </w:rPr>
              <w:t>Division E</w:t>
            </w:r>
          </w:p>
        </w:tc>
      </w:tr>
      <w:tr>
        <w:trPr>
          <w:trHeight w:val="827" w:hRule="atLeast"/>
        </w:trPr>
        <w:tc>
          <w:tcPr>
            <w:tcW w:w="9378" w:type="dxa"/>
            <w:gridSpan w:val="2"/>
          </w:tcPr>
          <w:p>
            <w:pPr>
              <w:pStyle w:val="TableParagraph"/>
              <w:spacing w:before="10"/>
              <w:ind w:left="0"/>
              <w:rPr>
                <w:sz w:val="23"/>
              </w:rPr>
            </w:pPr>
          </w:p>
          <w:p>
            <w:pPr>
              <w:pStyle w:val="TableParagraph"/>
              <w:spacing w:line="270" w:lineRule="atLeast"/>
              <w:ind w:left="4189" w:right="392" w:hanging="3768"/>
              <w:rPr>
                <w:b/>
                <w:sz w:val="24"/>
              </w:rPr>
            </w:pPr>
            <w:r>
              <w:rPr>
                <w:b/>
                <w:sz w:val="24"/>
              </w:rPr>
              <w:t>MOTION TO SUPPRESS FRUITS OF AN UNLAWFUL AND UNREASONABLE SEARCH</w:t>
            </w:r>
          </w:p>
        </w:tc>
      </w:tr>
    </w:tbl>
    <w:p>
      <w:pPr>
        <w:pStyle w:val="BodyText"/>
        <w:spacing w:before="4"/>
        <w:rPr>
          <w:sz w:val="13"/>
        </w:rPr>
      </w:pPr>
    </w:p>
    <w:p>
      <w:pPr>
        <w:pStyle w:val="BodyText"/>
        <w:spacing w:line="208" w:lineRule="auto" w:before="119"/>
        <w:ind w:left="220" w:right="322" w:firstLine="720"/>
      </w:pPr>
      <w:r>
        <w:rPr/>
        <w:t>Mr. Lamanna moves to suppress any supposed evidence in this or any other proceeding any and all fruits of a warrantless search made in this case. As grounds, he asserts:</w:t>
      </w:r>
    </w:p>
    <w:p>
      <w:pPr>
        <w:pStyle w:val="BodyText"/>
        <w:rPr>
          <w:sz w:val="26"/>
        </w:rPr>
      </w:pPr>
    </w:p>
    <w:p>
      <w:pPr>
        <w:pStyle w:val="ListParagraph"/>
        <w:numPr>
          <w:ilvl w:val="0"/>
          <w:numId w:val="2"/>
        </w:numPr>
        <w:tabs>
          <w:tab w:pos="580" w:val="left" w:leader="none"/>
        </w:tabs>
        <w:spacing w:line="208" w:lineRule="auto" w:before="181" w:after="0"/>
        <w:ind w:left="580" w:right="727" w:hanging="360"/>
        <w:jc w:val="left"/>
        <w:rPr>
          <w:sz w:val="24"/>
        </w:rPr>
      </w:pPr>
      <w:r>
        <w:rPr>
          <w:sz w:val="24"/>
        </w:rPr>
        <w:t>Law enforcement engaged in a search of a car that they claim he had occupied, without permission, without consent, and crucially, without a</w:t>
      </w:r>
      <w:r>
        <w:rPr>
          <w:spacing w:val="-1"/>
          <w:sz w:val="24"/>
        </w:rPr>
        <w:t> </w:t>
      </w:r>
      <w:r>
        <w:rPr>
          <w:sz w:val="24"/>
        </w:rPr>
        <w:t>warrant.</w:t>
      </w:r>
    </w:p>
    <w:p>
      <w:pPr>
        <w:pStyle w:val="BodyText"/>
        <w:spacing w:before="10"/>
        <w:rPr>
          <w:sz w:val="20"/>
        </w:rPr>
      </w:pPr>
    </w:p>
    <w:p>
      <w:pPr>
        <w:pStyle w:val="ListParagraph"/>
        <w:numPr>
          <w:ilvl w:val="0"/>
          <w:numId w:val="2"/>
        </w:numPr>
        <w:tabs>
          <w:tab w:pos="580" w:val="left" w:leader="none"/>
        </w:tabs>
        <w:spacing w:line="208" w:lineRule="auto" w:before="0" w:after="0"/>
        <w:ind w:left="580" w:right="192" w:hanging="360"/>
        <w:jc w:val="left"/>
        <w:rPr>
          <w:sz w:val="24"/>
        </w:rPr>
      </w:pPr>
      <w:r>
        <w:rPr>
          <w:sz w:val="24"/>
        </w:rPr>
        <w:t>Warrantless searches are presumptively unconstitutional. Where evidence is obtained by a warrantless search, it is the burden of the prosecution to justify the warrantless search with a narrow exception to the warrant requirement. </w:t>
      </w:r>
      <w:r>
        <w:rPr>
          <w:sz w:val="24"/>
          <w:u w:val="single"/>
        </w:rPr>
        <w:t>People v. Villiard</w:t>
      </w:r>
      <w:r>
        <w:rPr>
          <w:sz w:val="24"/>
        </w:rPr>
        <w:t>, 679 P.2d 593 (Colo.</w:t>
      </w:r>
      <w:r>
        <w:rPr>
          <w:spacing w:val="-17"/>
          <w:sz w:val="24"/>
        </w:rPr>
        <w:t> </w:t>
      </w:r>
      <w:r>
        <w:rPr>
          <w:sz w:val="24"/>
        </w:rPr>
        <w:t>1984).</w:t>
      </w:r>
    </w:p>
    <w:p>
      <w:pPr>
        <w:pStyle w:val="BodyText"/>
        <w:spacing w:before="9"/>
        <w:rPr>
          <w:sz w:val="19"/>
        </w:rPr>
      </w:pPr>
    </w:p>
    <w:p>
      <w:pPr>
        <w:pStyle w:val="ListParagraph"/>
        <w:numPr>
          <w:ilvl w:val="0"/>
          <w:numId w:val="2"/>
        </w:numPr>
        <w:tabs>
          <w:tab w:pos="580" w:val="left" w:leader="none"/>
          <w:tab w:pos="1772" w:val="left" w:leader="dot"/>
        </w:tabs>
        <w:spacing w:line="240" w:lineRule="auto" w:before="90" w:after="0"/>
        <w:ind w:left="580" w:right="198" w:hanging="360"/>
        <w:jc w:val="left"/>
        <w:rPr>
          <w:sz w:val="24"/>
        </w:rPr>
      </w:pPr>
      <w:r>
        <w:rPr>
          <w:sz w:val="24"/>
        </w:rPr>
        <w:t>The Fourth Amendment of the United States Constitution guarantees the “right of the people to be secure in their persons, houses, papers, and effects, against unreasonable searches and seizures.</w:t>
        <w:tab/>
        <w:t>”</w:t>
      </w:r>
    </w:p>
    <w:p>
      <w:pPr>
        <w:pStyle w:val="BodyText"/>
      </w:pPr>
    </w:p>
    <w:p>
      <w:pPr>
        <w:pStyle w:val="ListParagraph"/>
        <w:numPr>
          <w:ilvl w:val="0"/>
          <w:numId w:val="2"/>
        </w:numPr>
        <w:tabs>
          <w:tab w:pos="580" w:val="left" w:leader="none"/>
        </w:tabs>
        <w:spacing w:line="240" w:lineRule="auto" w:before="0" w:after="0"/>
        <w:ind w:left="580" w:right="318" w:hanging="360"/>
        <w:jc w:val="left"/>
        <w:rPr>
          <w:sz w:val="24"/>
        </w:rPr>
      </w:pPr>
      <w:r>
        <w:rPr>
          <w:sz w:val="24"/>
        </w:rPr>
        <w:t>Article II sect. 7 of the Colorado Constitution provides, “The people shall be secure in their persons, papers, homes and effects, from unreasonable searches and</w:t>
      </w:r>
      <w:r>
        <w:rPr>
          <w:spacing w:val="-4"/>
          <w:sz w:val="24"/>
        </w:rPr>
        <w:t> </w:t>
      </w:r>
      <w:r>
        <w:rPr>
          <w:sz w:val="24"/>
        </w:rPr>
        <w:t>seizures.”</w:t>
      </w:r>
    </w:p>
    <w:p>
      <w:pPr>
        <w:pStyle w:val="BodyText"/>
      </w:pPr>
    </w:p>
    <w:p>
      <w:pPr>
        <w:pStyle w:val="ListParagraph"/>
        <w:numPr>
          <w:ilvl w:val="0"/>
          <w:numId w:val="2"/>
        </w:numPr>
        <w:tabs>
          <w:tab w:pos="580" w:val="left" w:leader="none"/>
        </w:tabs>
        <w:spacing w:line="240" w:lineRule="auto" w:before="0" w:after="0"/>
        <w:ind w:left="580" w:right="305" w:hanging="360"/>
        <w:jc w:val="both"/>
        <w:rPr>
          <w:sz w:val="24"/>
        </w:rPr>
      </w:pPr>
      <w:r>
        <w:rPr>
          <w:sz w:val="24"/>
        </w:rPr>
        <w:t>A “seizure” in the constitutional sense is the “meaningful interference with an individual’s possessory interest” in tangible or intangible property. </w:t>
      </w:r>
      <w:r>
        <w:rPr>
          <w:i/>
          <w:sz w:val="24"/>
        </w:rPr>
        <w:t>United States v. Jacobsen</w:t>
      </w:r>
      <w:r>
        <w:rPr>
          <w:sz w:val="24"/>
        </w:rPr>
        <w:t>, 104 S.Ct 1652 (1984). Or a restraint upon a person’s liberty such that a reasonable person would not have believed that he was free to leave. </w:t>
      </w:r>
      <w:r>
        <w:rPr>
          <w:i/>
          <w:sz w:val="24"/>
        </w:rPr>
        <w:t>Florida v. Royer</w:t>
      </w:r>
      <w:r>
        <w:rPr>
          <w:sz w:val="24"/>
        </w:rPr>
        <w:t>, 103 S.Ct 1319</w:t>
      </w:r>
      <w:r>
        <w:rPr>
          <w:spacing w:val="-15"/>
          <w:sz w:val="24"/>
        </w:rPr>
        <w:t> </w:t>
      </w:r>
      <w:r>
        <w:rPr>
          <w:sz w:val="24"/>
        </w:rPr>
        <w:t>(1983).</w:t>
      </w:r>
    </w:p>
    <w:p>
      <w:pPr>
        <w:pStyle w:val="BodyText"/>
        <w:spacing w:before="10"/>
        <w:rPr>
          <w:sz w:val="23"/>
        </w:rPr>
      </w:pPr>
    </w:p>
    <w:p>
      <w:pPr>
        <w:pStyle w:val="ListParagraph"/>
        <w:numPr>
          <w:ilvl w:val="0"/>
          <w:numId w:val="2"/>
        </w:numPr>
        <w:tabs>
          <w:tab w:pos="580" w:val="left" w:leader="none"/>
        </w:tabs>
        <w:spacing w:line="240" w:lineRule="auto" w:before="0" w:after="0"/>
        <w:ind w:left="580" w:right="622" w:hanging="360"/>
        <w:jc w:val="left"/>
        <w:rPr>
          <w:sz w:val="24"/>
        </w:rPr>
      </w:pPr>
      <w:r>
        <w:rPr>
          <w:sz w:val="24"/>
        </w:rPr>
        <w:t>A “search” implies “a looking for or seeking out that which is otherwise concealed</w:t>
      </w:r>
      <w:r>
        <w:rPr>
          <w:spacing w:val="-22"/>
          <w:sz w:val="24"/>
        </w:rPr>
        <w:t> </w:t>
      </w:r>
      <w:r>
        <w:rPr>
          <w:sz w:val="24"/>
        </w:rPr>
        <w:t>from view.” </w:t>
      </w:r>
      <w:r>
        <w:rPr>
          <w:i/>
          <w:sz w:val="24"/>
        </w:rPr>
        <w:t>People v. Carlson</w:t>
      </w:r>
      <w:r>
        <w:rPr>
          <w:sz w:val="24"/>
        </w:rPr>
        <w:t>, 677 P.2d 310</w:t>
      </w:r>
      <w:r>
        <w:rPr>
          <w:spacing w:val="-2"/>
          <w:sz w:val="24"/>
        </w:rPr>
        <w:t> </w:t>
      </w:r>
      <w:r>
        <w:rPr>
          <w:sz w:val="24"/>
        </w:rPr>
        <w:t>(Colo.1984).</w:t>
      </w:r>
    </w:p>
    <w:p>
      <w:pPr>
        <w:spacing w:after="0" w:line="240" w:lineRule="auto"/>
        <w:jc w:val="left"/>
        <w:rPr>
          <w:sz w:val="24"/>
        </w:rPr>
        <w:sectPr>
          <w:type w:val="continuous"/>
          <w:pgSz w:w="12240" w:h="15840"/>
          <w:pgMar w:top="1440" w:bottom="280" w:left="1220" w:right="1340"/>
        </w:sectPr>
      </w:pPr>
    </w:p>
    <w:p>
      <w:pPr>
        <w:pStyle w:val="BodyText"/>
        <w:spacing w:before="7"/>
        <w:rPr>
          <w:sz w:val="10"/>
        </w:rPr>
      </w:pPr>
    </w:p>
    <w:p>
      <w:pPr>
        <w:pStyle w:val="BodyText"/>
        <w:spacing w:before="90"/>
        <w:ind w:left="219" w:right="217" w:firstLine="720"/>
      </w:pPr>
      <w:r>
        <w:rPr/>
        <w:t>Wherefore, Mr. Lamanna moves to suppress all evidence obtained from an unlawful and unreasonable search under the Fourth, Fifth, Sixth, and Fourteenth Amendments to the United States Constitution, Article II of the Colorado Constitution, the Colorado Revised Statutes, and the Colorado Rules of Criminal Procedure.</w:t>
      </w:r>
    </w:p>
    <w:p>
      <w:pPr>
        <w:pStyle w:val="BodyText"/>
      </w:pPr>
    </w:p>
    <w:p>
      <w:pPr>
        <w:pStyle w:val="BodyText"/>
        <w:spacing w:before="1"/>
        <w:ind w:left="219"/>
      </w:pPr>
      <w:r>
        <w:rPr/>
        <w:t>DOUGLAS K. WILSON,</w:t>
      </w:r>
    </w:p>
    <w:p>
      <w:pPr>
        <w:pStyle w:val="BodyText"/>
        <w:ind w:left="219"/>
      </w:pPr>
      <w:r>
        <w:rPr/>
        <w:t>COLORADO STATE PUBLIC DEFENDER</w:t>
      </w:r>
    </w:p>
    <w:p>
      <w:pPr>
        <w:pStyle w:val="BodyText"/>
        <w:spacing w:before="11"/>
        <w:rPr>
          <w:sz w:val="23"/>
        </w:rPr>
      </w:pPr>
    </w:p>
    <w:p>
      <w:pPr>
        <w:pStyle w:val="BodyText"/>
        <w:ind w:left="219"/>
      </w:pPr>
      <w:r>
        <w:rPr/>
        <w:t>/s/Reid Rowe</w:t>
      </w:r>
    </w:p>
    <w:p>
      <w:pPr>
        <w:pStyle w:val="BodyText"/>
        <w:spacing w:before="2"/>
        <w:rPr>
          <w:sz w:val="23"/>
        </w:rPr>
      </w:pPr>
    </w:p>
    <w:p>
      <w:pPr>
        <w:pStyle w:val="BodyText"/>
        <w:spacing w:line="20" w:lineRule="exact"/>
        <w:ind w:left="215"/>
        <w:rPr>
          <w:sz w:val="2"/>
        </w:rPr>
      </w:pPr>
      <w:r>
        <w:rPr>
          <w:sz w:val="2"/>
        </w:rPr>
        <w:pict>
          <v:group style="width:210pt;height:.5pt;mso-position-horizontal-relative:char;mso-position-vertical-relative:line" coordorigin="0,0" coordsize="4200,10">
            <v:line style="position:absolute" from="0,5" to="4200,5" stroked="true" strokeweight=".48pt" strokecolor="#000000">
              <v:stroke dashstyle="solid"/>
            </v:line>
          </v:group>
        </w:pict>
      </w:r>
      <w:r>
        <w:rPr>
          <w:sz w:val="2"/>
        </w:rPr>
      </w:r>
    </w:p>
    <w:p>
      <w:pPr>
        <w:spacing w:after="0" w:line="20" w:lineRule="exact"/>
        <w:rPr>
          <w:sz w:val="2"/>
        </w:rPr>
        <w:sectPr>
          <w:pgSz w:w="12240" w:h="15840"/>
          <w:pgMar w:top="1500" w:bottom="280" w:left="1220" w:right="1340"/>
        </w:sectPr>
      </w:pPr>
    </w:p>
    <w:p>
      <w:pPr>
        <w:pStyle w:val="BodyText"/>
        <w:spacing w:line="266" w:lineRule="exact"/>
        <w:ind w:left="219"/>
      </w:pPr>
      <w:r>
        <w:rPr/>
        <w:t>Reid Rowe #43612</w:t>
      </w:r>
    </w:p>
    <w:p>
      <w:pPr>
        <w:pStyle w:val="BodyText"/>
        <w:ind w:left="219" w:right="21"/>
      </w:pPr>
      <w:r>
        <w:rPr/>
        <w:t>Deputy State Public Defender 4710 East Bromley Lane,</w:t>
      </w:r>
    </w:p>
    <w:p>
      <w:pPr>
        <w:pStyle w:val="BodyText"/>
        <w:spacing w:line="262" w:lineRule="exact"/>
        <w:ind w:left="219"/>
      </w:pPr>
      <w:r>
        <w:rPr/>
        <w:t>Brighton CO</w:t>
      </w:r>
      <w:r>
        <w:rPr>
          <w:spacing w:val="58"/>
        </w:rPr>
        <w:t> </w:t>
      </w:r>
      <w:r>
        <w:rPr/>
        <w:t>80601</w:t>
      </w:r>
    </w:p>
    <w:p>
      <w:pPr>
        <w:pStyle w:val="BodyText"/>
        <w:spacing w:line="262" w:lineRule="exact"/>
        <w:ind w:left="219"/>
      </w:pPr>
      <w:r>
        <w:rPr/>
        <w:t>(303) 659-4274</w:t>
      </w:r>
    </w:p>
    <w:p>
      <w:pPr>
        <w:pStyle w:val="BodyText"/>
        <w:spacing w:before="4"/>
        <w:rPr>
          <w:sz w:val="23"/>
        </w:rPr>
      </w:pPr>
    </w:p>
    <w:p>
      <w:pPr>
        <w:pStyle w:val="BodyText"/>
        <w:ind w:left="219"/>
      </w:pPr>
      <w:r>
        <w:rPr/>
        <w:t>Dated: November 5, 2017</w:t>
      </w:r>
    </w:p>
    <w:p>
      <w:pPr>
        <w:spacing w:line="221" w:lineRule="exact" w:before="0"/>
        <w:ind w:left="1021" w:right="0" w:firstLine="0"/>
        <w:jc w:val="left"/>
        <w:rPr>
          <w:b/>
          <w:sz w:val="20"/>
        </w:rPr>
      </w:pPr>
      <w:r>
        <w:rPr/>
        <w:br w:type="column"/>
      </w:r>
      <w:r>
        <w:rPr>
          <w:b/>
          <w:sz w:val="20"/>
          <w:u w:val="single"/>
        </w:rPr>
        <w:t>Certificate of Service</w:t>
      </w:r>
    </w:p>
    <w:p>
      <w:pPr>
        <w:spacing w:before="0"/>
        <w:ind w:left="219" w:right="0" w:firstLine="0"/>
        <w:jc w:val="left"/>
        <w:rPr>
          <w:sz w:val="20"/>
        </w:rPr>
      </w:pPr>
      <w:r>
        <w:rPr>
          <w:sz w:val="20"/>
        </w:rPr>
        <w:t>I hereby certify that on _11/5/17, I served the foregoing document via ICCES on opposing counsel.</w:t>
      </w:r>
    </w:p>
    <w:p>
      <w:pPr>
        <w:pStyle w:val="BodyText"/>
        <w:spacing w:before="10"/>
        <w:rPr>
          <w:sz w:val="19"/>
        </w:rPr>
      </w:pPr>
    </w:p>
    <w:p>
      <w:pPr>
        <w:tabs>
          <w:tab w:pos="1820" w:val="left" w:leader="none"/>
          <w:tab w:pos="3302" w:val="left" w:leader="none"/>
        </w:tabs>
        <w:spacing w:before="0"/>
        <w:ind w:left="219" w:right="0" w:firstLine="0"/>
        <w:jc w:val="left"/>
        <w:rPr>
          <w:sz w:val="20"/>
        </w:rPr>
      </w:pPr>
      <w:r>
        <w:rPr>
          <w:w w:val="100"/>
          <w:sz w:val="20"/>
          <w:u w:val="single"/>
        </w:rPr>
        <w:t> </w:t>
      </w:r>
      <w:r>
        <w:rPr>
          <w:sz w:val="20"/>
          <w:u w:val="single"/>
        </w:rPr>
        <w:tab/>
      </w:r>
      <w:r>
        <w:rPr>
          <w:sz w:val="20"/>
        </w:rPr>
        <w:t>/s/Reid</w:t>
      </w:r>
      <w:r>
        <w:rPr>
          <w:spacing w:val="-7"/>
          <w:sz w:val="20"/>
        </w:rPr>
        <w:t> </w:t>
      </w:r>
      <w:r>
        <w:rPr>
          <w:sz w:val="20"/>
        </w:rPr>
        <w:t>Rowe</w:t>
      </w:r>
      <w:r>
        <w:rPr>
          <w:sz w:val="20"/>
          <w:u w:val="single"/>
        </w:rPr>
        <w:t> </w:t>
        <w:tab/>
      </w:r>
    </w:p>
    <w:sectPr>
      <w:type w:val="continuous"/>
      <w:pgSz w:w="12240" w:h="15840"/>
      <w:pgMar w:top="1440" w:bottom="280" w:left="1220" w:right="1340"/>
      <w:cols w:num="2" w:equalWidth="0">
        <w:col w:w="3133" w:space="2825"/>
        <w:col w:w="372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8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490" w:hanging="360"/>
      </w:pPr>
      <w:rPr>
        <w:rFonts w:hint="default"/>
      </w:rPr>
    </w:lvl>
    <w:lvl w:ilvl="2">
      <w:start w:val="0"/>
      <w:numFmt w:val="bullet"/>
      <w:lvlText w:val="•"/>
      <w:lvlJc w:val="left"/>
      <w:pPr>
        <w:ind w:left="2400" w:hanging="360"/>
      </w:pPr>
      <w:rPr>
        <w:rFonts w:hint="default"/>
      </w:rPr>
    </w:lvl>
    <w:lvl w:ilvl="3">
      <w:start w:val="0"/>
      <w:numFmt w:val="bullet"/>
      <w:lvlText w:val="•"/>
      <w:lvlJc w:val="left"/>
      <w:pPr>
        <w:ind w:left="3310" w:hanging="360"/>
      </w:pPr>
      <w:rPr>
        <w:rFonts w:hint="default"/>
      </w:rPr>
    </w:lvl>
    <w:lvl w:ilvl="4">
      <w:start w:val="0"/>
      <w:numFmt w:val="bullet"/>
      <w:lvlText w:val="•"/>
      <w:lvlJc w:val="left"/>
      <w:pPr>
        <w:ind w:left="4220" w:hanging="360"/>
      </w:pPr>
      <w:rPr>
        <w:rFonts w:hint="default"/>
      </w:rPr>
    </w:lvl>
    <w:lvl w:ilvl="5">
      <w:start w:val="0"/>
      <w:numFmt w:val="bullet"/>
      <w:lvlText w:val="•"/>
      <w:lvlJc w:val="left"/>
      <w:pPr>
        <w:ind w:left="5130" w:hanging="360"/>
      </w:pPr>
      <w:rPr>
        <w:rFonts w:hint="default"/>
      </w:rPr>
    </w:lvl>
    <w:lvl w:ilvl="6">
      <w:start w:val="0"/>
      <w:numFmt w:val="bullet"/>
      <w:lvlText w:val="•"/>
      <w:lvlJc w:val="left"/>
      <w:pPr>
        <w:ind w:left="6040" w:hanging="360"/>
      </w:pPr>
      <w:rPr>
        <w:rFonts w:hint="default"/>
      </w:rPr>
    </w:lvl>
    <w:lvl w:ilvl="7">
      <w:start w:val="0"/>
      <w:numFmt w:val="bullet"/>
      <w:lvlText w:val="•"/>
      <w:lvlJc w:val="left"/>
      <w:pPr>
        <w:ind w:left="6950" w:hanging="360"/>
      </w:pPr>
      <w:rPr>
        <w:rFonts w:hint="default"/>
      </w:rPr>
    </w:lvl>
    <w:lvl w:ilvl="8">
      <w:start w:val="0"/>
      <w:numFmt w:val="bullet"/>
      <w:lvlText w:val="•"/>
      <w:lvlJc w:val="left"/>
      <w:pPr>
        <w:ind w:left="7860" w:hanging="360"/>
      </w:pPr>
      <w:rPr>
        <w:rFonts w:hint="default"/>
      </w:rPr>
    </w:lvl>
  </w:abstractNum>
  <w:abstractNum w:abstractNumId="0">
    <w:multiLevelType w:val="hybridMultilevel"/>
    <w:lvl w:ilvl="0">
      <w:start w:val="0"/>
      <w:numFmt w:val="bullet"/>
      <w:lvlText w:val=""/>
      <w:lvlJc w:val="left"/>
      <w:pPr>
        <w:ind w:left="684" w:hanging="171"/>
      </w:pPr>
      <w:rPr>
        <w:rFonts w:hint="default" w:ascii="Wingdings" w:hAnsi="Wingdings" w:eastAsia="Wingdings" w:cs="Wingdings"/>
        <w:w w:val="100"/>
        <w:sz w:val="24"/>
        <w:szCs w:val="24"/>
      </w:rPr>
    </w:lvl>
    <w:lvl w:ilvl="1">
      <w:start w:val="0"/>
      <w:numFmt w:val="bullet"/>
      <w:lvlText w:val="•"/>
      <w:lvlJc w:val="left"/>
      <w:pPr>
        <w:ind w:left="953" w:hanging="171"/>
      </w:pPr>
      <w:rPr>
        <w:rFonts w:hint="default"/>
      </w:rPr>
    </w:lvl>
    <w:lvl w:ilvl="2">
      <w:start w:val="0"/>
      <w:numFmt w:val="bullet"/>
      <w:lvlText w:val="•"/>
      <w:lvlJc w:val="left"/>
      <w:pPr>
        <w:ind w:left="1226" w:hanging="171"/>
      </w:pPr>
      <w:rPr>
        <w:rFonts w:hint="default"/>
      </w:rPr>
    </w:lvl>
    <w:lvl w:ilvl="3">
      <w:start w:val="0"/>
      <w:numFmt w:val="bullet"/>
      <w:lvlText w:val="•"/>
      <w:lvlJc w:val="left"/>
      <w:pPr>
        <w:ind w:left="1499" w:hanging="171"/>
      </w:pPr>
      <w:rPr>
        <w:rFonts w:hint="default"/>
      </w:rPr>
    </w:lvl>
    <w:lvl w:ilvl="4">
      <w:start w:val="0"/>
      <w:numFmt w:val="bullet"/>
      <w:lvlText w:val="•"/>
      <w:lvlJc w:val="left"/>
      <w:pPr>
        <w:ind w:left="1772" w:hanging="171"/>
      </w:pPr>
      <w:rPr>
        <w:rFonts w:hint="default"/>
      </w:rPr>
    </w:lvl>
    <w:lvl w:ilvl="5">
      <w:start w:val="0"/>
      <w:numFmt w:val="bullet"/>
      <w:lvlText w:val="•"/>
      <w:lvlJc w:val="left"/>
      <w:pPr>
        <w:ind w:left="2045" w:hanging="171"/>
      </w:pPr>
      <w:rPr>
        <w:rFonts w:hint="default"/>
      </w:rPr>
    </w:lvl>
    <w:lvl w:ilvl="6">
      <w:start w:val="0"/>
      <w:numFmt w:val="bullet"/>
      <w:lvlText w:val="•"/>
      <w:lvlJc w:val="left"/>
      <w:pPr>
        <w:ind w:left="2318" w:hanging="171"/>
      </w:pPr>
      <w:rPr>
        <w:rFonts w:hint="default"/>
      </w:rPr>
    </w:lvl>
    <w:lvl w:ilvl="7">
      <w:start w:val="0"/>
      <w:numFmt w:val="bullet"/>
      <w:lvlText w:val="•"/>
      <w:lvlJc w:val="left"/>
      <w:pPr>
        <w:ind w:left="2591" w:hanging="171"/>
      </w:pPr>
      <w:rPr>
        <w:rFonts w:hint="default"/>
      </w:rPr>
    </w:lvl>
    <w:lvl w:ilvl="8">
      <w:start w:val="0"/>
      <w:numFmt w:val="bullet"/>
      <w:lvlText w:val="•"/>
      <w:lvlJc w:val="left"/>
      <w:pPr>
        <w:ind w:left="2864"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580" w:right="192" w:hanging="36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righton.defenders@state.co.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2019-03-22T16:26:41Z</dcterms:created>
  <dcterms:modified xsi:type="dcterms:W3CDTF">2019-03-22T16:26:41Z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2019-03-22T00:00:00Z</vt:filetime>
  </property>
</Properties>
</file>