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445" w:val="left" w:leader="none"/>
              </w:tabs>
              <w:spacing w:line="249" w:lineRule="exact" w:before="1"/>
              <w:ind w:left="107" w:right="-44"/>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DATE</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41" w:right="329" w:firstLine="242"/>
              <w:rPr>
                <w:rFonts w:ascii="Times New Roman"/>
                <w:sz w:val="20"/>
              </w:rPr>
            </w:pPr>
            <w:r>
              <w:rPr>
                <w:rFonts w:ascii="Times New Roman"/>
                <w:color w:val="0000FF"/>
                <w:sz w:val="20"/>
              </w:rPr>
              <w:t>FILED: October 3, 2017 3:46 PM NG ID: 29C91C6351460</w:t>
            </w:r>
          </w:p>
          <w:p>
            <w:pPr>
              <w:pStyle w:val="TableParagraph"/>
              <w:spacing w:line="218" w:lineRule="exact"/>
              <w:ind w:left="80"/>
              <w:rPr>
                <w:rFonts w:ascii="Times New Roman"/>
                <w:sz w:val="20"/>
              </w:rPr>
            </w:pPr>
            <w:r>
              <w:rPr>
                <w:rFonts w:ascii="Times New Roman"/>
                <w:color w:val="0000FF"/>
                <w:sz w:val="20"/>
              </w:rPr>
              <w:t>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1"/>
              </w:numPr>
              <w:tabs>
                <w:tab w:pos="689" w:val="left" w:leader="none"/>
              </w:tabs>
              <w:spacing w:line="258" w:lineRule="exact" w:before="131" w:after="0"/>
              <w:ind w:left="688" w:right="0" w:hanging="170"/>
              <w:jc w:val="left"/>
              <w:rPr>
                <w:rFonts w:ascii="Wingdings" w:hAnsi="Wingdings"/>
                <w:sz w:val="24"/>
              </w:rPr>
            </w:pPr>
            <w:r>
              <w:rPr>
                <w:sz w:val="24"/>
              </w:rPr>
              <w:t>COURT USE ONLY</w:t>
            </w:r>
            <w:r>
              <w:rPr>
                <w:spacing w:val="-1"/>
                <w:sz w:val="24"/>
              </w:rPr>
              <w:t> </w:t>
            </w:r>
            <w:r>
              <w:rPr>
                <w:rFonts w:ascii="Wingdings" w:hAnsi="Wingdings"/>
                <w:sz w:val="24"/>
              </w:rPr>
              <w:t></w:t>
            </w:r>
          </w:p>
        </w:tc>
      </w:tr>
      <w:tr>
        <w:trPr>
          <w:trHeight w:val="1888" w:hRule="atLeast"/>
        </w:trPr>
        <w:tc>
          <w:tcPr>
            <w:tcW w:w="5960" w:type="dxa"/>
          </w:tcPr>
          <w:p>
            <w:pPr>
              <w:pStyle w:val="TableParagraph"/>
              <w:spacing w:line="254" w:lineRule="exact" w:before="2"/>
              <w:ind w:left="107"/>
              <w:rPr>
                <w:rFonts w:ascii="Times New Roman"/>
                <w:sz w:val="20"/>
              </w:rPr>
            </w:pPr>
            <w:r>
              <w:rPr>
                <w:b/>
                <w:sz w:val="24"/>
              </w:rPr>
              <w:t>THE PEOPLE OF THE STATE OF COLORADO</w:t>
            </w:r>
            <w:r>
              <w:rPr>
                <w:sz w:val="24"/>
              </w:rPr>
              <w:t>,</w:t>
            </w:r>
            <w:r>
              <w:rPr>
                <w:rFonts w:ascii="Times New Roman"/>
                <w:color w:val="0000FF"/>
                <w:sz w:val="20"/>
              </w:rPr>
              <w:t>FILI</w:t>
            </w:r>
          </w:p>
          <w:p>
            <w:pPr>
              <w:pStyle w:val="TableParagraph"/>
              <w:tabs>
                <w:tab w:pos="5445" w:val="left" w:leader="none"/>
              </w:tabs>
              <w:spacing w:line="284" w:lineRule="exact"/>
              <w:ind w:left="107" w:right="-29"/>
              <w:rPr>
                <w:rFonts w:ascii="Times New Roman"/>
                <w:sz w:val="20"/>
              </w:rPr>
            </w:pPr>
            <w:r>
              <w:rPr>
                <w:sz w:val="24"/>
              </w:rPr>
              <w:t>Plaintiff</w:t>
              <w:tab/>
            </w:r>
            <w:r>
              <w:rPr>
                <w:rFonts w:ascii="Times New Roman"/>
                <w:color w:val="0000FF"/>
                <w:position w:val="5"/>
                <w:sz w:val="20"/>
              </w:rPr>
              <w:t>CASE</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b/>
                <w:sz w:val="24"/>
              </w:rPr>
              <w:t>ANGELA INGA</w:t>
            </w:r>
            <w:r>
              <w:rPr>
                <w:sz w:val="24"/>
              </w:rPr>
              <w:t>,</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1891" w:hRule="atLeast"/>
        </w:trPr>
        <w:tc>
          <w:tcPr>
            <w:tcW w:w="5960" w:type="dxa"/>
          </w:tcPr>
          <w:p>
            <w:pPr>
              <w:pStyle w:val="TableParagraph"/>
              <w:spacing w:before="1"/>
              <w:ind w:left="107"/>
              <w:rPr>
                <w:sz w:val="24"/>
              </w:rPr>
            </w:pPr>
            <w:r>
              <w:rPr>
                <w:sz w:val="24"/>
              </w:rPr>
              <w:t>Katie Telfer, #41720</w:t>
            </w:r>
          </w:p>
          <w:p>
            <w:pPr>
              <w:pStyle w:val="TableParagraph"/>
              <w:spacing w:line="269" w:lineRule="exact" w:before="2"/>
              <w:ind w:left="107"/>
              <w:rPr>
                <w:sz w:val="24"/>
              </w:rPr>
            </w:pPr>
            <w:r>
              <w:rPr>
                <w:sz w:val="24"/>
              </w:rPr>
              <w:t>Deputy State Public Defender</w:t>
            </w:r>
          </w:p>
          <w:p>
            <w:pPr>
              <w:pStyle w:val="TableParagraph"/>
              <w:ind w:left="107" w:right="958"/>
              <w:rPr>
                <w:sz w:val="24"/>
              </w:rPr>
            </w:pPr>
            <w:r>
              <w:rPr>
                <w:sz w:val="24"/>
              </w:rPr>
              <w:t>Douglas K. Wilson, Colorado State Public Defender Arapahoe County Public Defenders</w:t>
            </w:r>
          </w:p>
          <w:p>
            <w:pPr>
              <w:pStyle w:val="TableParagraph"/>
              <w:tabs>
                <w:tab w:pos="3428" w:val="left" w:leader="none"/>
                <w:tab w:pos="4071" w:val="left" w:leader="none"/>
              </w:tabs>
              <w:ind w:left="107" w:right="398"/>
              <w:rPr>
                <w:sz w:val="24"/>
              </w:rPr>
            </w:pPr>
            <w:r>
              <w:rPr>
                <w:sz w:val="24"/>
              </w:rPr>
              <w:t>12350 E. Arapahoe Road, Suite A, Centennial, CO 80112 Phone</w:t>
            </w:r>
            <w:r>
              <w:rPr>
                <w:spacing w:val="-3"/>
                <w:sz w:val="24"/>
              </w:rPr>
              <w:t> </w:t>
            </w:r>
            <w:r>
              <w:rPr>
                <w:sz w:val="24"/>
              </w:rPr>
              <w:t>(303)</w:t>
            </w:r>
            <w:r>
              <w:rPr>
                <w:spacing w:val="-1"/>
                <w:sz w:val="24"/>
              </w:rPr>
              <w:t> </w:t>
            </w:r>
            <w:r>
              <w:rPr>
                <w:sz w:val="24"/>
              </w:rPr>
              <w:t>799-9001</w:t>
              <w:tab/>
              <w:t>Fax</w:t>
              <w:tab/>
              <w:t>(303)</w:t>
            </w:r>
            <w:r>
              <w:rPr>
                <w:spacing w:val="-1"/>
                <w:sz w:val="24"/>
              </w:rPr>
              <w:t> </w:t>
            </w:r>
            <w:r>
              <w:rPr>
                <w:sz w:val="24"/>
              </w:rPr>
              <w:t>792-0822</w:t>
            </w:r>
          </w:p>
          <w:p>
            <w:pPr>
              <w:pStyle w:val="TableParagraph"/>
              <w:spacing w:line="249" w:lineRule="exact"/>
              <w:ind w:left="107"/>
              <w:rPr>
                <w:sz w:val="24"/>
              </w:rPr>
            </w:pPr>
            <w:r>
              <w:rPr>
                <w:sz w:val="24"/>
              </w:rPr>
              <w:t>E-</w:t>
            </w:r>
            <w:hyperlink r:id="rId5">
              <w:r>
                <w:rPr>
                  <w:sz w:val="24"/>
                </w:rPr>
                <w:t>mail:</w:t>
              </w:r>
              <w:r>
                <w:rPr>
                  <w:spacing w:val="59"/>
                  <w:sz w:val="24"/>
                </w:rPr>
                <w:t> </w:t>
              </w:r>
              <w:r>
                <w:rPr>
                  <w:sz w:val="24"/>
                </w:rPr>
                <w:t>katie.telfer@coloradodefenders.us</w:t>
              </w:r>
            </w:hyperlink>
          </w:p>
        </w:tc>
        <w:tc>
          <w:tcPr>
            <w:tcW w:w="3420" w:type="dxa"/>
          </w:tcPr>
          <w:p>
            <w:pPr>
              <w:pStyle w:val="TableParagraph"/>
              <w:spacing w:before="1"/>
              <w:ind w:left="105"/>
              <w:rPr>
                <w:b/>
                <w:sz w:val="24"/>
              </w:rPr>
            </w:pPr>
            <w:r>
              <w:rPr>
                <w:sz w:val="24"/>
              </w:rPr>
              <w:t>Case No.: </w:t>
            </w:r>
            <w:r>
              <w:rPr>
                <w:b/>
                <w:sz w:val="24"/>
              </w:rPr>
              <w:t>2017CR988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line="249" w:lineRule="exact" w:before="155"/>
              <w:ind w:left="105"/>
              <w:rPr>
                <w:b/>
                <w:sz w:val="24"/>
              </w:rPr>
            </w:pPr>
            <w:r>
              <w:rPr>
                <w:sz w:val="24"/>
              </w:rPr>
              <w:t>Division:</w:t>
            </w:r>
            <w:r>
              <w:rPr>
                <w:spacing w:val="59"/>
                <w:sz w:val="24"/>
              </w:rPr>
              <w:t> </w:t>
            </w:r>
            <w:r>
              <w:rPr>
                <w:b/>
                <w:sz w:val="24"/>
              </w:rPr>
              <w:t>309</w:t>
            </w:r>
          </w:p>
        </w:tc>
      </w:tr>
      <w:tr>
        <w:trPr>
          <w:trHeight w:val="1619" w:hRule="atLeast"/>
        </w:trPr>
        <w:tc>
          <w:tcPr>
            <w:tcW w:w="9380" w:type="dxa"/>
            <w:gridSpan w:val="2"/>
          </w:tcPr>
          <w:p>
            <w:pPr>
              <w:pStyle w:val="TableParagraph"/>
              <w:spacing w:before="6"/>
              <w:rPr>
                <w:rFonts w:ascii="Times New Roman"/>
                <w:sz w:val="23"/>
              </w:rPr>
            </w:pPr>
          </w:p>
          <w:p>
            <w:pPr>
              <w:pStyle w:val="TableParagraph"/>
              <w:ind w:left="179" w:right="171"/>
              <w:jc w:val="center"/>
              <w:rPr>
                <w:b/>
                <w:sz w:val="24"/>
              </w:rPr>
            </w:pPr>
            <w:r>
              <w:rPr>
                <w:b/>
                <w:sz w:val="24"/>
              </w:rPr>
              <w:t>DEFENSE MOTION #4:</w:t>
            </w:r>
          </w:p>
          <w:p>
            <w:pPr>
              <w:pStyle w:val="TableParagraph"/>
              <w:spacing w:before="1"/>
              <w:ind w:left="179" w:right="172"/>
              <w:jc w:val="center"/>
              <w:rPr>
                <w:b/>
                <w:sz w:val="24"/>
              </w:rPr>
            </w:pPr>
            <w:r>
              <w:rPr>
                <w:b/>
                <w:sz w:val="24"/>
              </w:rPr>
              <w:t>NOTICE REGARDING IN-PERSON TESTIMONY RELATING TO LABORATORY ANALYSIS AND OTHER SCIENTIFIC TESTING</w:t>
            </w:r>
          </w:p>
        </w:tc>
      </w:tr>
    </w:tbl>
    <w:p>
      <w:pPr>
        <w:pStyle w:val="BodyText"/>
        <w:spacing w:before="9"/>
        <w:rPr>
          <w:rFonts w:ascii="Times New Roman"/>
          <w:sz w:val="14"/>
        </w:rPr>
      </w:pPr>
    </w:p>
    <w:p>
      <w:pPr>
        <w:pStyle w:val="BodyText"/>
        <w:spacing w:before="100"/>
        <w:ind w:left="1020"/>
      </w:pPr>
      <w:r>
        <w:rPr/>
        <w:t>Ms. Inga, through counsel, respectfully requests, pursuant to § 16-3-309(5), 8A</w:t>
      </w:r>
    </w:p>
    <w:p>
      <w:pPr>
        <w:pStyle w:val="BodyText"/>
        <w:spacing w:before="2"/>
        <w:ind w:left="300" w:right="918"/>
        <w:jc w:val="both"/>
      </w:pPr>
      <w:r>
        <w:rPr/>
        <w:t>C.R.S. (1986) and </w:t>
      </w:r>
      <w:r>
        <w:rPr>
          <w:u w:val="single"/>
        </w:rPr>
        <w:t>Melendez-Diaz v. Massachusetts</w:t>
      </w:r>
      <w:r>
        <w:rPr/>
        <w:t>, that any employee or technician of any laboratory that reviewed evidence that the prosecution seeks to introduce in trial be required to testify in person at any trial or proceeding in this case where the prosecution seeks to introduce the evidence.</w:t>
      </w:r>
    </w:p>
    <w:p>
      <w:pPr>
        <w:pStyle w:val="BodyText"/>
        <w:spacing w:before="10"/>
        <w:rPr>
          <w:sz w:val="23"/>
        </w:rPr>
      </w:pPr>
    </w:p>
    <w:p>
      <w:pPr>
        <w:pStyle w:val="BodyText"/>
        <w:ind w:left="1020"/>
      </w:pPr>
      <w:r>
        <w:rPr/>
        <w:t>AS GROUNDS, Ms. Inga asserts:</w:t>
      </w:r>
    </w:p>
    <w:p>
      <w:pPr>
        <w:pStyle w:val="BodyText"/>
      </w:pPr>
    </w:p>
    <w:p>
      <w:pPr>
        <w:pStyle w:val="ListParagraph"/>
        <w:numPr>
          <w:ilvl w:val="2"/>
          <w:numId w:val="2"/>
        </w:numPr>
        <w:tabs>
          <w:tab w:pos="1741" w:val="left" w:leader="none"/>
        </w:tabs>
        <w:spacing w:line="240" w:lineRule="auto" w:before="0" w:after="0"/>
        <w:ind w:left="300" w:right="917" w:firstLine="720"/>
        <w:jc w:val="both"/>
        <w:rPr>
          <w:sz w:val="24"/>
        </w:rPr>
      </w:pPr>
      <w:r>
        <w:rPr>
          <w:sz w:val="24"/>
        </w:rPr>
        <w:t>Under § 16-3-309(5), 8A C.R.S. (1986), a criminal defendant may require that the prosecution present any laboratory employee or technician that reviewed or processed evidence as a prerequisite to the admission of a report of the</w:t>
      </w:r>
      <w:r>
        <w:rPr>
          <w:spacing w:val="-20"/>
          <w:sz w:val="24"/>
        </w:rPr>
        <w:t> </w:t>
      </w:r>
      <w:r>
        <w:rPr>
          <w:sz w:val="24"/>
        </w:rPr>
        <w:t>laboratory.</w:t>
      </w:r>
    </w:p>
    <w:p>
      <w:pPr>
        <w:pStyle w:val="BodyText"/>
      </w:pPr>
    </w:p>
    <w:p>
      <w:pPr>
        <w:pStyle w:val="ListParagraph"/>
        <w:numPr>
          <w:ilvl w:val="2"/>
          <w:numId w:val="2"/>
        </w:numPr>
        <w:tabs>
          <w:tab w:pos="1741" w:val="left" w:leader="none"/>
        </w:tabs>
        <w:spacing w:line="240" w:lineRule="auto" w:before="0" w:after="0"/>
        <w:ind w:left="300" w:right="918" w:firstLine="720"/>
        <w:jc w:val="both"/>
        <w:rPr>
          <w:sz w:val="24"/>
        </w:rPr>
      </w:pPr>
      <w:r>
        <w:rPr>
          <w:sz w:val="24"/>
        </w:rPr>
        <w:t>The presence of a witness with personal knowledge about the handling and testing of evidence submitted to a laboratory is required under the Colorado and Federal Constitutions as well as the Colorado Rules of Evidence. </w:t>
      </w:r>
      <w:r>
        <w:rPr>
          <w:sz w:val="24"/>
          <w:u w:val="single"/>
        </w:rPr>
        <w:t>U.S. Const.</w:t>
      </w:r>
      <w:r>
        <w:rPr>
          <w:sz w:val="24"/>
        </w:rPr>
        <w:t>, amends. V, VI, XIV;</w:t>
      </w:r>
      <w:r>
        <w:rPr>
          <w:sz w:val="24"/>
          <w:u w:val="single"/>
        </w:rPr>
        <w:t> Colo. Const.</w:t>
      </w:r>
      <w:r>
        <w:rPr>
          <w:sz w:val="24"/>
        </w:rPr>
        <w:t>, art. II, §§ 16, 18, 25; </w:t>
      </w:r>
      <w:r>
        <w:rPr>
          <w:sz w:val="24"/>
          <w:u w:val="single"/>
        </w:rPr>
        <w:t>see also</w:t>
      </w:r>
      <w:r>
        <w:rPr>
          <w:sz w:val="24"/>
        </w:rPr>
        <w:t> CRE</w:t>
      </w:r>
      <w:r>
        <w:rPr>
          <w:spacing w:val="-3"/>
          <w:sz w:val="24"/>
        </w:rPr>
        <w:t> </w:t>
      </w:r>
      <w:r>
        <w:rPr>
          <w:sz w:val="24"/>
        </w:rPr>
        <w:t>602.</w:t>
      </w:r>
    </w:p>
    <w:p>
      <w:pPr>
        <w:pStyle w:val="BodyText"/>
        <w:spacing w:before="2"/>
      </w:pPr>
    </w:p>
    <w:p>
      <w:pPr>
        <w:pStyle w:val="ListParagraph"/>
        <w:numPr>
          <w:ilvl w:val="2"/>
          <w:numId w:val="2"/>
        </w:numPr>
        <w:tabs>
          <w:tab w:pos="1740" w:val="left" w:leader="none"/>
          <w:tab w:pos="1741" w:val="left" w:leader="none"/>
        </w:tabs>
        <w:spacing w:line="240" w:lineRule="auto" w:before="0" w:after="0"/>
        <w:ind w:left="300" w:right="1081" w:firstLine="720"/>
        <w:jc w:val="left"/>
        <w:rPr>
          <w:sz w:val="24"/>
        </w:rPr>
      </w:pPr>
      <w:r>
        <w:rPr>
          <w:sz w:val="24"/>
        </w:rPr>
        <w:t>Ms. Inga’s Federal and State Constitutional confrontation rights to also require the in-person, live testimony of any laboratory employee, analyst, or technician who reviewed evidence or issued conclusions the prosecution will attempt to admit at trial.</w:t>
      </w:r>
      <w:r>
        <w:rPr>
          <w:sz w:val="24"/>
          <w:u w:val="single"/>
        </w:rPr>
        <w:t> Melendez-Diaz v. Massachusetts</w:t>
      </w:r>
      <w:r>
        <w:rPr>
          <w:sz w:val="24"/>
        </w:rPr>
        <w:t>, 129 S.Ct. 2527 (2009) (lab analysts affidavits are testimonial statements covered by Confrontation Clause, lab analysts called by</w:t>
      </w:r>
      <w:r>
        <w:rPr>
          <w:spacing w:val="-16"/>
          <w:sz w:val="24"/>
        </w:rPr>
        <w:t> </w:t>
      </w:r>
      <w:r>
        <w:rPr>
          <w:sz w:val="24"/>
        </w:rPr>
        <w:t>the</w:t>
      </w:r>
    </w:p>
    <w:p>
      <w:pPr>
        <w:pStyle w:val="BodyText"/>
        <w:spacing w:line="269" w:lineRule="exact"/>
        <w:ind w:left="300"/>
        <w:jc w:val="both"/>
      </w:pPr>
      <w:r>
        <w:rPr/>
        <w:t>prosecution are “accusatory” witnesses, certificates of lab analysis are not exempt from</w:t>
      </w:r>
    </w:p>
    <w:p>
      <w:pPr>
        <w:spacing w:after="0" w:line="269" w:lineRule="exact"/>
        <w:jc w:val="both"/>
        <w:sectPr>
          <w:type w:val="continuous"/>
          <w:pgSz w:w="12240" w:h="15840"/>
          <w:pgMar w:top="1440" w:bottom="280" w:left="1500" w:right="880"/>
        </w:sectPr>
      </w:pPr>
    </w:p>
    <w:p>
      <w:pPr>
        <w:pStyle w:val="BodyText"/>
        <w:spacing w:before="82"/>
        <w:ind w:left="300" w:right="1106"/>
      </w:pPr>
      <w:r>
        <w:rPr/>
        <w:pict>
          <v:line style="position:absolute;mso-position-horizontal-relative:page;mso-position-vertical-relative:page;z-index:1024" from="387.910004pt,346.406006pt" to="552.748012pt,346.406006pt" stroked="true" strokeweight=".498pt" strokecolor="#000000">
            <v:stroke dashstyle="solid"/>
            <w10:wrap type="none"/>
          </v:line>
        </w:pict>
      </w:r>
      <w:r>
        <w:rPr/>
        <w:t>Confrontation Clause coverage, and defendant’s ability to subpoena lab employee does not obviate state’s obligation to produce analyst for cross-examination).</w:t>
      </w:r>
    </w:p>
    <w:p>
      <w:pPr>
        <w:pStyle w:val="BodyText"/>
        <w:spacing w:before="10"/>
        <w:rPr>
          <w:sz w:val="23"/>
        </w:rPr>
      </w:pPr>
    </w:p>
    <w:p>
      <w:pPr>
        <w:pStyle w:val="BodyText"/>
        <w:ind w:left="300" w:right="936" w:firstLine="719"/>
      </w:pPr>
      <w:r>
        <w:rPr/>
        <w:t>WHEREFORE, Ms. Inga respectfully moves the Court to order the prosecution to produce at trial, or any proceeding at which it seeks to admit related evidence, any laboratory analyst, technician, or employee who reviewed or processed any evidence sought to be used against Ms. Inga.</w:t>
      </w:r>
    </w:p>
    <w:p>
      <w:pPr>
        <w:pStyle w:val="BodyText"/>
        <w:rPr>
          <w:sz w:val="26"/>
        </w:rPr>
      </w:pPr>
    </w:p>
    <w:p>
      <w:pPr>
        <w:pStyle w:val="BodyText"/>
        <w:rPr>
          <w:sz w:val="26"/>
        </w:rPr>
      </w:pPr>
    </w:p>
    <w:p>
      <w:pPr>
        <w:pStyle w:val="BodyText"/>
        <w:spacing w:line="269" w:lineRule="exact" w:before="166"/>
        <w:ind w:left="300"/>
      </w:pPr>
      <w:r>
        <w:rPr/>
        <w:t>DOUGLAS K. WILSON</w:t>
      </w:r>
    </w:p>
    <w:p>
      <w:pPr>
        <w:pStyle w:val="BodyText"/>
        <w:spacing w:line="269" w:lineRule="exact"/>
        <w:ind w:left="300"/>
      </w:pPr>
      <w:r>
        <w:rPr/>
        <w:t>COLORADO STATE PUBLIC DEFENDER</w:t>
      </w:r>
    </w:p>
    <w:p>
      <w:pPr>
        <w:pStyle w:val="BodyText"/>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3"/>
        <w:gridCol w:w="4941"/>
      </w:tblGrid>
      <w:tr>
        <w:trPr>
          <w:trHeight w:val="2069" w:hRule="atLeast"/>
        </w:trPr>
        <w:tc>
          <w:tcPr>
            <w:tcW w:w="4713" w:type="dxa"/>
          </w:tcPr>
          <w:p>
            <w:pPr>
              <w:pStyle w:val="TableParagraph"/>
              <w:spacing w:before="2"/>
              <w:rPr>
                <w:sz w:val="24"/>
              </w:rPr>
            </w:pPr>
          </w:p>
          <w:p>
            <w:pPr>
              <w:pStyle w:val="TableParagraph"/>
              <w:tabs>
                <w:tab w:pos="1039" w:val="left" w:leader="none"/>
                <w:tab w:pos="3323" w:val="left" w:leader="none"/>
              </w:tabs>
              <w:ind w:left="200" w:right="1387"/>
              <w:rPr>
                <w:sz w:val="24"/>
              </w:rPr>
            </w:pPr>
            <w:r>
              <w:rPr>
                <w:sz w:val="24"/>
                <w:u w:val="single"/>
              </w:rPr>
              <w:t> </w:t>
              <w:tab/>
            </w:r>
            <w:r>
              <w:rPr>
                <w:sz w:val="24"/>
              </w:rPr>
              <w:t>/s/</w:t>
            </w:r>
            <w:r>
              <w:rPr>
                <w:spacing w:val="-2"/>
                <w:sz w:val="24"/>
              </w:rPr>
              <w:t> </w:t>
            </w:r>
            <w:r>
              <w:rPr>
                <w:sz w:val="24"/>
              </w:rPr>
              <w:t>Katie</w:t>
            </w:r>
            <w:r>
              <w:rPr>
                <w:spacing w:val="-1"/>
                <w:sz w:val="24"/>
              </w:rPr>
              <w:t> </w:t>
            </w:r>
            <w:r>
              <w:rPr>
                <w:sz w:val="24"/>
              </w:rPr>
              <w:t>Telfer</w:t>
            </w:r>
            <w:r>
              <w:rPr>
                <w:sz w:val="24"/>
                <w:u w:val="single"/>
              </w:rPr>
              <w:t> </w:t>
              <w:tab/>
            </w:r>
            <w:r>
              <w:rPr>
                <w:sz w:val="24"/>
              </w:rPr>
              <w:t> Katie Telfer,</w:t>
            </w:r>
            <w:r>
              <w:rPr>
                <w:spacing w:val="-1"/>
                <w:sz w:val="24"/>
              </w:rPr>
              <w:t> </w:t>
            </w:r>
            <w:r>
              <w:rPr>
                <w:sz w:val="24"/>
              </w:rPr>
              <w:t>#41720</w:t>
            </w:r>
          </w:p>
          <w:p>
            <w:pPr>
              <w:pStyle w:val="TableParagraph"/>
              <w:spacing w:before="10"/>
              <w:rPr>
                <w:sz w:val="23"/>
              </w:rPr>
            </w:pPr>
          </w:p>
          <w:p>
            <w:pPr>
              <w:pStyle w:val="TableParagraph"/>
              <w:ind w:left="200" w:right="1608"/>
              <w:rPr>
                <w:sz w:val="24"/>
              </w:rPr>
            </w:pPr>
            <w:r>
              <w:rPr>
                <w:sz w:val="24"/>
              </w:rPr>
              <w:t>Deputy State Public Defenders Dated: October 3, 2017</w:t>
            </w:r>
          </w:p>
        </w:tc>
        <w:tc>
          <w:tcPr>
            <w:tcW w:w="4941" w:type="dxa"/>
          </w:tcPr>
          <w:p>
            <w:pPr>
              <w:pStyle w:val="TableParagraph"/>
              <w:spacing w:line="224" w:lineRule="exact"/>
              <w:ind w:left="2272"/>
              <w:rPr>
                <w:b/>
                <w:sz w:val="20"/>
              </w:rPr>
            </w:pPr>
            <w:r>
              <w:rPr>
                <w:b/>
                <w:sz w:val="20"/>
                <w:u w:val="single"/>
              </w:rPr>
              <w:t>Certificate of Service</w:t>
            </w:r>
          </w:p>
          <w:p>
            <w:pPr>
              <w:pStyle w:val="TableParagraph"/>
              <w:spacing w:before="1"/>
              <w:rPr>
                <w:sz w:val="20"/>
              </w:rPr>
            </w:pPr>
          </w:p>
          <w:p>
            <w:pPr>
              <w:pStyle w:val="TableParagraph"/>
              <w:ind w:left="1444" w:right="260"/>
              <w:rPr>
                <w:sz w:val="20"/>
              </w:rPr>
            </w:pPr>
            <w:r>
              <w:rPr>
                <w:sz w:val="20"/>
              </w:rPr>
              <w:t>I hereby certify that on October 3 2017, I served the foregoing document through ICCES to opposing counsel of record.</w:t>
            </w:r>
          </w:p>
          <w:p>
            <w:pPr>
              <w:pStyle w:val="TableParagraph"/>
              <w:rPr>
                <w:sz w:val="22"/>
              </w:rPr>
            </w:pPr>
          </w:p>
          <w:p>
            <w:pPr>
              <w:pStyle w:val="TableParagraph"/>
              <w:spacing w:before="11"/>
              <w:rPr>
                <w:sz w:val="17"/>
              </w:rPr>
            </w:pPr>
          </w:p>
          <w:p>
            <w:pPr>
              <w:pStyle w:val="TableParagraph"/>
              <w:ind w:left="2284"/>
              <w:rPr>
                <w:sz w:val="24"/>
              </w:rPr>
            </w:pPr>
            <w:r>
              <w:rPr>
                <w:sz w:val="24"/>
              </w:rPr>
              <w:t>/s/ Katie Telfer</w:t>
            </w:r>
          </w:p>
        </w:tc>
      </w:tr>
    </w:tbl>
    <w:sectPr>
      <w:pgSz w:w="12240" w:h="15840"/>
      <w:pgMar w:top="1360" w:bottom="280" w:left="15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upperLetter"/>
      <w:lvlText w:val="%1"/>
      <w:lvlJc w:val="left"/>
      <w:pPr>
        <w:ind w:left="300" w:hanging="655"/>
        <w:jc w:val="left"/>
      </w:pPr>
      <w:rPr>
        <w:rFonts w:hint="default"/>
      </w:rPr>
    </w:lvl>
    <w:lvl w:ilvl="1">
      <w:start w:val="18"/>
      <w:numFmt w:val="upperLetter"/>
      <w:lvlText w:val="%1.%2"/>
      <w:lvlJc w:val="left"/>
      <w:pPr>
        <w:ind w:left="300" w:hanging="655"/>
        <w:jc w:val="left"/>
      </w:pPr>
      <w:rPr>
        <w:rFonts w:hint="default"/>
      </w:rPr>
    </w:lvl>
    <w:lvl w:ilvl="2">
      <w:start w:val="1"/>
      <w:numFmt w:val="decimal"/>
      <w:lvlText w:val="%3."/>
      <w:lvlJc w:val="left"/>
      <w:pPr>
        <w:ind w:left="300" w:hanging="720"/>
        <w:jc w:val="left"/>
      </w:pPr>
      <w:rPr>
        <w:rFonts w:hint="default" w:ascii="Garamond" w:hAnsi="Garamond" w:eastAsia="Garamond" w:cs="Garamond"/>
        <w:spacing w:val="-3"/>
        <w:w w:val="100"/>
        <w:sz w:val="24"/>
        <w:szCs w:val="24"/>
      </w:rPr>
    </w:lvl>
    <w:lvl w:ilvl="3">
      <w:start w:val="0"/>
      <w:numFmt w:val="bullet"/>
      <w:lvlText w:val="•"/>
      <w:lvlJc w:val="left"/>
      <w:pPr>
        <w:ind w:left="3168" w:hanging="720"/>
      </w:pPr>
      <w:rPr>
        <w:rFonts w:hint="default"/>
      </w:rPr>
    </w:lvl>
    <w:lvl w:ilvl="4">
      <w:start w:val="0"/>
      <w:numFmt w:val="bullet"/>
      <w:lvlText w:val="•"/>
      <w:lvlJc w:val="left"/>
      <w:pPr>
        <w:ind w:left="4124" w:hanging="720"/>
      </w:pPr>
      <w:rPr>
        <w:rFonts w:hint="default"/>
      </w:rPr>
    </w:lvl>
    <w:lvl w:ilvl="5">
      <w:start w:val="0"/>
      <w:numFmt w:val="bullet"/>
      <w:lvlText w:val="•"/>
      <w:lvlJc w:val="left"/>
      <w:pPr>
        <w:ind w:left="5080" w:hanging="720"/>
      </w:pPr>
      <w:rPr>
        <w:rFonts w:hint="default"/>
      </w:rPr>
    </w:lvl>
    <w:lvl w:ilvl="6">
      <w:start w:val="0"/>
      <w:numFmt w:val="bullet"/>
      <w:lvlText w:val="•"/>
      <w:lvlJc w:val="left"/>
      <w:pPr>
        <w:ind w:left="6036" w:hanging="720"/>
      </w:pPr>
      <w:rPr>
        <w:rFonts w:hint="default"/>
      </w:rPr>
    </w:lvl>
    <w:lvl w:ilvl="7">
      <w:start w:val="0"/>
      <w:numFmt w:val="bullet"/>
      <w:lvlText w:val="•"/>
      <w:lvlJc w:val="left"/>
      <w:pPr>
        <w:ind w:left="6992" w:hanging="720"/>
      </w:pPr>
      <w:rPr>
        <w:rFonts w:hint="default"/>
      </w:rPr>
    </w:lvl>
    <w:lvl w:ilvl="8">
      <w:start w:val="0"/>
      <w:numFmt w:val="bullet"/>
      <w:lvlText w:val="•"/>
      <w:lvlJc w:val="left"/>
      <w:pPr>
        <w:ind w:left="7948" w:hanging="720"/>
      </w:pPr>
      <w:rPr>
        <w:rFonts w:hint="default"/>
      </w:rPr>
    </w:lvl>
  </w:abstractNum>
  <w:abstractNum w:abstractNumId="0">
    <w:multiLevelType w:val="hybridMultilevel"/>
    <w:lvl w:ilvl="0">
      <w:start w:val="0"/>
      <w:numFmt w:val="bullet"/>
      <w:lvlText w:val=""/>
      <w:lvlJc w:val="left"/>
      <w:pPr>
        <w:ind w:left="688"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ListParagraph" w:type="paragraph">
    <w:name w:val="List Paragraph"/>
    <w:basedOn w:val="Normal"/>
    <w:uiPriority w:val="1"/>
    <w:qFormat/>
    <w:pPr>
      <w:ind w:left="300" w:right="917"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tie.telfer@coloradodefenders.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2019-03-22T15:40:49Z</dcterms:created>
  <dcterms:modified xsi:type="dcterms:W3CDTF">2019-03-22T15:40:49Z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