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66.360001pt;margin-top:72.000023pt;width:469.65pt;height:288.850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719" w:hRule="atLeast"/>
                    </w:trPr>
                    <w:tc>
                      <w:tcPr>
                        <w:tcW w:w="5958" w:type="dxa"/>
                      </w:tcPr>
                      <w:p>
                        <w:pPr>
                          <w:pStyle w:val="TableParagraph"/>
                          <w:spacing w:line="204" w:lineRule="auto"/>
                          <w:ind w:right="1032"/>
                          <w:rPr>
                            <w:sz w:val="24"/>
                          </w:rPr>
                        </w:pPr>
                        <w:r>
                          <w:rPr>
                            <w:sz w:val="24"/>
                          </w:rPr>
                          <w:t>DISTRICT Court, Adams County, Colorado Court Address: 1100 Judicial Center Drive</w:t>
                        </w:r>
                      </w:p>
                      <w:p>
                        <w:pPr>
                          <w:pStyle w:val="TableParagraph"/>
                          <w:spacing w:line="223" w:lineRule="exact"/>
                          <w:ind w:left="1480"/>
                          <w:rPr>
                            <w:sz w:val="24"/>
                          </w:rPr>
                        </w:pPr>
                        <w:r>
                          <w:rPr>
                            <w:sz w:val="24"/>
                          </w:rPr>
                          <w:t>Brighton, CO 80601</w:t>
                        </w:r>
                      </w:p>
                    </w:tc>
                    <w:tc>
                      <w:tcPr>
                        <w:tcW w:w="3420" w:type="dxa"/>
                        <w:vMerge w:val="restart"/>
                      </w:tcPr>
                      <w:p>
                        <w:pPr>
                          <w:pStyle w:val="TableParagraph"/>
                          <w:ind w:left="0"/>
                          <w:rPr>
                            <w:sz w:val="22"/>
                          </w:rPr>
                        </w:pPr>
                      </w:p>
                      <w:p>
                        <w:pPr>
                          <w:pStyle w:val="TableParagraph"/>
                          <w:spacing w:before="5"/>
                          <w:ind w:left="0"/>
                          <w:rPr>
                            <w:sz w:val="32"/>
                          </w:rPr>
                        </w:pPr>
                      </w:p>
                      <w:p>
                        <w:pPr>
                          <w:pStyle w:val="TableParagraph"/>
                          <w:spacing w:line="225" w:lineRule="auto"/>
                          <w:ind w:left="248" w:right="156"/>
                          <w:rPr>
                            <w:rFonts w:ascii="Times New Roman"/>
                            <w:sz w:val="20"/>
                          </w:rPr>
                        </w:pPr>
                        <w:r>
                          <w:rPr>
                            <w:rFonts w:ascii="Times New Roman"/>
                            <w:color w:val="0000FF"/>
                            <w:sz w:val="20"/>
                          </w:rPr>
                          <w:t>DATE FILED: May 2, 2017 2:32 </w:t>
                        </w:r>
                        <w:r>
                          <w:rPr>
                            <w:rFonts w:ascii="Times New Roman"/>
                            <w:color w:val="0000FF"/>
                            <w:spacing w:val="-16"/>
                            <w:sz w:val="20"/>
                          </w:rPr>
                          <w:t>P </w:t>
                        </w:r>
                        <w:r>
                          <w:rPr>
                            <w:rFonts w:ascii="Times New Roman"/>
                            <w:color w:val="0000FF"/>
                            <w:sz w:val="20"/>
                          </w:rPr>
                          <w:t>FILING ID:  7B29BE322C960 CASE NUMBER:</w:t>
                        </w:r>
                        <w:r>
                          <w:rPr>
                            <w:rFonts w:ascii="Times New Roman"/>
                            <w:color w:val="0000FF"/>
                            <w:spacing w:val="17"/>
                            <w:sz w:val="20"/>
                          </w:rPr>
                          <w:t> </w:t>
                        </w:r>
                        <w:r>
                          <w:rPr>
                            <w:rFonts w:ascii="Times New Roman"/>
                            <w:color w:val="0000FF"/>
                            <w:sz w:val="20"/>
                          </w:rPr>
                          <w:t>2016CR3773</w:t>
                        </w:r>
                      </w:p>
                      <w:p>
                        <w:pPr>
                          <w:pStyle w:val="TableParagraph"/>
                          <w:ind w:left="0"/>
                          <w:rPr>
                            <w:sz w:val="22"/>
                          </w:rPr>
                        </w:pPr>
                      </w:p>
                      <w:p>
                        <w:pPr>
                          <w:pStyle w:val="TableParagraph"/>
                          <w:ind w:left="0"/>
                          <w:rPr>
                            <w:sz w:val="22"/>
                          </w:rPr>
                        </w:pPr>
                      </w:p>
                      <w:p>
                        <w:pPr>
                          <w:pStyle w:val="TableParagraph"/>
                          <w:spacing w:before="2"/>
                          <w:ind w:left="0"/>
                          <w:rPr>
                            <w:sz w:val="27"/>
                          </w:rPr>
                        </w:pPr>
                      </w:p>
                      <w:p>
                        <w:pPr>
                          <w:pStyle w:val="TableParagraph"/>
                          <w:spacing w:line="269" w:lineRule="exact"/>
                          <w:ind w:left="590"/>
                          <w:rPr>
                            <w:rFonts w:ascii="Symbol" w:hAnsi="Symbol"/>
                            <w:sz w:val="24"/>
                          </w:rPr>
                        </w:pPr>
                        <w:r>
                          <w:rPr>
                            <w:rFonts w:ascii="Symbol" w:hAnsi="Symbol"/>
                            <w:sz w:val="24"/>
                          </w:rPr>
                          <w:t></w:t>
                        </w:r>
                        <w:r>
                          <w:rPr>
                            <w:rFonts w:ascii="Times New Roman" w:hAnsi="Times New Roman"/>
                            <w:sz w:val="24"/>
                          </w:rPr>
                          <w:t> </w:t>
                        </w:r>
                        <w:r>
                          <w:rPr>
                            <w:sz w:val="24"/>
                          </w:rPr>
                          <w:t>COURT USE ONLY </w:t>
                        </w:r>
                        <w:r>
                          <w:rPr>
                            <w:rFonts w:ascii="Symbol" w:hAnsi="Symbol"/>
                            <w:sz w:val="24"/>
                          </w:rPr>
                          <w:t></w:t>
                        </w:r>
                      </w:p>
                    </w:tc>
                  </w:tr>
                  <w:tr>
                    <w:trPr>
                      <w:trHeight w:val="1680" w:hRule="atLeast"/>
                    </w:trPr>
                    <w:tc>
                      <w:tcPr>
                        <w:tcW w:w="5958" w:type="dxa"/>
                      </w:tcPr>
                      <w:p>
                        <w:pPr>
                          <w:pStyle w:val="TableParagraph"/>
                          <w:spacing w:line="226" w:lineRule="exact"/>
                          <w:rPr>
                            <w:sz w:val="24"/>
                          </w:rPr>
                        </w:pPr>
                        <w:r>
                          <w:rPr>
                            <w:sz w:val="24"/>
                          </w:rPr>
                          <w:t>THE PEOPLE OF THE STATE OF COLORADO,</w:t>
                        </w:r>
                      </w:p>
                      <w:p>
                        <w:pPr>
                          <w:pStyle w:val="TableParagraph"/>
                          <w:spacing w:line="261" w:lineRule="exact"/>
                          <w:rPr>
                            <w:sz w:val="24"/>
                          </w:rPr>
                        </w:pPr>
                        <w:r>
                          <w:rPr>
                            <w:sz w:val="24"/>
                          </w:rPr>
                          <w:t>Plaintiff</w:t>
                        </w:r>
                      </w:p>
                      <w:p>
                        <w:pPr>
                          <w:pStyle w:val="TableParagraph"/>
                          <w:spacing w:before="198"/>
                          <w:rPr>
                            <w:sz w:val="24"/>
                          </w:rPr>
                        </w:pPr>
                        <w:r>
                          <w:rPr>
                            <w:sz w:val="24"/>
                          </w:rPr>
                          <w:t>v.</w:t>
                        </w:r>
                      </w:p>
                      <w:p>
                        <w:pPr>
                          <w:pStyle w:val="TableParagraph"/>
                          <w:spacing w:line="261" w:lineRule="exact" w:before="199"/>
                          <w:rPr>
                            <w:sz w:val="24"/>
                          </w:rPr>
                        </w:pPr>
                        <w:r>
                          <w:rPr>
                            <w:sz w:val="24"/>
                          </w:rPr>
                          <w:t>SATURNINO PADILLA,</w:t>
                        </w:r>
                      </w:p>
                      <w:p>
                        <w:pPr>
                          <w:pStyle w:val="TableParagraph"/>
                          <w:spacing w:line="235" w:lineRule="exact"/>
                          <w:rPr>
                            <w:sz w:val="24"/>
                          </w:rPr>
                        </w:pPr>
                        <w:r>
                          <w:rPr>
                            <w:sz w:val="24"/>
                          </w:rPr>
                          <w:t>Defendant</w:t>
                        </w:r>
                      </w:p>
                    </w:tc>
                    <w:tc>
                      <w:tcPr>
                        <w:tcW w:w="3420" w:type="dxa"/>
                        <w:vMerge/>
                        <w:tcBorders>
                          <w:top w:val="nil"/>
                        </w:tcBorders>
                      </w:tcPr>
                      <w:p>
                        <w:pPr>
                          <w:rPr>
                            <w:sz w:val="2"/>
                            <w:szCs w:val="2"/>
                          </w:rPr>
                        </w:pPr>
                      </w:p>
                    </w:tc>
                  </w:tr>
                  <w:tr>
                    <w:trPr>
                      <w:trHeight w:val="1645" w:hRule="atLeast"/>
                    </w:trPr>
                    <w:tc>
                      <w:tcPr>
                        <w:tcW w:w="5958" w:type="dxa"/>
                      </w:tcPr>
                      <w:p>
                        <w:pPr>
                          <w:pStyle w:val="TableParagraph"/>
                          <w:ind w:right="679"/>
                          <w:rPr>
                            <w:sz w:val="24"/>
                          </w:rPr>
                        </w:pPr>
                        <w:r>
                          <w:rPr>
                            <w:sz w:val="24"/>
                          </w:rPr>
                          <w:t>Douglas K. Wilson, Colorado State Public Defender Hillary Aizenman, No. 42351</w:t>
                        </w:r>
                      </w:p>
                      <w:p>
                        <w:pPr>
                          <w:pStyle w:val="TableParagraph"/>
                          <w:spacing w:line="281" w:lineRule="exact"/>
                          <w:rPr>
                            <w:sz w:val="24"/>
                          </w:rPr>
                        </w:pPr>
                        <w:r>
                          <w:rPr>
                            <w:sz w:val="24"/>
                          </w:rPr>
                          <w:t>Brighton Regional Public Defenders</w:t>
                        </w:r>
                      </w:p>
                      <w:p>
                        <w:pPr>
                          <w:pStyle w:val="TableParagraph"/>
                          <w:spacing w:line="281" w:lineRule="exact"/>
                          <w:rPr>
                            <w:sz w:val="24"/>
                          </w:rPr>
                        </w:pPr>
                        <w:r>
                          <w:rPr>
                            <w:sz w:val="24"/>
                          </w:rPr>
                          <w:t>4710 East Bromley Lane, Brighton CO 80601</w:t>
                        </w:r>
                      </w:p>
                      <w:p>
                        <w:pPr>
                          <w:pStyle w:val="TableParagraph"/>
                          <w:tabs>
                            <w:tab w:pos="3413" w:val="left" w:leader="none"/>
                          </w:tabs>
                          <w:spacing w:line="263" w:lineRule="exact"/>
                          <w:rPr>
                            <w:sz w:val="24"/>
                          </w:rPr>
                        </w:pPr>
                        <w:r>
                          <w:rPr>
                            <w:sz w:val="24"/>
                          </w:rPr>
                          <w:t>Phone:  (303) 659‐4274</w:t>
                          <w:tab/>
                          <w:t>Fax: (303)</w:t>
                        </w:r>
                        <w:r>
                          <w:rPr>
                            <w:spacing w:val="-1"/>
                            <w:sz w:val="24"/>
                          </w:rPr>
                          <w:t> </w:t>
                        </w:r>
                        <w:r>
                          <w:rPr>
                            <w:sz w:val="24"/>
                          </w:rPr>
                          <w:t>659‐6935</w:t>
                        </w:r>
                      </w:p>
                      <w:p>
                        <w:pPr>
                          <w:pStyle w:val="TableParagraph"/>
                          <w:spacing w:line="238" w:lineRule="exact"/>
                          <w:rPr>
                            <w:sz w:val="24"/>
                          </w:rPr>
                        </w:pPr>
                        <w:r>
                          <w:rPr>
                            <w:sz w:val="24"/>
                          </w:rPr>
                          <w:t>E‐mail</w:t>
                        </w:r>
                        <w:hyperlink r:id="rId5">
                          <w:r>
                            <w:rPr>
                              <w:sz w:val="24"/>
                            </w:rPr>
                            <w:t>: Hillary</w:t>
                          </w:r>
                        </w:hyperlink>
                        <w:hyperlink r:id="rId6">
                          <w:r>
                            <w:rPr>
                              <w:sz w:val="24"/>
                            </w:rPr>
                            <w:t>.aizenman@coloradodefenders.us</w:t>
                          </w:r>
                        </w:hyperlink>
                      </w:p>
                    </w:tc>
                    <w:tc>
                      <w:tcPr>
                        <w:tcW w:w="3420" w:type="dxa"/>
                      </w:tcPr>
                      <w:p>
                        <w:pPr>
                          <w:pStyle w:val="TableParagraph"/>
                          <w:spacing w:before="203"/>
                          <w:rPr>
                            <w:sz w:val="24"/>
                          </w:rPr>
                        </w:pPr>
                        <w:r>
                          <w:rPr>
                            <w:sz w:val="24"/>
                          </w:rPr>
                          <w:t>Case No. 16CR3773</w:t>
                        </w:r>
                      </w:p>
                      <w:p>
                        <w:pPr>
                          <w:pStyle w:val="TableParagraph"/>
                          <w:ind w:left="0"/>
                          <w:rPr>
                            <w:sz w:val="28"/>
                          </w:rPr>
                        </w:pPr>
                      </w:p>
                      <w:p>
                        <w:pPr>
                          <w:pStyle w:val="TableParagraph"/>
                          <w:spacing w:before="11"/>
                          <w:ind w:left="0"/>
                          <w:rPr>
                            <w:sz w:val="29"/>
                          </w:rPr>
                        </w:pPr>
                      </w:p>
                      <w:p>
                        <w:pPr>
                          <w:pStyle w:val="TableParagraph"/>
                          <w:rPr>
                            <w:sz w:val="24"/>
                          </w:rPr>
                        </w:pPr>
                        <w:r>
                          <w:rPr>
                            <w:sz w:val="24"/>
                          </w:rPr>
                          <w:t>Div. G</w:t>
                        </w:r>
                      </w:p>
                    </w:tc>
                  </w:tr>
                  <w:tr>
                    <w:trPr>
                      <w:trHeight w:val="1680" w:hRule="atLeast"/>
                    </w:trPr>
                    <w:tc>
                      <w:tcPr>
                        <w:tcW w:w="9378" w:type="dxa"/>
                        <w:gridSpan w:val="2"/>
                      </w:tcPr>
                      <w:p>
                        <w:pPr>
                          <w:pStyle w:val="TableParagraph"/>
                          <w:spacing w:line="204" w:lineRule="auto" w:before="239"/>
                          <w:ind w:left="2001" w:right="1991" w:hanging="1"/>
                          <w:jc w:val="center"/>
                          <w:rPr>
                            <w:b/>
                            <w:sz w:val="24"/>
                          </w:rPr>
                        </w:pPr>
                        <w:r>
                          <w:rPr>
                            <w:b/>
                            <w:sz w:val="24"/>
                          </w:rPr>
                          <w:t>MOTION IN LIMINE TO PRECLUDE THE PROSECUTION’S PROPOSED EXPERT TESTIMONY</w:t>
                        </w:r>
                      </w:p>
                      <w:p>
                        <w:pPr>
                          <w:pStyle w:val="TableParagraph"/>
                          <w:spacing w:before="207"/>
                          <w:ind w:left="1613" w:right="1604"/>
                          <w:jc w:val="center"/>
                          <w:rPr>
                            <w:b/>
                            <w:sz w:val="24"/>
                          </w:rPr>
                        </w:pPr>
                        <w:r>
                          <w:rPr>
                            <w:b/>
                            <w:sz w:val="24"/>
                          </w:rPr>
                          <w:t>OR IN THE ALTERNATIVE, MOTION FOR A 702 HEARING</w:t>
                        </w:r>
                      </w:p>
                    </w:tc>
                  </w:tr>
                </w:tbl>
                <w:p>
                  <w:pPr>
                    <w:pStyle w:val="BodyText"/>
                  </w:pPr>
                </w:p>
              </w:txbxContent>
            </v:textbox>
            <w10:wrap type="none"/>
          </v:shape>
        </w:pict>
      </w:r>
    </w:p>
    <w:p>
      <w:pPr>
        <w:pStyle w:val="BodyText"/>
        <w:spacing w:before="5"/>
        <w:rPr>
          <w:rFonts w:ascii="Times New Roman"/>
          <w:sz w:val="27"/>
        </w:rPr>
      </w:pPr>
    </w:p>
    <w:p>
      <w:pPr>
        <w:spacing w:before="92"/>
        <w:ind w:left="0" w:right="158" w:firstLine="0"/>
        <w:jc w:val="right"/>
        <w:rPr>
          <w:rFonts w:ascii="Times New Roman"/>
          <w:sz w:val="20"/>
        </w:rPr>
      </w:pPr>
      <w:r>
        <w:rPr>
          <w:rFonts w:ascii="Times New Roman"/>
          <w:color w:val="0000FF"/>
          <w:spacing w:val="2"/>
          <w:sz w:val="20"/>
        </w:rPr>
        <w:t>M</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7"/>
        <w:rPr>
          <w:rFonts w:ascii="Times New Roman"/>
          <w:sz w:val="29"/>
        </w:rPr>
      </w:pPr>
    </w:p>
    <w:p>
      <w:pPr>
        <w:pStyle w:val="BodyText"/>
        <w:spacing w:line="204" w:lineRule="auto"/>
        <w:ind w:left="220" w:right="177" w:firstLine="720"/>
      </w:pPr>
      <w:r>
        <w:rPr/>
        <w:t>Saturnino Padilla, by and through defense counsel, objects to the prosecution’s endorsement of Barbara Lamanna as an expert and moves this Court for an order prohibiting her proposed testimony. In the alternative, Mr. Padilla requests a 702 </w:t>
      </w:r>
      <w:r>
        <w:rPr>
          <w:i/>
        </w:rPr>
        <w:t>Shreck </w:t>
      </w:r>
      <w:r>
        <w:rPr/>
        <w:t>hearing to determine the admissibility of the proposed testimony. In support of this motion, Mr. Padilla provides the</w:t>
      </w:r>
      <w:r>
        <w:rPr>
          <w:spacing w:val="-5"/>
        </w:rPr>
        <w:t> </w:t>
      </w:r>
      <w:r>
        <w:rPr/>
        <w:t>following:</w:t>
      </w:r>
    </w:p>
    <w:p>
      <w:pPr>
        <w:pStyle w:val="Heading1"/>
        <w:numPr>
          <w:ilvl w:val="0"/>
          <w:numId w:val="1"/>
        </w:numPr>
        <w:tabs>
          <w:tab w:pos="940" w:val="left" w:leader="none"/>
        </w:tabs>
        <w:spacing w:line="240" w:lineRule="auto" w:before="210" w:after="0"/>
        <w:ind w:left="940" w:right="0" w:hanging="360"/>
        <w:jc w:val="left"/>
      </w:pPr>
      <w:r>
        <w:rPr/>
        <w:t>FACTUAL</w:t>
      </w:r>
      <w:r>
        <w:rPr>
          <w:spacing w:val="-13"/>
        </w:rPr>
        <w:t> </w:t>
      </w:r>
      <w:r>
        <w:rPr/>
        <w:t>BACKGROUND</w:t>
      </w:r>
    </w:p>
    <w:p>
      <w:pPr>
        <w:pStyle w:val="ListParagraph"/>
        <w:numPr>
          <w:ilvl w:val="0"/>
          <w:numId w:val="2"/>
        </w:numPr>
        <w:tabs>
          <w:tab w:pos="940" w:val="left" w:leader="none"/>
        </w:tabs>
        <w:spacing w:line="240" w:lineRule="auto" w:before="235" w:after="0"/>
        <w:ind w:left="940" w:right="346" w:hanging="360"/>
        <w:jc w:val="left"/>
        <w:rPr>
          <w:sz w:val="24"/>
        </w:rPr>
      </w:pPr>
      <w:r>
        <w:rPr>
          <w:sz w:val="24"/>
        </w:rPr>
        <w:t>Mr. Padilla is charged with Third Degree Assault and Domestic Violence – Habitual Offender.</w:t>
      </w:r>
    </w:p>
    <w:p>
      <w:pPr>
        <w:pStyle w:val="BodyText"/>
        <w:spacing w:before="11"/>
        <w:rPr>
          <w:sz w:val="23"/>
        </w:rPr>
      </w:pPr>
    </w:p>
    <w:p>
      <w:pPr>
        <w:pStyle w:val="ListParagraph"/>
        <w:numPr>
          <w:ilvl w:val="0"/>
          <w:numId w:val="2"/>
        </w:numPr>
        <w:tabs>
          <w:tab w:pos="940" w:val="left" w:leader="none"/>
        </w:tabs>
        <w:spacing w:line="240" w:lineRule="auto" w:before="0" w:after="0"/>
        <w:ind w:left="940" w:right="294" w:hanging="360"/>
        <w:jc w:val="left"/>
        <w:rPr>
          <w:sz w:val="24"/>
        </w:rPr>
      </w:pPr>
      <w:r>
        <w:rPr>
          <w:sz w:val="24"/>
        </w:rPr>
        <w:t>The prosecution has endorsed Barbara Lamanna to testify as an expert in this case. The prosecution stated in their endorsement that Ms. Lamanna is an “[e]xpert in domestic violence. Specifically in the areas of cycle of domestic violence, domestic violence dynamics, victim recantation and lack of cooperation, lethality factors and assessment, and trauma responses.” A number of these specific areas are not relevant in this</w:t>
      </w:r>
      <w:r>
        <w:rPr>
          <w:spacing w:val="-5"/>
          <w:sz w:val="24"/>
        </w:rPr>
        <w:t> </w:t>
      </w:r>
      <w:r>
        <w:rPr>
          <w:sz w:val="24"/>
        </w:rPr>
        <w:t>case.</w:t>
      </w:r>
    </w:p>
    <w:p>
      <w:pPr>
        <w:pStyle w:val="BodyText"/>
        <w:spacing w:before="1"/>
      </w:pPr>
    </w:p>
    <w:p>
      <w:pPr>
        <w:pStyle w:val="ListParagraph"/>
        <w:numPr>
          <w:ilvl w:val="0"/>
          <w:numId w:val="2"/>
        </w:numPr>
        <w:tabs>
          <w:tab w:pos="940" w:val="left" w:leader="none"/>
        </w:tabs>
        <w:spacing w:line="240" w:lineRule="auto" w:before="0" w:after="0"/>
        <w:ind w:left="940" w:right="131" w:hanging="360"/>
        <w:jc w:val="left"/>
        <w:rPr>
          <w:sz w:val="24"/>
        </w:rPr>
      </w:pPr>
      <w:r>
        <w:rPr>
          <w:sz w:val="24"/>
        </w:rPr>
        <w:t>The prosecution is apparently proposing to have Ms. Lamanna testify as a blind expert. Her “Expert Testimony Report” appears to be a generic report purportedly provided with each endorsement. It describes a number of areas of possible testimony that are not relevant in this case, such as sexual abuse, and other areas which</w:t>
      </w:r>
      <w:r>
        <w:rPr>
          <w:spacing w:val="-4"/>
          <w:sz w:val="24"/>
        </w:rPr>
        <w:t> </w:t>
      </w:r>
      <w:r>
        <w:rPr>
          <w:sz w:val="24"/>
        </w:rPr>
        <w:t>are</w:t>
      </w:r>
      <w:r>
        <w:rPr>
          <w:spacing w:val="-4"/>
          <w:sz w:val="24"/>
        </w:rPr>
        <w:t> </w:t>
      </w:r>
      <w:r>
        <w:rPr>
          <w:sz w:val="24"/>
        </w:rPr>
        <w:t>not</w:t>
      </w:r>
      <w:r>
        <w:rPr>
          <w:spacing w:val="-4"/>
          <w:sz w:val="24"/>
        </w:rPr>
        <w:t> </w:t>
      </w:r>
      <w:r>
        <w:rPr>
          <w:sz w:val="24"/>
        </w:rPr>
        <w:t>only</w:t>
      </w:r>
      <w:r>
        <w:rPr>
          <w:spacing w:val="-3"/>
          <w:sz w:val="24"/>
        </w:rPr>
        <w:t> </w:t>
      </w:r>
      <w:r>
        <w:rPr>
          <w:sz w:val="24"/>
        </w:rPr>
        <w:t>irrelevant</w:t>
      </w:r>
      <w:r>
        <w:rPr>
          <w:spacing w:val="-4"/>
          <w:sz w:val="24"/>
        </w:rPr>
        <w:t> </w:t>
      </w:r>
      <w:r>
        <w:rPr>
          <w:sz w:val="24"/>
        </w:rPr>
        <w:t>but</w:t>
      </w:r>
      <w:r>
        <w:rPr>
          <w:spacing w:val="-4"/>
          <w:sz w:val="24"/>
        </w:rPr>
        <w:t> </w:t>
      </w:r>
      <w:r>
        <w:rPr>
          <w:sz w:val="24"/>
        </w:rPr>
        <w:t>also</w:t>
      </w:r>
      <w:r>
        <w:rPr>
          <w:spacing w:val="-3"/>
          <w:sz w:val="24"/>
        </w:rPr>
        <w:t> </w:t>
      </w:r>
      <w:r>
        <w:rPr>
          <w:sz w:val="24"/>
        </w:rPr>
        <w:t>highly</w:t>
      </w:r>
      <w:r>
        <w:rPr>
          <w:spacing w:val="-3"/>
          <w:sz w:val="24"/>
        </w:rPr>
        <w:t> </w:t>
      </w:r>
      <w:r>
        <w:rPr>
          <w:sz w:val="24"/>
        </w:rPr>
        <w:t>prejudicial,</w:t>
      </w:r>
      <w:r>
        <w:rPr>
          <w:spacing w:val="-4"/>
          <w:sz w:val="24"/>
        </w:rPr>
        <w:t> </w:t>
      </w:r>
      <w:r>
        <w:rPr>
          <w:sz w:val="24"/>
        </w:rPr>
        <w:t>such</w:t>
      </w:r>
      <w:r>
        <w:rPr>
          <w:spacing w:val="-2"/>
          <w:sz w:val="24"/>
        </w:rPr>
        <w:t> </w:t>
      </w:r>
      <w:r>
        <w:rPr>
          <w:sz w:val="24"/>
        </w:rPr>
        <w:t>as</w:t>
      </w:r>
      <w:r>
        <w:rPr>
          <w:spacing w:val="-3"/>
          <w:sz w:val="24"/>
        </w:rPr>
        <w:t> </w:t>
      </w:r>
      <w:r>
        <w:rPr>
          <w:sz w:val="24"/>
        </w:rPr>
        <w:t>lethality</w:t>
      </w:r>
      <w:r>
        <w:rPr>
          <w:spacing w:val="-4"/>
          <w:sz w:val="24"/>
        </w:rPr>
        <w:t> </w:t>
      </w:r>
      <w:r>
        <w:rPr>
          <w:sz w:val="24"/>
        </w:rPr>
        <w:t>factors</w:t>
      </w:r>
      <w:r>
        <w:rPr>
          <w:spacing w:val="-3"/>
          <w:sz w:val="24"/>
        </w:rPr>
        <w:t> </w:t>
      </w:r>
      <w:r>
        <w:rPr>
          <w:sz w:val="24"/>
        </w:rPr>
        <w:t>and trauma</w:t>
      </w:r>
      <w:r>
        <w:rPr>
          <w:spacing w:val="-2"/>
          <w:sz w:val="24"/>
        </w:rPr>
        <w:t> </w:t>
      </w:r>
      <w:r>
        <w:rPr>
          <w:sz w:val="24"/>
        </w:rPr>
        <w:t>responses.</w:t>
      </w:r>
    </w:p>
    <w:p>
      <w:pPr>
        <w:spacing w:after="0" w:line="240" w:lineRule="auto"/>
        <w:jc w:val="left"/>
        <w:rPr>
          <w:sz w:val="24"/>
        </w:rPr>
        <w:sectPr>
          <w:type w:val="continuous"/>
          <w:pgSz w:w="12240" w:h="15840"/>
          <w:pgMar w:top="1440" w:bottom="280" w:left="1220" w:right="1320"/>
        </w:sectPr>
      </w:pPr>
    </w:p>
    <w:p>
      <w:pPr>
        <w:pStyle w:val="ListParagraph"/>
        <w:numPr>
          <w:ilvl w:val="0"/>
          <w:numId w:val="2"/>
        </w:numPr>
        <w:tabs>
          <w:tab w:pos="940" w:val="left" w:leader="none"/>
        </w:tabs>
        <w:spacing w:line="240" w:lineRule="auto" w:before="80" w:after="0"/>
        <w:ind w:left="940" w:right="236" w:hanging="360"/>
        <w:jc w:val="left"/>
        <w:rPr>
          <w:sz w:val="24"/>
        </w:rPr>
      </w:pPr>
      <w:r>
        <w:rPr>
          <w:sz w:val="24"/>
        </w:rPr>
        <w:t>The prosecution has not disclosed Ms. Lamanna’s specific qualifications to testify to the information in her disclosure or the basis for her opinion. Likewise, the prosecution has not disclosed whether Ms. Lamanna has been previously qualified to testify as an expert</w:t>
      </w:r>
      <w:r>
        <w:rPr>
          <w:spacing w:val="-6"/>
          <w:sz w:val="24"/>
        </w:rPr>
        <w:t> </w:t>
      </w:r>
      <w:r>
        <w:rPr>
          <w:sz w:val="24"/>
        </w:rPr>
        <w:t>witness.</w:t>
      </w:r>
    </w:p>
    <w:p>
      <w:pPr>
        <w:pStyle w:val="BodyText"/>
        <w:spacing w:before="11"/>
        <w:rPr>
          <w:sz w:val="23"/>
        </w:rPr>
      </w:pPr>
    </w:p>
    <w:p>
      <w:pPr>
        <w:pStyle w:val="Heading1"/>
        <w:numPr>
          <w:ilvl w:val="0"/>
          <w:numId w:val="1"/>
        </w:numPr>
        <w:tabs>
          <w:tab w:pos="940" w:val="left" w:leader="none"/>
        </w:tabs>
        <w:spacing w:line="240" w:lineRule="auto" w:before="0" w:after="0"/>
        <w:ind w:left="940" w:right="0" w:hanging="360"/>
        <w:jc w:val="left"/>
      </w:pPr>
      <w:r>
        <w:rPr/>
        <w:t>LEGAL</w:t>
      </w:r>
      <w:r>
        <w:rPr>
          <w:spacing w:val="-2"/>
        </w:rPr>
        <w:t> </w:t>
      </w:r>
      <w:r>
        <w:rPr/>
        <w:t>AUTHORITY</w:t>
      </w:r>
    </w:p>
    <w:p>
      <w:pPr>
        <w:pStyle w:val="ListParagraph"/>
        <w:numPr>
          <w:ilvl w:val="0"/>
          <w:numId w:val="3"/>
        </w:numPr>
        <w:tabs>
          <w:tab w:pos="940" w:val="left" w:leader="none"/>
        </w:tabs>
        <w:spacing w:line="240" w:lineRule="auto" w:before="241" w:after="0"/>
        <w:ind w:left="940" w:right="157" w:hanging="360"/>
        <w:jc w:val="left"/>
        <w:rPr>
          <w:sz w:val="24"/>
        </w:rPr>
      </w:pPr>
      <w:r>
        <w:rPr>
          <w:sz w:val="24"/>
        </w:rPr>
        <w:t>The trial court serves as a gatekeeper and should screen all expert testimony for reliability prior to its presentation to a jury. </w:t>
      </w:r>
      <w:r>
        <w:rPr>
          <w:i/>
          <w:sz w:val="24"/>
        </w:rPr>
        <w:t>Daubert v. Merrill Dow Pharmaceuticals, </w:t>
      </w:r>
      <w:r>
        <w:rPr>
          <w:i/>
          <w:sz w:val="24"/>
        </w:rPr>
        <w:t>Inc</w:t>
      </w:r>
      <w:r>
        <w:rPr>
          <w:sz w:val="24"/>
        </w:rPr>
        <w:t>. 509 U.S. 579 (1993). When determining the admissibility of expert testimony in Colorado, the court should conduct a </w:t>
      </w:r>
      <w:r>
        <w:rPr>
          <w:i/>
          <w:sz w:val="24"/>
        </w:rPr>
        <w:t>Shreck </w:t>
      </w:r>
      <w:r>
        <w:rPr>
          <w:sz w:val="24"/>
        </w:rPr>
        <w:t>analysis, which requires that the court find: (1) the scientific principles underlying the testimony are reasonably</w:t>
      </w:r>
      <w:r>
        <w:rPr>
          <w:spacing w:val="-16"/>
          <w:sz w:val="24"/>
        </w:rPr>
        <w:t> </w:t>
      </w:r>
      <w:r>
        <w:rPr>
          <w:sz w:val="24"/>
        </w:rPr>
        <w:t>reliable;</w:t>
      </w:r>
    </w:p>
    <w:p>
      <w:pPr>
        <w:pStyle w:val="BodyText"/>
        <w:ind w:left="939" w:right="147"/>
      </w:pPr>
      <w:r>
        <w:rPr/>
        <w:t>(2) the expert is qualified to give an opinion on those matters; (3) the testimony will be helpful to the jury; and (4) the evidence is not more prejudicial than probative. </w:t>
      </w:r>
      <w:r>
        <w:rPr>
          <w:i/>
        </w:rPr>
        <w:t>People v. Shreck</w:t>
      </w:r>
      <w:r>
        <w:rPr/>
        <w:t>, 22 P.3d 68, 77‐79 (Colo. 2001). A </w:t>
      </w:r>
      <w:r>
        <w:rPr>
          <w:i/>
        </w:rPr>
        <w:t>Shreck </w:t>
      </w:r>
      <w:r>
        <w:rPr/>
        <w:t>inquiry should take into consideration the totality of the circumstances of each case.</w:t>
      </w:r>
    </w:p>
    <w:p>
      <w:pPr>
        <w:pStyle w:val="BodyText"/>
      </w:pPr>
    </w:p>
    <w:p>
      <w:pPr>
        <w:pStyle w:val="ListParagraph"/>
        <w:numPr>
          <w:ilvl w:val="0"/>
          <w:numId w:val="3"/>
        </w:numPr>
        <w:tabs>
          <w:tab w:pos="940" w:val="left" w:leader="none"/>
        </w:tabs>
        <w:spacing w:line="240" w:lineRule="auto" w:before="0" w:after="0"/>
        <w:ind w:left="940" w:right="294" w:hanging="360"/>
        <w:jc w:val="left"/>
        <w:rPr>
          <w:sz w:val="24"/>
        </w:rPr>
      </w:pPr>
      <w:r>
        <w:rPr>
          <w:sz w:val="24"/>
        </w:rPr>
        <w:t>“A trial court is not required to conduct an evidentiary hearing under </w:t>
      </w:r>
      <w:r>
        <w:rPr>
          <w:i/>
          <w:sz w:val="24"/>
        </w:rPr>
        <w:t>Shreck </w:t>
      </w:r>
      <w:r>
        <w:rPr>
          <w:sz w:val="24"/>
        </w:rPr>
        <w:t>provided it has before it sufficient information to make specific findings under CRE 403 and CRE 702 about the reliability of scientific principles involved, the expert’s qualification to testify to such matters, the helpfulness to the jury, and potential prejudice.” </w:t>
      </w:r>
      <w:r>
        <w:rPr>
          <w:i/>
          <w:sz w:val="24"/>
        </w:rPr>
        <w:t>People v. Rector</w:t>
      </w:r>
      <w:r>
        <w:rPr>
          <w:sz w:val="24"/>
        </w:rPr>
        <w:t>, 248 P.3d 1196, 1201 (Colo. 2011) (</w:t>
      </w:r>
      <w:r>
        <w:rPr>
          <w:i/>
          <w:sz w:val="24"/>
        </w:rPr>
        <w:t>citing People v. </w:t>
      </w:r>
      <w:r>
        <w:rPr>
          <w:i/>
          <w:sz w:val="24"/>
        </w:rPr>
        <w:t>Whitman</w:t>
      </w:r>
      <w:r>
        <w:rPr>
          <w:sz w:val="24"/>
        </w:rPr>
        <w:t>, 205 P.3d 371, 383 (Colo. App. 2007); </w:t>
      </w:r>
      <w:r>
        <w:rPr>
          <w:i/>
          <w:sz w:val="24"/>
        </w:rPr>
        <w:t>People v. McAfee</w:t>
      </w:r>
      <w:r>
        <w:rPr>
          <w:sz w:val="24"/>
        </w:rPr>
        <w:t>, 104 P.3d 226,</w:t>
      </w:r>
      <w:r>
        <w:rPr>
          <w:spacing w:val="-24"/>
          <w:sz w:val="24"/>
        </w:rPr>
        <w:t> </w:t>
      </w:r>
      <w:r>
        <w:rPr>
          <w:sz w:val="24"/>
        </w:rPr>
        <w:t>229 (Colo. App. 2004)); </w:t>
      </w:r>
      <w:r>
        <w:rPr>
          <w:i/>
          <w:sz w:val="24"/>
        </w:rPr>
        <w:t>see also Shreck, </w:t>
      </w:r>
      <w:r>
        <w:rPr>
          <w:sz w:val="24"/>
        </w:rPr>
        <w:t>at 77.</w:t>
      </w:r>
    </w:p>
    <w:p>
      <w:pPr>
        <w:pStyle w:val="BodyText"/>
        <w:spacing w:before="10"/>
        <w:rPr>
          <w:sz w:val="23"/>
        </w:rPr>
      </w:pPr>
    </w:p>
    <w:p>
      <w:pPr>
        <w:pStyle w:val="ListParagraph"/>
        <w:numPr>
          <w:ilvl w:val="0"/>
          <w:numId w:val="3"/>
        </w:numPr>
        <w:tabs>
          <w:tab w:pos="940" w:val="left" w:leader="none"/>
        </w:tabs>
        <w:spacing w:line="240" w:lineRule="auto" w:before="1" w:after="0"/>
        <w:ind w:left="940" w:right="141" w:hanging="360"/>
        <w:jc w:val="left"/>
        <w:rPr>
          <w:sz w:val="24"/>
        </w:rPr>
      </w:pPr>
      <w:r>
        <w:rPr>
          <w:sz w:val="24"/>
        </w:rPr>
        <w:t>On the one hand, if the witness provides “testimony that could not be offered without specialized experiences, knowledge, or training, then the witness is offering expert testimony.” On the other hand, if the witness “provides testimony that could be expected to be based on an ordinary person’s experiences or knowledge, then</w:t>
      </w:r>
      <w:r>
        <w:rPr>
          <w:spacing w:val="-30"/>
          <w:sz w:val="24"/>
        </w:rPr>
        <w:t> </w:t>
      </w:r>
      <w:r>
        <w:rPr>
          <w:sz w:val="24"/>
        </w:rPr>
        <w:t>the witness is offering lay testimony.” </w:t>
      </w:r>
      <w:r>
        <w:rPr>
          <w:i/>
          <w:sz w:val="24"/>
        </w:rPr>
        <w:t>Venalonzo v. People</w:t>
      </w:r>
      <w:r>
        <w:rPr>
          <w:sz w:val="24"/>
        </w:rPr>
        <w:t>, 388 P.3d 868, 871 (Colo. 2017).</w:t>
      </w:r>
    </w:p>
    <w:p>
      <w:pPr>
        <w:pStyle w:val="BodyText"/>
      </w:pPr>
    </w:p>
    <w:p>
      <w:pPr>
        <w:pStyle w:val="Heading1"/>
        <w:numPr>
          <w:ilvl w:val="0"/>
          <w:numId w:val="1"/>
        </w:numPr>
        <w:tabs>
          <w:tab w:pos="940" w:val="left" w:leader="none"/>
        </w:tabs>
        <w:spacing w:line="240" w:lineRule="auto" w:before="1" w:after="0"/>
        <w:ind w:left="940" w:right="0" w:hanging="360"/>
        <w:jc w:val="left"/>
      </w:pPr>
      <w:r>
        <w:rPr/>
        <w:t>SPECIFIC</w:t>
      </w:r>
      <w:r>
        <w:rPr>
          <w:spacing w:val="-1"/>
        </w:rPr>
        <w:t> </w:t>
      </w:r>
      <w:r>
        <w:rPr/>
        <w:t>CHALLENGE</w:t>
      </w:r>
    </w:p>
    <w:p>
      <w:pPr>
        <w:pStyle w:val="ListParagraph"/>
        <w:numPr>
          <w:ilvl w:val="0"/>
          <w:numId w:val="4"/>
        </w:numPr>
        <w:tabs>
          <w:tab w:pos="940" w:val="left" w:leader="none"/>
        </w:tabs>
        <w:spacing w:line="240" w:lineRule="auto" w:before="239" w:after="0"/>
        <w:ind w:left="940" w:right="165" w:hanging="360"/>
        <w:jc w:val="left"/>
        <w:rPr>
          <w:sz w:val="24"/>
        </w:rPr>
      </w:pPr>
      <w:r>
        <w:rPr>
          <w:sz w:val="24"/>
        </w:rPr>
        <w:t>Here, the defense asserts that Ms. Lamanna’s proposed testimony will not be helpful to the jury and is more prejudicial than probative. Moreover, Ms. Lamanna’s proposed testimony is not based on reliable scientific principles and she is not qualified to opine as an</w:t>
      </w:r>
      <w:r>
        <w:rPr>
          <w:spacing w:val="-7"/>
          <w:sz w:val="24"/>
        </w:rPr>
        <w:t> </w:t>
      </w:r>
      <w:r>
        <w:rPr>
          <w:sz w:val="24"/>
        </w:rPr>
        <w:t>expert.</w:t>
      </w:r>
    </w:p>
    <w:p>
      <w:pPr>
        <w:pStyle w:val="BodyText"/>
        <w:spacing w:before="11"/>
        <w:rPr>
          <w:sz w:val="23"/>
        </w:rPr>
      </w:pPr>
    </w:p>
    <w:p>
      <w:pPr>
        <w:pStyle w:val="ListParagraph"/>
        <w:numPr>
          <w:ilvl w:val="0"/>
          <w:numId w:val="4"/>
        </w:numPr>
        <w:tabs>
          <w:tab w:pos="940" w:val="left" w:leader="none"/>
        </w:tabs>
        <w:spacing w:line="240" w:lineRule="auto" w:before="0" w:after="0"/>
        <w:ind w:left="940" w:right="191" w:hanging="360"/>
        <w:jc w:val="left"/>
        <w:rPr>
          <w:sz w:val="24"/>
        </w:rPr>
      </w:pPr>
      <w:r>
        <w:rPr>
          <w:sz w:val="24"/>
        </w:rPr>
        <w:t>If allowed to testify, it is likely Ms. Lamanna will testify to “victim recantation and lack of cooperation.” Such testimony is not helpful to the jury and is more prejudicial than probative. Recantation and lack of cooperation is something ordinary people can be expected to know and understand. Jurors can evaluate the evidence and alleged victim’s credibility without expert testimony. Such opinion testimony is not helpful to understand the issues in this case, is a needless presentation of cumulative evidence, a waste of time, and most importantly, is</w:t>
      </w:r>
      <w:r>
        <w:rPr>
          <w:spacing w:val="-20"/>
          <w:sz w:val="24"/>
        </w:rPr>
        <w:t> </w:t>
      </w:r>
      <w:r>
        <w:rPr>
          <w:sz w:val="24"/>
        </w:rPr>
        <w:t>more</w:t>
      </w:r>
    </w:p>
    <w:p>
      <w:pPr>
        <w:spacing w:after="0" w:line="240" w:lineRule="auto"/>
        <w:jc w:val="left"/>
        <w:rPr>
          <w:sz w:val="24"/>
        </w:rPr>
        <w:sectPr>
          <w:pgSz w:w="12240" w:h="15840"/>
          <w:pgMar w:top="1360" w:bottom="280" w:left="1220" w:right="1320"/>
        </w:sectPr>
      </w:pPr>
    </w:p>
    <w:p>
      <w:pPr>
        <w:pStyle w:val="BodyText"/>
        <w:spacing w:before="80"/>
        <w:ind w:left="940" w:right="151"/>
      </w:pPr>
      <w:r>
        <w:rPr/>
        <w:t>prejudicial than probative because it serves to bolster the alleged victim’s testimony. Jurors can and should be evaluating the alleged victim’s credibility based on her testimony on the witness stand and prior inconsistent and consistent statements.</w:t>
      </w:r>
    </w:p>
    <w:p>
      <w:pPr>
        <w:pStyle w:val="BodyText"/>
        <w:spacing w:before="11"/>
        <w:rPr>
          <w:sz w:val="23"/>
        </w:rPr>
      </w:pPr>
    </w:p>
    <w:p>
      <w:pPr>
        <w:pStyle w:val="ListParagraph"/>
        <w:numPr>
          <w:ilvl w:val="0"/>
          <w:numId w:val="4"/>
        </w:numPr>
        <w:tabs>
          <w:tab w:pos="940" w:val="left" w:leader="none"/>
        </w:tabs>
        <w:spacing w:line="240" w:lineRule="auto" w:before="0" w:after="0"/>
        <w:ind w:left="940" w:right="153" w:hanging="360"/>
        <w:jc w:val="left"/>
        <w:rPr>
          <w:sz w:val="24"/>
        </w:rPr>
      </w:pPr>
      <w:r>
        <w:rPr>
          <w:sz w:val="24"/>
        </w:rPr>
        <w:t>Next, any testimony regarding the “cycle of violence” inherently suggests that there are previous or subsequent instances of violence between Mr. Padilla and the alleged victim and implicates prior acts evidence under CRE 404(b). This is not only prior acts evidence, but more prejudicial than</w:t>
      </w:r>
      <w:r>
        <w:rPr>
          <w:spacing w:val="-4"/>
          <w:sz w:val="24"/>
        </w:rPr>
        <w:t> </w:t>
      </w:r>
      <w:r>
        <w:rPr>
          <w:sz w:val="24"/>
        </w:rPr>
        <w:t>probative.</w:t>
      </w:r>
    </w:p>
    <w:p>
      <w:pPr>
        <w:pStyle w:val="BodyText"/>
        <w:spacing w:before="1"/>
      </w:pPr>
    </w:p>
    <w:p>
      <w:pPr>
        <w:pStyle w:val="ListParagraph"/>
        <w:numPr>
          <w:ilvl w:val="0"/>
          <w:numId w:val="4"/>
        </w:numPr>
        <w:tabs>
          <w:tab w:pos="940" w:val="left" w:leader="none"/>
        </w:tabs>
        <w:spacing w:line="240" w:lineRule="auto" w:before="0" w:after="0"/>
        <w:ind w:left="940" w:right="213" w:hanging="360"/>
        <w:jc w:val="left"/>
        <w:rPr>
          <w:sz w:val="24"/>
        </w:rPr>
      </w:pPr>
      <w:r>
        <w:rPr>
          <w:sz w:val="24"/>
        </w:rPr>
        <w:t>Furthermore, Ms. Lamanna is not qualified to testify as an expert in this case. In</w:t>
      </w:r>
      <w:r>
        <w:rPr>
          <w:spacing w:val="-34"/>
          <w:sz w:val="24"/>
        </w:rPr>
        <w:t> </w:t>
      </w:r>
      <w:r>
        <w:rPr>
          <w:sz w:val="24"/>
        </w:rPr>
        <w:t>the alternative, the defense asserts that based on Ms. Lamanna’s generic expert testimony report and CV, the Court does not have sufficient information before it at this time to make the necessary specific findings under CRE 702 and 403 regarding the reliability of the principles forming the basis of Ms. Lamanna’s opinion, her qualifications, whether the proposed testimony will be helpful to the jury, and whether it is more prejudicial than</w:t>
      </w:r>
      <w:r>
        <w:rPr>
          <w:spacing w:val="-5"/>
          <w:sz w:val="24"/>
        </w:rPr>
        <w:t> </w:t>
      </w:r>
      <w:r>
        <w:rPr>
          <w:sz w:val="24"/>
        </w:rPr>
        <w:t>probative.</w:t>
      </w:r>
    </w:p>
    <w:p>
      <w:pPr>
        <w:pStyle w:val="BodyText"/>
        <w:spacing w:line="204" w:lineRule="auto" w:before="238"/>
        <w:ind w:left="220" w:right="147" w:firstLine="360"/>
      </w:pPr>
      <w:r>
        <w:rPr/>
        <w:t>WHEREFORE, Mr. Padilla objects to the prosecution’s endorsement of Ms. Lamanna as an expert and her proposed testimony. In the alternative, Mr. Padilla requests a 702 </w:t>
      </w:r>
      <w:r>
        <w:rPr>
          <w:i/>
        </w:rPr>
        <w:t>Shreck </w:t>
      </w:r>
      <w:r>
        <w:rPr/>
        <w:t>hearing to determine the admissibility of the proposed testimony.</w:t>
      </w:r>
    </w:p>
    <w:p>
      <w:pPr>
        <w:pStyle w:val="BodyText"/>
        <w:spacing w:line="480" w:lineRule="atLeast" w:before="9"/>
        <w:ind w:left="220" w:right="7048"/>
      </w:pPr>
      <w:r>
        <w:rPr/>
        <w:t>Respectfully submitted, DOUGLAS K. WILSON</w:t>
      </w:r>
    </w:p>
    <w:p>
      <w:pPr>
        <w:pStyle w:val="BodyText"/>
        <w:spacing w:line="240" w:lineRule="exact"/>
        <w:ind w:left="220"/>
      </w:pPr>
      <w:r>
        <w:rPr/>
        <w:t>COLORADO STATE PUBLIC DEFENDER</w:t>
      </w:r>
    </w:p>
    <w:p>
      <w:pPr>
        <w:pStyle w:val="BodyText"/>
        <w:spacing w:before="9"/>
        <w:rPr>
          <w:sz w:val="9"/>
        </w:rPr>
      </w:pPr>
    </w:p>
    <w:p>
      <w:pPr>
        <w:pStyle w:val="BodyText"/>
        <w:ind w:left="213"/>
        <w:rPr>
          <w:sz w:val="20"/>
        </w:rPr>
      </w:pPr>
      <w:r>
        <w:rPr>
          <w:sz w:val="20"/>
        </w:rPr>
        <w:pict>
          <v:group style="width:176.35pt;height:28.55pt;mso-position-horizontal-relative:char;mso-position-vertical-relative:line" coordorigin="0,0" coordsize="3527,571">
            <v:shape style="position:absolute;left:28;top:0;width:906;height:525" type="#_x0000_t75" stroked="false">
              <v:imagedata r:id="rId7" o:title=""/>
            </v:shape>
            <v:line style="position:absolute" from="941,564" to="3526,564" stroked="true" strokeweight=".679688pt" strokecolor="#000000">
              <v:stroke dashstyle="solid"/>
            </v:line>
            <v:line style="position:absolute" from="0,563" to="3521,563" stroked="true" strokeweight=".66pt" strokecolor="#000000">
              <v:stroke dashstyle="solid"/>
            </v:line>
          </v:group>
        </w:pict>
      </w:r>
      <w:r>
        <w:rPr>
          <w:sz w:val="20"/>
        </w:rPr>
      </w:r>
    </w:p>
    <w:p>
      <w:pPr>
        <w:spacing w:after="0"/>
        <w:rPr>
          <w:sz w:val="20"/>
        </w:rPr>
        <w:sectPr>
          <w:pgSz w:w="12240" w:h="15840"/>
          <w:pgMar w:top="1360" w:bottom="280" w:left="1220" w:right="1320"/>
        </w:sectPr>
      </w:pPr>
    </w:p>
    <w:p>
      <w:pPr>
        <w:pStyle w:val="BodyText"/>
        <w:spacing w:line="219" w:lineRule="exact"/>
        <w:ind w:left="220"/>
      </w:pPr>
      <w:r>
        <w:rPr/>
        <w:t>HILLARY C. AIZENMAN, No. 42351</w:t>
      </w:r>
    </w:p>
    <w:p>
      <w:pPr>
        <w:pStyle w:val="BodyText"/>
        <w:spacing w:line="204" w:lineRule="auto" w:before="13"/>
        <w:ind w:left="220" w:right="568"/>
      </w:pPr>
      <w:r>
        <w:rPr/>
        <w:t>Deputy State Public Defender 4710 East Bromley Lane Brighton, CO 80601</w:t>
      </w:r>
    </w:p>
    <w:p>
      <w:pPr>
        <w:pStyle w:val="BodyText"/>
        <w:spacing w:line="250" w:lineRule="exact"/>
        <w:ind w:left="220"/>
      </w:pPr>
      <w:r>
        <w:rPr/>
        <w:t>(303) 659‐4274</w:t>
      </w:r>
    </w:p>
    <w:p>
      <w:pPr>
        <w:pStyle w:val="BodyText"/>
        <w:rPr>
          <w:sz w:val="28"/>
        </w:rPr>
      </w:pPr>
    </w:p>
    <w:p>
      <w:pPr>
        <w:pStyle w:val="BodyText"/>
        <w:rPr>
          <w:sz w:val="28"/>
        </w:rPr>
      </w:pPr>
    </w:p>
    <w:p>
      <w:pPr>
        <w:pStyle w:val="BodyText"/>
        <w:spacing w:before="4"/>
        <w:rPr>
          <w:sz w:val="22"/>
        </w:rPr>
      </w:pPr>
    </w:p>
    <w:p>
      <w:pPr>
        <w:pStyle w:val="BodyText"/>
        <w:ind w:left="220"/>
      </w:pPr>
      <w:r>
        <w:rPr/>
        <w:t>Dated: Tuesday, May 02, 2017</w:t>
      </w:r>
    </w:p>
    <w:p>
      <w:pPr>
        <w:pStyle w:val="Heading1"/>
        <w:spacing w:line="219" w:lineRule="exact"/>
        <w:ind w:left="220" w:firstLine="0"/>
      </w:pPr>
      <w:r>
        <w:rPr>
          <w:b w:val="0"/>
        </w:rPr>
        <w:br w:type="column"/>
      </w:r>
      <w:r>
        <w:rPr>
          <w:u w:val="single"/>
        </w:rPr>
        <w:t>Certificate of Service</w:t>
      </w:r>
    </w:p>
    <w:p>
      <w:pPr>
        <w:pStyle w:val="BodyText"/>
        <w:spacing w:line="204" w:lineRule="auto" w:before="13"/>
        <w:ind w:left="220" w:right="115"/>
        <w:jc w:val="both"/>
      </w:pPr>
      <w:r>
        <w:rPr/>
        <w:t>I hereby certify that on this 2nd day of May, 2017, a true and correct copy of the foregoing MOTION was served via ICCES on all parties who appear of record and have entered their appearances herein according to ICCES. </w:t>
      </w:r>
      <w:r>
        <w:rPr>
          <w:u w:val="single"/>
        </w:rPr>
        <w:t>/s/ Hillary</w:t>
      </w:r>
      <w:r>
        <w:rPr>
          <w:spacing w:val="-6"/>
          <w:u w:val="single"/>
        </w:rPr>
        <w:t> </w:t>
      </w:r>
      <w:r>
        <w:rPr>
          <w:u w:val="single"/>
        </w:rPr>
        <w:t>Aizenman</w:t>
      </w:r>
    </w:p>
    <w:sectPr>
      <w:type w:val="continuous"/>
      <w:pgSz w:w="12240" w:h="15840"/>
      <w:pgMar w:top="1440" w:bottom="280" w:left="1220" w:right="1320"/>
      <w:cols w:num="2" w:equalWidth="0">
        <w:col w:w="3814" w:space="2144"/>
        <w:col w:w="374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40" w:hanging="360"/>
        <w:jc w:val="left"/>
      </w:pPr>
      <w:rPr>
        <w:rFonts w:hint="default" w:ascii="Cambria" w:hAnsi="Cambria" w:eastAsia="Cambria" w:cs="Cambria"/>
        <w:spacing w:val="-2"/>
        <w:w w:val="100"/>
        <w:sz w:val="24"/>
        <w:szCs w:val="24"/>
      </w:rPr>
    </w:lvl>
    <w:lvl w:ilvl="1">
      <w:start w:val="0"/>
      <w:numFmt w:val="bullet"/>
      <w:lvlText w:val="•"/>
      <w:lvlJc w:val="left"/>
      <w:pPr>
        <w:ind w:left="1816" w:hanging="360"/>
      </w:pPr>
      <w:rPr>
        <w:rFonts w:hint="default"/>
      </w:rPr>
    </w:lvl>
    <w:lvl w:ilvl="2">
      <w:start w:val="0"/>
      <w:numFmt w:val="bullet"/>
      <w:lvlText w:val="•"/>
      <w:lvlJc w:val="left"/>
      <w:pPr>
        <w:ind w:left="2692" w:hanging="360"/>
      </w:pPr>
      <w:rPr>
        <w:rFonts w:hint="default"/>
      </w:rPr>
    </w:lvl>
    <w:lvl w:ilvl="3">
      <w:start w:val="0"/>
      <w:numFmt w:val="bullet"/>
      <w:lvlText w:val="•"/>
      <w:lvlJc w:val="left"/>
      <w:pPr>
        <w:ind w:left="3568" w:hanging="360"/>
      </w:pPr>
      <w:rPr>
        <w:rFonts w:hint="default"/>
      </w:rPr>
    </w:lvl>
    <w:lvl w:ilvl="4">
      <w:start w:val="0"/>
      <w:numFmt w:val="bullet"/>
      <w:lvlText w:val="•"/>
      <w:lvlJc w:val="left"/>
      <w:pPr>
        <w:ind w:left="4444"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72" w:hanging="360"/>
      </w:pPr>
      <w:rPr>
        <w:rFonts w:hint="default"/>
      </w:rPr>
    </w:lvl>
    <w:lvl w:ilvl="8">
      <w:start w:val="0"/>
      <w:numFmt w:val="bullet"/>
      <w:lvlText w:val="•"/>
      <w:lvlJc w:val="left"/>
      <w:pPr>
        <w:ind w:left="7948" w:hanging="360"/>
      </w:pPr>
      <w:rPr>
        <w:rFonts w:hint="default"/>
      </w:rPr>
    </w:lvl>
  </w:abstractNum>
  <w:abstractNum w:abstractNumId="2">
    <w:multiLevelType w:val="hybridMultilevel"/>
    <w:lvl w:ilvl="0">
      <w:start w:val="1"/>
      <w:numFmt w:val="decimal"/>
      <w:lvlText w:val="%1."/>
      <w:lvlJc w:val="left"/>
      <w:pPr>
        <w:ind w:left="940" w:hanging="360"/>
        <w:jc w:val="left"/>
      </w:pPr>
      <w:rPr>
        <w:rFonts w:hint="default" w:ascii="Cambria" w:hAnsi="Cambria" w:eastAsia="Cambria" w:cs="Cambria"/>
        <w:spacing w:val="-4"/>
        <w:w w:val="100"/>
        <w:sz w:val="24"/>
        <w:szCs w:val="24"/>
      </w:rPr>
    </w:lvl>
    <w:lvl w:ilvl="1">
      <w:start w:val="0"/>
      <w:numFmt w:val="bullet"/>
      <w:lvlText w:val="•"/>
      <w:lvlJc w:val="left"/>
      <w:pPr>
        <w:ind w:left="1816" w:hanging="360"/>
      </w:pPr>
      <w:rPr>
        <w:rFonts w:hint="default"/>
      </w:rPr>
    </w:lvl>
    <w:lvl w:ilvl="2">
      <w:start w:val="0"/>
      <w:numFmt w:val="bullet"/>
      <w:lvlText w:val="•"/>
      <w:lvlJc w:val="left"/>
      <w:pPr>
        <w:ind w:left="2692" w:hanging="360"/>
      </w:pPr>
      <w:rPr>
        <w:rFonts w:hint="default"/>
      </w:rPr>
    </w:lvl>
    <w:lvl w:ilvl="3">
      <w:start w:val="0"/>
      <w:numFmt w:val="bullet"/>
      <w:lvlText w:val="•"/>
      <w:lvlJc w:val="left"/>
      <w:pPr>
        <w:ind w:left="3568" w:hanging="360"/>
      </w:pPr>
      <w:rPr>
        <w:rFonts w:hint="default"/>
      </w:rPr>
    </w:lvl>
    <w:lvl w:ilvl="4">
      <w:start w:val="0"/>
      <w:numFmt w:val="bullet"/>
      <w:lvlText w:val="•"/>
      <w:lvlJc w:val="left"/>
      <w:pPr>
        <w:ind w:left="4444"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72" w:hanging="360"/>
      </w:pPr>
      <w:rPr>
        <w:rFonts w:hint="default"/>
      </w:rPr>
    </w:lvl>
    <w:lvl w:ilvl="8">
      <w:start w:val="0"/>
      <w:numFmt w:val="bullet"/>
      <w:lvlText w:val="•"/>
      <w:lvlJc w:val="left"/>
      <w:pPr>
        <w:ind w:left="7948" w:hanging="360"/>
      </w:pPr>
      <w:rPr>
        <w:rFonts w:hint="default"/>
      </w:rPr>
    </w:lvl>
  </w:abstractNum>
  <w:abstractNum w:abstractNumId="1">
    <w:multiLevelType w:val="hybridMultilevel"/>
    <w:lvl w:ilvl="0">
      <w:start w:val="1"/>
      <w:numFmt w:val="decimal"/>
      <w:lvlText w:val="%1."/>
      <w:lvlJc w:val="left"/>
      <w:pPr>
        <w:ind w:left="940" w:hanging="360"/>
        <w:jc w:val="left"/>
      </w:pPr>
      <w:rPr>
        <w:rFonts w:hint="default" w:ascii="Cambria" w:hAnsi="Cambria" w:eastAsia="Cambria" w:cs="Cambria"/>
        <w:spacing w:val="-3"/>
        <w:w w:val="100"/>
        <w:sz w:val="24"/>
        <w:szCs w:val="24"/>
      </w:rPr>
    </w:lvl>
    <w:lvl w:ilvl="1">
      <w:start w:val="0"/>
      <w:numFmt w:val="bullet"/>
      <w:lvlText w:val="•"/>
      <w:lvlJc w:val="left"/>
      <w:pPr>
        <w:ind w:left="1816" w:hanging="360"/>
      </w:pPr>
      <w:rPr>
        <w:rFonts w:hint="default"/>
      </w:rPr>
    </w:lvl>
    <w:lvl w:ilvl="2">
      <w:start w:val="0"/>
      <w:numFmt w:val="bullet"/>
      <w:lvlText w:val="•"/>
      <w:lvlJc w:val="left"/>
      <w:pPr>
        <w:ind w:left="2692" w:hanging="360"/>
      </w:pPr>
      <w:rPr>
        <w:rFonts w:hint="default"/>
      </w:rPr>
    </w:lvl>
    <w:lvl w:ilvl="3">
      <w:start w:val="0"/>
      <w:numFmt w:val="bullet"/>
      <w:lvlText w:val="•"/>
      <w:lvlJc w:val="left"/>
      <w:pPr>
        <w:ind w:left="3568" w:hanging="360"/>
      </w:pPr>
      <w:rPr>
        <w:rFonts w:hint="default"/>
      </w:rPr>
    </w:lvl>
    <w:lvl w:ilvl="4">
      <w:start w:val="0"/>
      <w:numFmt w:val="bullet"/>
      <w:lvlText w:val="•"/>
      <w:lvlJc w:val="left"/>
      <w:pPr>
        <w:ind w:left="4444"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72" w:hanging="360"/>
      </w:pPr>
      <w:rPr>
        <w:rFonts w:hint="default"/>
      </w:rPr>
    </w:lvl>
    <w:lvl w:ilvl="8">
      <w:start w:val="0"/>
      <w:numFmt w:val="bullet"/>
      <w:lvlText w:val="•"/>
      <w:lvlJc w:val="left"/>
      <w:pPr>
        <w:ind w:left="7948" w:hanging="360"/>
      </w:pPr>
      <w:rPr>
        <w:rFonts w:hint="default"/>
      </w:rPr>
    </w:lvl>
  </w:abstractNum>
  <w:abstractNum w:abstractNumId="0">
    <w:multiLevelType w:val="hybridMultilevel"/>
    <w:lvl w:ilvl="0">
      <w:start w:val="1"/>
      <w:numFmt w:val="upperLetter"/>
      <w:lvlText w:val="%1."/>
      <w:lvlJc w:val="left"/>
      <w:pPr>
        <w:ind w:left="940" w:hanging="360"/>
        <w:jc w:val="left"/>
      </w:pPr>
      <w:rPr>
        <w:rFonts w:hint="default" w:ascii="Cambria" w:hAnsi="Cambria" w:eastAsia="Cambria" w:cs="Cambria"/>
        <w:b/>
        <w:bCs/>
        <w:spacing w:val="-11"/>
        <w:w w:val="100"/>
        <w:sz w:val="24"/>
        <w:szCs w:val="24"/>
      </w:rPr>
    </w:lvl>
    <w:lvl w:ilvl="1">
      <w:start w:val="0"/>
      <w:numFmt w:val="bullet"/>
      <w:lvlText w:val="•"/>
      <w:lvlJc w:val="left"/>
      <w:pPr>
        <w:ind w:left="1816" w:hanging="360"/>
      </w:pPr>
      <w:rPr>
        <w:rFonts w:hint="default"/>
      </w:rPr>
    </w:lvl>
    <w:lvl w:ilvl="2">
      <w:start w:val="0"/>
      <w:numFmt w:val="bullet"/>
      <w:lvlText w:val="•"/>
      <w:lvlJc w:val="left"/>
      <w:pPr>
        <w:ind w:left="2692" w:hanging="360"/>
      </w:pPr>
      <w:rPr>
        <w:rFonts w:hint="default"/>
      </w:rPr>
    </w:lvl>
    <w:lvl w:ilvl="3">
      <w:start w:val="0"/>
      <w:numFmt w:val="bullet"/>
      <w:lvlText w:val="•"/>
      <w:lvlJc w:val="left"/>
      <w:pPr>
        <w:ind w:left="3568" w:hanging="360"/>
      </w:pPr>
      <w:rPr>
        <w:rFonts w:hint="default"/>
      </w:rPr>
    </w:lvl>
    <w:lvl w:ilvl="4">
      <w:start w:val="0"/>
      <w:numFmt w:val="bullet"/>
      <w:lvlText w:val="•"/>
      <w:lvlJc w:val="left"/>
      <w:pPr>
        <w:ind w:left="4444"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72" w:hanging="360"/>
      </w:pPr>
      <w:rPr>
        <w:rFonts w:hint="default"/>
      </w:rPr>
    </w:lvl>
    <w:lvl w:ilvl="8">
      <w:start w:val="0"/>
      <w:numFmt w:val="bullet"/>
      <w:lvlText w:val="•"/>
      <w:lvlJc w:val="left"/>
      <w:pPr>
        <w:ind w:left="7948"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ind w:left="940" w:hanging="360"/>
      <w:outlineLvl w:val="1"/>
    </w:pPr>
    <w:rPr>
      <w:rFonts w:ascii="Cambria" w:hAnsi="Cambria" w:eastAsia="Cambria" w:cs="Cambria"/>
      <w:b/>
      <w:bCs/>
      <w:sz w:val="24"/>
      <w:szCs w:val="24"/>
    </w:rPr>
  </w:style>
  <w:style w:styleId="ListParagraph" w:type="paragraph">
    <w:name w:val="List Paragraph"/>
    <w:basedOn w:val="Normal"/>
    <w:uiPriority w:val="1"/>
    <w:qFormat/>
    <w:pPr>
      <w:ind w:left="940" w:hanging="360"/>
    </w:pPr>
    <w:rPr>
      <w:rFonts w:ascii="Cambria" w:hAnsi="Cambria" w:eastAsia="Cambria" w:cs="Cambria"/>
    </w:rPr>
  </w:style>
  <w:style w:styleId="TableParagraph" w:type="paragraph">
    <w:name w:val="Table Paragraph"/>
    <w:basedOn w:val="Normal"/>
    <w:uiPriority w:val="1"/>
    <w:qFormat/>
    <w:pPr>
      <w:ind w:left="107"/>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illary.aizenman@coloradodefenders.us" TargetMode="External"/><Relationship Id="rId6" Type="http://schemas.openxmlformats.org/officeDocument/2006/relationships/hyperlink" Target="mailto:.aizenman@coloradodefenders.us"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2019-03-20T18:06:55Z</dcterms:created>
  <dcterms:modified xsi:type="dcterms:W3CDTF">2019-03-20T18:06:55Z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LastSaved">
    <vt:filetime>2019-03-20T00:00:00Z</vt:filetime>
  </property>
</Properties>
</file>