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23" w:hRule="atLeast"/>
        </w:trPr>
        <w:tc>
          <w:tcPr>
            <w:tcW w:w="5956" w:type="dxa"/>
          </w:tcPr>
          <w:p>
            <w:pPr>
              <w:pStyle w:val="TableParagraph"/>
              <w:spacing w:line="315" w:lineRule="exact"/>
              <w:ind w:left="107"/>
              <w:rPr>
                <w:sz w:val="28"/>
              </w:rPr>
            </w:pPr>
            <w:r>
              <w:rPr>
                <w:sz w:val="28"/>
              </w:rPr>
              <w:t>DISTRICT COURT</w:t>
            </w:r>
          </w:p>
          <w:p>
            <w:pPr>
              <w:pStyle w:val="TableParagraph"/>
              <w:spacing w:before="16"/>
              <w:ind w:left="107"/>
              <w:rPr>
                <w:sz w:val="28"/>
              </w:rPr>
            </w:pPr>
            <w:r>
              <w:rPr>
                <w:sz w:val="28"/>
              </w:rPr>
              <w:t>JEFFERSON COUNTY, COLORADO</w:t>
            </w:r>
          </w:p>
          <w:p>
            <w:pPr>
              <w:pStyle w:val="TableParagraph"/>
              <w:spacing w:line="330" w:lineRule="atLeast" w:before="1"/>
              <w:ind w:left="107" w:right="1178"/>
              <w:rPr>
                <w:sz w:val="28"/>
              </w:rPr>
            </w:pPr>
            <w:r>
              <w:rPr>
                <w:sz w:val="28"/>
              </w:rPr>
              <w:t>100 JEFFERSON COUNTY PARKWAY 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0"/>
              <w:rPr>
                <w:rFonts w:ascii="Times New Roman"/>
                <w:sz w:val="20"/>
              </w:rPr>
            </w:pPr>
            <w:r>
              <w:rPr>
                <w:rFonts w:ascii="Times New Roman"/>
                <w:color w:val="0000FF"/>
                <w:sz w:val="20"/>
              </w:rPr>
              <w:t>DATE FILED: July 27, 2017 11:27 </w:t>
            </w:r>
            <w:r>
              <w:rPr>
                <w:rFonts w:ascii="Times New Roman"/>
                <w:color w:val="0000FF"/>
                <w:spacing w:val="-8"/>
                <w:sz w:val="20"/>
              </w:rPr>
              <w:t>AM </w:t>
            </w:r>
            <w:r>
              <w:rPr>
                <w:rFonts w:ascii="Times New Roman"/>
                <w:color w:val="0000FF"/>
                <w:sz w:val="20"/>
              </w:rPr>
              <w:t>FILING ID:</w:t>
            </w:r>
            <w:r>
              <w:rPr>
                <w:rFonts w:ascii="Times New Roman"/>
                <w:color w:val="0000FF"/>
                <w:spacing w:val="12"/>
                <w:sz w:val="20"/>
              </w:rPr>
              <w:t> </w:t>
            </w:r>
            <w:r>
              <w:rPr>
                <w:rFonts w:ascii="Times New Roman"/>
                <w:color w:val="0000FF"/>
                <w:sz w:val="20"/>
              </w:rPr>
              <w:t>B66D91699A5C1</w:t>
            </w:r>
          </w:p>
          <w:p>
            <w:pPr>
              <w:pStyle w:val="TableParagraph"/>
              <w:spacing w:line="218" w:lineRule="exact"/>
              <w:ind w:left="10"/>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8"/>
              </w:rPr>
            </w:pPr>
          </w:p>
          <w:p>
            <w:pPr>
              <w:pStyle w:val="TableParagraph"/>
              <w:ind w:left="281"/>
              <w:rPr>
                <w:rFonts w:ascii="Symbol" w:hAnsi="Symbol"/>
                <w:sz w:val="28"/>
              </w:rPr>
            </w:pPr>
            <w:r>
              <w:rPr>
                <w:rFonts w:ascii="Symbol" w:hAnsi="Symbol"/>
                <w:sz w:val="28"/>
              </w:rPr>
              <w:t></w:t>
            </w:r>
            <w:r>
              <w:rPr>
                <w:rFonts w:ascii="Times New Roman" w:hAnsi="Times New Roman"/>
                <w:sz w:val="28"/>
              </w:rPr>
              <w:t> </w:t>
            </w:r>
            <w:r>
              <w:rPr>
                <w:sz w:val="28"/>
              </w:rPr>
              <w:t>COURT USE ONLY </w:t>
            </w:r>
            <w:r>
              <w:rPr>
                <w:rFonts w:ascii="Symbol" w:hAnsi="Symbol"/>
                <w:sz w:val="28"/>
              </w:rPr>
              <w:t></w:t>
            </w:r>
          </w:p>
        </w:tc>
      </w:tr>
      <w:tr>
        <w:trPr>
          <w:trHeight w:val="2645" w:hRule="atLeast"/>
        </w:trPr>
        <w:tc>
          <w:tcPr>
            <w:tcW w:w="5956" w:type="dxa"/>
          </w:tcPr>
          <w:p>
            <w:pPr>
              <w:pStyle w:val="TableParagraph"/>
              <w:spacing w:line="252" w:lineRule="auto"/>
              <w:ind w:left="107" w:right="1364"/>
              <w:rPr>
                <w:b/>
                <w:sz w:val="28"/>
              </w:rPr>
            </w:pPr>
            <w:r>
              <w:rPr>
                <w:b/>
                <w:sz w:val="28"/>
              </w:rPr>
              <w:t>THE PEOPLE OF THE STATE OF COLORADO</w:t>
            </w:r>
          </w:p>
          <w:p>
            <w:pPr>
              <w:pStyle w:val="TableParagraph"/>
              <w:spacing w:line="504" w:lineRule="auto"/>
              <w:ind w:left="107" w:right="4782"/>
              <w:rPr>
                <w:sz w:val="28"/>
              </w:rPr>
            </w:pPr>
            <w:r>
              <w:rPr>
                <w:w w:val="95"/>
                <w:sz w:val="28"/>
              </w:rPr>
              <w:t>Plaintiff, </w:t>
            </w:r>
            <w:r>
              <w:rPr>
                <w:sz w:val="28"/>
              </w:rPr>
              <w:t>v.</w:t>
            </w:r>
          </w:p>
          <w:p>
            <w:pPr>
              <w:pStyle w:val="TableParagraph"/>
              <w:ind w:left="107"/>
              <w:rPr>
                <w:sz w:val="28"/>
              </w:rPr>
            </w:pPr>
            <w:r>
              <w:rPr>
                <w:b/>
                <w:sz w:val="28"/>
              </w:rPr>
              <w:t>GARY NICKAL</w:t>
            </w:r>
            <w:r>
              <w:rPr>
                <w:sz w:val="28"/>
              </w:rPr>
              <w:t>,</w:t>
            </w:r>
          </w:p>
          <w:p>
            <w:pPr>
              <w:pStyle w:val="TableParagraph"/>
              <w:spacing w:line="310" w:lineRule="exact" w:before="16"/>
              <w:ind w:left="107"/>
              <w:rPr>
                <w:sz w:val="28"/>
              </w:rPr>
            </w:pPr>
            <w:r>
              <w:rPr>
                <w:sz w:val="28"/>
              </w:rPr>
              <w:t>Accused.</w:t>
            </w:r>
          </w:p>
        </w:tc>
        <w:tc>
          <w:tcPr>
            <w:tcW w:w="3420" w:type="dxa"/>
            <w:vMerge/>
            <w:tcBorders>
              <w:top w:val="nil"/>
            </w:tcBorders>
          </w:tcPr>
          <w:p>
            <w:pPr>
              <w:rPr>
                <w:sz w:val="2"/>
                <w:szCs w:val="2"/>
              </w:rPr>
            </w:pPr>
          </w:p>
        </w:tc>
      </w:tr>
      <w:tr>
        <w:trPr>
          <w:trHeight w:val="5157" w:hRule="atLeast"/>
        </w:trPr>
        <w:tc>
          <w:tcPr>
            <w:tcW w:w="5956" w:type="dxa"/>
          </w:tcPr>
          <w:p>
            <w:pPr>
              <w:pStyle w:val="TableParagraph"/>
              <w:spacing w:before="1"/>
              <w:ind w:left="107"/>
              <w:rPr>
                <w:sz w:val="28"/>
              </w:rPr>
            </w:pPr>
            <w:r>
              <w:rPr>
                <w:sz w:val="28"/>
              </w:rPr>
              <w:t>M</w:t>
            </w:r>
            <w:r>
              <w:rPr>
                <w:sz w:val="22"/>
              </w:rPr>
              <w:t>ULLIGAN </w:t>
            </w:r>
            <w:r>
              <w:rPr>
                <w:sz w:val="28"/>
              </w:rPr>
              <w:t>B</w:t>
            </w:r>
            <w:r>
              <w:rPr>
                <w:sz w:val="22"/>
              </w:rPr>
              <w:t>RIET</w:t>
            </w:r>
            <w:r>
              <w:rPr>
                <w:sz w:val="28"/>
              </w:rPr>
              <w:t>, LLC</w:t>
            </w:r>
          </w:p>
          <w:p>
            <w:pPr>
              <w:pStyle w:val="TableParagraph"/>
              <w:spacing w:before="15"/>
              <w:ind w:left="107"/>
              <w:rPr>
                <w:sz w:val="28"/>
              </w:rPr>
            </w:pPr>
            <w:r>
              <w:rPr>
                <w:sz w:val="28"/>
              </w:rPr>
              <w:t>Patrick Mulligan, #16981</w:t>
            </w:r>
          </w:p>
          <w:p>
            <w:pPr>
              <w:pStyle w:val="TableParagraph"/>
              <w:spacing w:before="16"/>
              <w:ind w:left="107"/>
              <w:rPr>
                <w:sz w:val="28"/>
              </w:rPr>
            </w:pPr>
            <w:r>
              <w:rPr>
                <w:sz w:val="28"/>
              </w:rPr>
              <w:t>1801 Broadway, Suite 1203</w:t>
            </w:r>
          </w:p>
          <w:p>
            <w:pPr>
              <w:pStyle w:val="TableParagraph"/>
              <w:spacing w:before="15"/>
              <w:ind w:left="107"/>
              <w:rPr>
                <w:sz w:val="28"/>
              </w:rPr>
            </w:pPr>
            <w:r>
              <w:rPr>
                <w:sz w:val="28"/>
              </w:rPr>
              <w:t>Denver, CO 80202</w:t>
            </w:r>
          </w:p>
          <w:p>
            <w:pPr>
              <w:pStyle w:val="TableParagraph"/>
              <w:spacing w:line="252" w:lineRule="auto" w:before="16"/>
              <w:ind w:left="107" w:right="3395" w:hanging="1"/>
              <w:rPr>
                <w:sz w:val="28"/>
              </w:rPr>
            </w:pPr>
            <w:r>
              <w:rPr>
                <w:sz w:val="28"/>
              </w:rPr>
              <w:t>P</w:t>
            </w:r>
            <w:r>
              <w:rPr>
                <w:sz w:val="22"/>
              </w:rPr>
              <w:t>H</w:t>
            </w:r>
            <w:r>
              <w:rPr>
                <w:sz w:val="28"/>
              </w:rPr>
              <w:t>. 303-295-1500 F</w:t>
            </w:r>
            <w:r>
              <w:rPr>
                <w:sz w:val="22"/>
              </w:rPr>
              <w:t>AX</w:t>
            </w:r>
            <w:r>
              <w:rPr>
                <w:sz w:val="28"/>
              </w:rPr>
              <w:t>:</w:t>
            </w:r>
          </w:p>
          <w:p>
            <w:pPr>
              <w:pStyle w:val="TableParagraph"/>
              <w:spacing w:line="314" w:lineRule="exact"/>
              <w:ind w:left="107"/>
              <w:rPr>
                <w:sz w:val="28"/>
              </w:rPr>
            </w:pPr>
            <w:r>
              <w:rPr>
                <w:sz w:val="28"/>
              </w:rPr>
              <w:t>E</w:t>
            </w:r>
            <w:r>
              <w:rPr>
                <w:sz w:val="22"/>
              </w:rPr>
              <w:t>MAIL</w:t>
            </w:r>
            <w:r>
              <w:rPr>
                <w:sz w:val="28"/>
              </w:rPr>
              <w:t>: </w:t>
            </w:r>
            <w:hyperlink r:id="rId5">
              <w:r>
                <w:rPr>
                  <w:color w:val="0563C1"/>
                  <w:sz w:val="28"/>
                  <w:u w:val="single" w:color="0563C1"/>
                </w:rPr>
                <w:t>Patrick@MulliganBriet.com</w:t>
              </w:r>
            </w:hyperlink>
          </w:p>
          <w:p>
            <w:pPr>
              <w:pStyle w:val="TableParagraph"/>
              <w:rPr>
                <w:rFonts w:ascii="Times New Roman"/>
                <w:sz w:val="38"/>
              </w:rPr>
            </w:pPr>
          </w:p>
          <w:p>
            <w:pPr>
              <w:pStyle w:val="TableParagraph"/>
              <w:spacing w:before="1"/>
              <w:ind w:left="107" w:right="1362"/>
              <w:rPr>
                <w:sz w:val="28"/>
              </w:rPr>
            </w:pPr>
            <w:r>
              <w:rPr>
                <w:sz w:val="28"/>
              </w:rPr>
              <w:t>THE LAW OFFICE OF JENNIFER E. LONGTIN, LLC</w:t>
            </w:r>
          </w:p>
          <w:p>
            <w:pPr>
              <w:pStyle w:val="TableParagraph"/>
              <w:spacing w:line="276" w:lineRule="auto"/>
              <w:ind w:left="107" w:right="2739"/>
              <w:rPr>
                <w:sz w:val="28"/>
              </w:rPr>
            </w:pPr>
            <w:r>
              <w:rPr>
                <w:sz w:val="28"/>
              </w:rPr>
              <w:t>Jennifer E. Longtin, #43509 2401 S. Downing St.</w:t>
            </w:r>
          </w:p>
          <w:p>
            <w:pPr>
              <w:pStyle w:val="TableParagraph"/>
              <w:spacing w:line="269" w:lineRule="exact"/>
              <w:ind w:left="107"/>
              <w:rPr>
                <w:sz w:val="28"/>
              </w:rPr>
            </w:pPr>
            <w:r>
              <w:rPr>
                <w:sz w:val="28"/>
              </w:rPr>
              <w:t>Denver, CO 80201</w:t>
            </w:r>
          </w:p>
          <w:p>
            <w:pPr>
              <w:pStyle w:val="TableParagraph"/>
              <w:spacing w:line="269" w:lineRule="exact"/>
              <w:ind w:left="108"/>
              <w:rPr>
                <w:sz w:val="28"/>
              </w:rPr>
            </w:pPr>
            <w:r>
              <w:rPr>
                <w:sz w:val="28"/>
              </w:rPr>
              <w:t>Ph. 303.747.6898</w:t>
            </w:r>
          </w:p>
          <w:p>
            <w:pPr>
              <w:pStyle w:val="TableParagraph"/>
              <w:spacing w:line="269" w:lineRule="exact"/>
              <w:ind w:left="108"/>
              <w:rPr>
                <w:sz w:val="28"/>
              </w:rPr>
            </w:pPr>
            <w:r>
              <w:rPr>
                <w:sz w:val="28"/>
              </w:rPr>
              <w:t>Fax. 800.243.2691</w:t>
            </w:r>
          </w:p>
          <w:p>
            <w:pPr>
              <w:pStyle w:val="TableParagraph"/>
              <w:spacing w:line="251" w:lineRule="exact"/>
              <w:ind w:left="107"/>
              <w:rPr>
                <w:sz w:val="28"/>
              </w:rPr>
            </w:pPr>
            <w:hyperlink r:id="rId6">
              <w:r>
                <w:rPr>
                  <w:sz w:val="28"/>
                </w:rPr>
                <w:t>Jen@jlongtinlaw.com</w:t>
              </w:r>
            </w:hyperlink>
          </w:p>
        </w:tc>
        <w:tc>
          <w:tcPr>
            <w:tcW w:w="3420" w:type="dxa"/>
          </w:tcPr>
          <w:p>
            <w:pPr>
              <w:pStyle w:val="TableParagraph"/>
              <w:rPr>
                <w:rFonts w:ascii="Times New Roman"/>
                <w:sz w:val="30"/>
              </w:rPr>
            </w:pPr>
          </w:p>
          <w:p>
            <w:pPr>
              <w:pStyle w:val="TableParagraph"/>
              <w:spacing w:before="6"/>
              <w:rPr>
                <w:rFonts w:ascii="Times New Roman"/>
                <w:sz w:val="27"/>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220"/>
              <w:ind w:left="107"/>
              <w:rPr>
                <w:sz w:val="28"/>
              </w:rPr>
            </w:pPr>
            <w:r>
              <w:rPr>
                <w:sz w:val="28"/>
              </w:rPr>
              <w:t>Division: 12</w:t>
            </w:r>
          </w:p>
        </w:tc>
      </w:tr>
      <w:tr>
        <w:trPr>
          <w:trHeight w:val="662" w:hRule="atLeast"/>
        </w:trPr>
        <w:tc>
          <w:tcPr>
            <w:tcW w:w="9376" w:type="dxa"/>
            <w:gridSpan w:val="2"/>
          </w:tcPr>
          <w:p>
            <w:pPr>
              <w:pStyle w:val="TableParagraph"/>
              <w:spacing w:before="1"/>
              <w:ind w:left="227" w:right="220"/>
              <w:jc w:val="center"/>
              <w:rPr>
                <w:b/>
                <w:sz w:val="28"/>
              </w:rPr>
            </w:pPr>
            <w:r>
              <w:rPr>
                <w:b/>
                <w:sz w:val="28"/>
              </w:rPr>
              <w:t>OBJECTION TO JURY QUESTIONING PURSUANT TO COLORADO</w:t>
            </w:r>
          </w:p>
          <w:p>
            <w:pPr>
              <w:pStyle w:val="TableParagraph"/>
              <w:spacing w:line="311" w:lineRule="exact" w:before="15"/>
              <w:ind w:left="227" w:right="220"/>
              <w:jc w:val="center"/>
              <w:rPr>
                <w:b/>
                <w:sz w:val="28"/>
              </w:rPr>
            </w:pPr>
            <w:r>
              <w:rPr>
                <w:b/>
                <w:sz w:val="28"/>
              </w:rPr>
              <w:t>CRIMINAL RULE OF PROCEDURE 24(G)</w:t>
            </w:r>
          </w:p>
        </w:tc>
      </w:tr>
    </w:tbl>
    <w:p>
      <w:pPr>
        <w:pStyle w:val="BodyText"/>
        <w:spacing w:line="480" w:lineRule="auto"/>
        <w:ind w:right="117" w:firstLine="719"/>
        <w:jc w:val="both"/>
      </w:pPr>
      <w:r>
        <w:rPr/>
        <w:t>Gary Nickal, through counsel, requests that this Court employ its’ discretion under Crim. P. 24(G) and prohibit the use of juror questions at trial. In support of this motion, Mr. Nickal states the</w:t>
      </w:r>
      <w:r>
        <w:rPr>
          <w:spacing w:val="-7"/>
        </w:rPr>
        <w:t> </w:t>
      </w:r>
      <w:r>
        <w:rPr/>
        <w:t>following:</w:t>
      </w:r>
    </w:p>
    <w:p>
      <w:pPr>
        <w:pStyle w:val="Heading1"/>
        <w:ind w:left="4017" w:right="3760"/>
        <w:jc w:val="center"/>
      </w:pPr>
      <w:r>
        <w:rPr/>
        <w:t>BACKGROUND</w:t>
      </w:r>
    </w:p>
    <w:p>
      <w:pPr>
        <w:pStyle w:val="BodyText"/>
        <w:spacing w:before="10"/>
        <w:ind w:left="0"/>
        <w:rPr>
          <w:b/>
          <w:sz w:val="27"/>
        </w:rPr>
      </w:pPr>
    </w:p>
    <w:p>
      <w:pPr>
        <w:pStyle w:val="ListParagraph"/>
        <w:numPr>
          <w:ilvl w:val="0"/>
          <w:numId w:val="1"/>
        </w:numPr>
        <w:tabs>
          <w:tab w:pos="1819" w:val="left" w:leader="none"/>
          <w:tab w:pos="1820" w:val="left" w:leader="none"/>
        </w:tabs>
        <w:spacing w:line="240" w:lineRule="auto" w:before="1" w:after="0"/>
        <w:ind w:left="1819" w:right="0" w:hanging="720"/>
        <w:jc w:val="left"/>
        <w:rPr>
          <w:sz w:val="28"/>
        </w:rPr>
      </w:pPr>
      <w:r>
        <w:rPr>
          <w:sz w:val="28"/>
        </w:rPr>
        <w:t>The</w:t>
      </w:r>
      <w:r>
        <w:rPr>
          <w:spacing w:val="59"/>
          <w:sz w:val="28"/>
        </w:rPr>
        <w:t> </w:t>
      </w:r>
      <w:r>
        <w:rPr>
          <w:sz w:val="28"/>
        </w:rPr>
        <w:t>use</w:t>
      </w:r>
      <w:r>
        <w:rPr>
          <w:spacing w:val="59"/>
          <w:sz w:val="28"/>
        </w:rPr>
        <w:t> </w:t>
      </w:r>
      <w:r>
        <w:rPr>
          <w:sz w:val="28"/>
        </w:rPr>
        <w:t>of</w:t>
      </w:r>
      <w:r>
        <w:rPr>
          <w:spacing w:val="60"/>
          <w:sz w:val="28"/>
        </w:rPr>
        <w:t> </w:t>
      </w:r>
      <w:r>
        <w:rPr>
          <w:sz w:val="28"/>
        </w:rPr>
        <w:t>questions</w:t>
      </w:r>
      <w:r>
        <w:rPr>
          <w:spacing w:val="60"/>
          <w:sz w:val="28"/>
        </w:rPr>
        <w:t> </w:t>
      </w:r>
      <w:r>
        <w:rPr>
          <w:sz w:val="28"/>
        </w:rPr>
        <w:t>submitted</w:t>
      </w:r>
      <w:r>
        <w:rPr>
          <w:spacing w:val="61"/>
          <w:sz w:val="28"/>
        </w:rPr>
        <w:t> </w:t>
      </w:r>
      <w:r>
        <w:rPr>
          <w:sz w:val="28"/>
        </w:rPr>
        <w:t>by</w:t>
      </w:r>
      <w:r>
        <w:rPr>
          <w:spacing w:val="59"/>
          <w:sz w:val="28"/>
        </w:rPr>
        <w:t> </w:t>
      </w:r>
      <w:r>
        <w:rPr>
          <w:sz w:val="28"/>
        </w:rPr>
        <w:t>the</w:t>
      </w:r>
      <w:r>
        <w:rPr>
          <w:spacing w:val="60"/>
          <w:sz w:val="28"/>
        </w:rPr>
        <w:t> </w:t>
      </w:r>
      <w:r>
        <w:rPr>
          <w:sz w:val="28"/>
        </w:rPr>
        <w:t>jury,</w:t>
      </w:r>
      <w:r>
        <w:rPr>
          <w:spacing w:val="61"/>
          <w:sz w:val="28"/>
        </w:rPr>
        <w:t> </w:t>
      </w:r>
      <w:r>
        <w:rPr>
          <w:sz w:val="28"/>
        </w:rPr>
        <w:t>during</w:t>
      </w:r>
      <w:r>
        <w:rPr>
          <w:spacing w:val="59"/>
          <w:sz w:val="28"/>
        </w:rPr>
        <w:t> </w:t>
      </w:r>
      <w:r>
        <w:rPr>
          <w:sz w:val="28"/>
        </w:rPr>
        <w:t>trial,</w:t>
      </w:r>
      <w:r>
        <w:rPr>
          <w:spacing w:val="62"/>
          <w:sz w:val="28"/>
        </w:rPr>
        <w:t> </w:t>
      </w:r>
      <w:r>
        <w:rPr>
          <w:sz w:val="28"/>
        </w:rPr>
        <w:t>is</w:t>
      </w:r>
      <w:r>
        <w:rPr>
          <w:spacing w:val="61"/>
          <w:sz w:val="28"/>
        </w:rPr>
        <w:t> </w:t>
      </w:r>
      <w:r>
        <w:rPr>
          <w:sz w:val="28"/>
        </w:rPr>
        <w:t>a</w:t>
      </w:r>
      <w:r>
        <w:rPr>
          <w:spacing w:val="60"/>
          <w:sz w:val="28"/>
        </w:rPr>
        <w:t> </w:t>
      </w:r>
      <w:r>
        <w:rPr>
          <w:sz w:val="28"/>
        </w:rPr>
        <w:t>recent</w:t>
      </w:r>
    </w:p>
    <w:p>
      <w:pPr>
        <w:spacing w:after="0" w:line="240" w:lineRule="auto"/>
        <w:jc w:val="left"/>
        <w:rPr>
          <w:sz w:val="28"/>
        </w:rPr>
        <w:sectPr>
          <w:type w:val="continuous"/>
          <w:pgSz w:w="12240" w:h="15840"/>
          <w:pgMar w:top="1440" w:bottom="280" w:left="1060" w:right="1320"/>
        </w:sectPr>
      </w:pPr>
    </w:p>
    <w:p>
      <w:pPr>
        <w:pStyle w:val="BodyText"/>
        <w:spacing w:line="480" w:lineRule="auto" w:before="80"/>
        <w:ind w:right="118"/>
        <w:jc w:val="both"/>
      </w:pPr>
      <w:r>
        <w:rPr/>
        <w:t>development in Colorado, and not a practice employed nationwide. In 2000, the Colorado Supreme Court began a pilot program to test jury questions, and after a two-year trial period, issued a report on their findings. This was called the Dodge Report.</w:t>
      </w:r>
    </w:p>
    <w:p>
      <w:pPr>
        <w:pStyle w:val="ListParagraph"/>
        <w:numPr>
          <w:ilvl w:val="0"/>
          <w:numId w:val="1"/>
        </w:numPr>
        <w:tabs>
          <w:tab w:pos="1820" w:val="left" w:leader="none"/>
        </w:tabs>
        <w:spacing w:line="480" w:lineRule="auto" w:before="0" w:after="0"/>
        <w:ind w:left="380" w:right="116" w:firstLine="719"/>
        <w:jc w:val="both"/>
        <w:rPr>
          <w:sz w:val="28"/>
        </w:rPr>
      </w:pPr>
      <w:r>
        <w:rPr>
          <w:sz w:val="28"/>
        </w:rPr>
        <w:t>In 2003, the Colorado Supreme Court voted to adopt jury questions, and in 2004, the practice began in earnest, with Colorado Crim. P. 24(g) coming into effect.</w:t>
      </w:r>
    </w:p>
    <w:p>
      <w:pPr>
        <w:pStyle w:val="ListParagraph"/>
        <w:numPr>
          <w:ilvl w:val="0"/>
          <w:numId w:val="1"/>
        </w:numPr>
        <w:tabs>
          <w:tab w:pos="1820" w:val="left" w:leader="none"/>
        </w:tabs>
        <w:spacing w:line="480" w:lineRule="auto" w:before="0" w:after="0"/>
        <w:ind w:left="380" w:right="116" w:firstLine="719"/>
        <w:jc w:val="both"/>
        <w:rPr>
          <w:sz w:val="28"/>
        </w:rPr>
      </w:pPr>
      <w:r>
        <w:rPr>
          <w:sz w:val="28"/>
        </w:rPr>
        <w:t>This development is contrasted against the general historical trend from the common law to our modern courts which saw the jury pass from an inquisitive body, into a passive, decision making body. </w:t>
      </w:r>
      <w:r>
        <w:rPr>
          <w:i/>
          <w:sz w:val="28"/>
        </w:rPr>
        <w:t>See State v. Costello</w:t>
      </w:r>
      <w:r>
        <w:rPr>
          <w:sz w:val="28"/>
        </w:rPr>
        <w:t>, 646 N.W.2d. 204, 208 (Minn. 2002). This trend is recognized in our own courts through the repeated affirmations of the importance of a neutral, impartial jury that objectively, and dispassionately evaluates the information presented at trial. </w:t>
      </w:r>
      <w:r>
        <w:rPr>
          <w:i/>
          <w:sz w:val="28"/>
        </w:rPr>
        <w:t>See People v. Richardson</w:t>
      </w:r>
      <w:r>
        <w:rPr>
          <w:sz w:val="28"/>
        </w:rPr>
        <w:t>, 58 P.3d. 1039, 1042 (Colo. App. 2002); </w:t>
      </w:r>
      <w:r>
        <w:rPr>
          <w:i/>
          <w:sz w:val="28"/>
        </w:rPr>
        <w:t>see also Gaytan v. People</w:t>
      </w:r>
      <w:r>
        <w:rPr>
          <w:sz w:val="28"/>
        </w:rPr>
        <w:t>, 888 p.2d. 259, 269 (Colo. 1995).</w:t>
      </w:r>
    </w:p>
    <w:p>
      <w:pPr>
        <w:pStyle w:val="Heading1"/>
        <w:spacing w:line="315" w:lineRule="exact"/>
        <w:ind w:left="4753"/>
      </w:pPr>
      <w:r>
        <w:rPr/>
        <w:t>LAW</w:t>
      </w:r>
    </w:p>
    <w:p>
      <w:pPr>
        <w:pStyle w:val="BodyText"/>
        <w:spacing w:before="10"/>
        <w:ind w:left="0"/>
        <w:rPr>
          <w:b/>
          <w:sz w:val="27"/>
        </w:rPr>
      </w:pPr>
    </w:p>
    <w:p>
      <w:pPr>
        <w:pStyle w:val="ListParagraph"/>
        <w:numPr>
          <w:ilvl w:val="0"/>
          <w:numId w:val="1"/>
        </w:numPr>
        <w:tabs>
          <w:tab w:pos="1820" w:val="left" w:leader="none"/>
        </w:tabs>
        <w:spacing w:line="480" w:lineRule="auto" w:before="0" w:after="0"/>
        <w:ind w:left="379" w:right="118" w:firstLine="720"/>
        <w:jc w:val="both"/>
        <w:rPr>
          <w:sz w:val="28"/>
        </w:rPr>
      </w:pPr>
      <w:r>
        <w:rPr>
          <w:sz w:val="28"/>
        </w:rPr>
        <w:t>As mentioned, jury questioning is not used nationwide. Four states, Georgia, Mississippi, Nebraska, and Texas prohibit the practice. </w:t>
      </w:r>
      <w:r>
        <w:rPr>
          <w:i/>
          <w:sz w:val="28"/>
        </w:rPr>
        <w:t>See Johnson v. State</w:t>
      </w:r>
      <w:r>
        <w:rPr>
          <w:sz w:val="28"/>
        </w:rPr>
        <w:t>, 507 S.E.2d. 737, 742 (Ga. 1998); </w:t>
      </w:r>
      <w:r>
        <w:rPr>
          <w:i/>
          <w:sz w:val="28"/>
        </w:rPr>
        <w:t>Wharton v. State</w:t>
      </w:r>
      <w:r>
        <w:rPr>
          <w:sz w:val="28"/>
        </w:rPr>
        <w:t>, 734 So.2d 985, 990 (Miss. 1998); </w:t>
      </w:r>
      <w:r>
        <w:rPr>
          <w:i/>
          <w:sz w:val="28"/>
        </w:rPr>
        <w:t>State v. Zima</w:t>
      </w:r>
      <w:r>
        <w:rPr>
          <w:sz w:val="28"/>
        </w:rPr>
        <w:t>, 468 N.W.2d 377, 380 (Neb. 1991); </w:t>
      </w:r>
      <w:r>
        <w:rPr>
          <w:i/>
          <w:sz w:val="28"/>
        </w:rPr>
        <w:t>Morrison v. State</w:t>
      </w:r>
      <w:r>
        <w:rPr>
          <w:sz w:val="28"/>
        </w:rPr>
        <w:t>, 845 S.W.2d 882,</w:t>
      </w:r>
      <w:r>
        <w:rPr>
          <w:spacing w:val="4"/>
          <w:sz w:val="28"/>
        </w:rPr>
        <w:t> </w:t>
      </w:r>
      <w:r>
        <w:rPr>
          <w:sz w:val="28"/>
        </w:rPr>
        <w:t>888-</w:t>
      </w:r>
    </w:p>
    <w:p>
      <w:pPr>
        <w:pStyle w:val="BodyText"/>
        <w:spacing w:line="315" w:lineRule="exact"/>
        <w:ind w:left="379"/>
        <w:jc w:val="both"/>
      </w:pPr>
      <w:r>
        <w:rPr/>
        <w:t>89 (Tex. Crim. App. 1992). Other jurisdictions that allow the practice, strongly</w:t>
      </w:r>
    </w:p>
    <w:p>
      <w:pPr>
        <w:spacing w:after="0" w:line="315" w:lineRule="exact"/>
        <w:jc w:val="both"/>
        <w:sectPr>
          <w:pgSz w:w="12240" w:h="15840"/>
          <w:pgMar w:top="1360" w:bottom="280" w:left="1060" w:right="1320"/>
        </w:sectPr>
      </w:pPr>
    </w:p>
    <w:p>
      <w:pPr>
        <w:spacing w:line="480" w:lineRule="auto" w:before="80"/>
        <w:ind w:left="380" w:right="9" w:firstLine="0"/>
        <w:jc w:val="left"/>
        <w:rPr>
          <w:sz w:val="28"/>
        </w:rPr>
      </w:pPr>
      <w:r>
        <w:rPr>
          <w:sz w:val="28"/>
        </w:rPr>
        <w:t>discourage it. </w:t>
      </w:r>
      <w:r>
        <w:rPr>
          <w:i/>
          <w:sz w:val="28"/>
        </w:rPr>
        <w:t>See United States v. Thompson</w:t>
      </w:r>
      <w:r>
        <w:rPr>
          <w:sz w:val="28"/>
        </w:rPr>
        <w:t>, 76 F.3d 442, 448 (2d Cir. 1996); </w:t>
      </w:r>
      <w:r>
        <w:rPr>
          <w:i/>
          <w:sz w:val="28"/>
        </w:rPr>
        <w:t>United States </w:t>
      </w:r>
      <w:r>
        <w:rPr>
          <w:i/>
          <w:sz w:val="28"/>
        </w:rPr>
        <w:t>v. Feinberg</w:t>
      </w:r>
      <w:r>
        <w:rPr>
          <w:sz w:val="28"/>
        </w:rPr>
        <w:t>, 89 F.3d 333, 336-336 (7</w:t>
      </w:r>
      <w:r>
        <w:rPr>
          <w:sz w:val="28"/>
          <w:vertAlign w:val="superscript"/>
        </w:rPr>
        <w:t>th</w:t>
      </w:r>
      <w:r>
        <w:rPr>
          <w:sz w:val="28"/>
          <w:vertAlign w:val="baseline"/>
        </w:rPr>
        <w:t> Cir. 1996).</w:t>
      </w:r>
    </w:p>
    <w:p>
      <w:pPr>
        <w:pStyle w:val="ListParagraph"/>
        <w:numPr>
          <w:ilvl w:val="0"/>
          <w:numId w:val="1"/>
        </w:numPr>
        <w:tabs>
          <w:tab w:pos="1820" w:val="left" w:leader="none"/>
        </w:tabs>
        <w:spacing w:line="480" w:lineRule="auto" w:before="0" w:after="0"/>
        <w:ind w:left="379" w:right="117" w:firstLine="720"/>
        <w:jc w:val="both"/>
        <w:rPr>
          <w:sz w:val="28"/>
        </w:rPr>
      </w:pPr>
      <w:r>
        <w:rPr>
          <w:sz w:val="28"/>
        </w:rPr>
        <w:t>Some courts have ruled that permitting jurors to ask questions distorts the adversarial process and alters the state’s burden of proof. </w:t>
      </w:r>
      <w:r>
        <w:rPr>
          <w:i/>
          <w:sz w:val="28"/>
        </w:rPr>
        <w:t>See Costello</w:t>
      </w:r>
      <w:r>
        <w:rPr>
          <w:sz w:val="28"/>
        </w:rPr>
        <w:t>, 646 N.W.2d at 209; </w:t>
      </w:r>
      <w:r>
        <w:rPr>
          <w:i/>
          <w:sz w:val="28"/>
        </w:rPr>
        <w:t>see also Johnson</w:t>
      </w:r>
      <w:r>
        <w:rPr>
          <w:sz w:val="28"/>
        </w:rPr>
        <w:t>, 507 S.E.2d at 742. As such, it implicates the right to a fair trial and</w:t>
      </w:r>
      <w:r>
        <w:rPr>
          <w:spacing w:val="-1"/>
          <w:sz w:val="28"/>
        </w:rPr>
        <w:t> </w:t>
      </w:r>
      <w:r>
        <w:rPr>
          <w:sz w:val="28"/>
        </w:rPr>
        <w:t>an</w:t>
      </w:r>
      <w:r>
        <w:rPr>
          <w:spacing w:val="-1"/>
          <w:sz w:val="28"/>
        </w:rPr>
        <w:t> </w:t>
      </w:r>
      <w:r>
        <w:rPr>
          <w:sz w:val="28"/>
        </w:rPr>
        <w:t>impartial</w:t>
      </w:r>
      <w:r>
        <w:rPr>
          <w:spacing w:val="-1"/>
          <w:sz w:val="28"/>
        </w:rPr>
        <w:t> </w:t>
      </w:r>
      <w:r>
        <w:rPr>
          <w:sz w:val="28"/>
        </w:rPr>
        <w:t>jury.</w:t>
      </w:r>
      <w:r>
        <w:rPr>
          <w:spacing w:val="-1"/>
          <w:sz w:val="28"/>
        </w:rPr>
        <w:t> </w:t>
      </w:r>
      <w:r>
        <w:rPr>
          <w:sz w:val="28"/>
        </w:rPr>
        <w:t>U.S.</w:t>
      </w:r>
      <w:r>
        <w:rPr>
          <w:spacing w:val="-16"/>
          <w:sz w:val="28"/>
        </w:rPr>
        <w:t> </w:t>
      </w:r>
      <w:r>
        <w:rPr>
          <w:sz w:val="28"/>
        </w:rPr>
        <w:t>C</w:t>
      </w:r>
      <w:r>
        <w:rPr>
          <w:sz w:val="22"/>
        </w:rPr>
        <w:t>ONST</w:t>
      </w:r>
      <w:r>
        <w:rPr>
          <w:sz w:val="28"/>
        </w:rPr>
        <w:t>.</w:t>
      </w:r>
      <w:r>
        <w:rPr>
          <w:spacing w:val="-16"/>
          <w:sz w:val="28"/>
        </w:rPr>
        <w:t> </w:t>
      </w:r>
      <w:r>
        <w:rPr>
          <w:sz w:val="28"/>
        </w:rPr>
        <w:t>amends. V,</w:t>
      </w:r>
      <w:r>
        <w:rPr>
          <w:spacing w:val="-1"/>
          <w:sz w:val="28"/>
        </w:rPr>
        <w:t> </w:t>
      </w:r>
      <w:r>
        <w:rPr>
          <w:sz w:val="28"/>
        </w:rPr>
        <w:t>VI, XIV;</w:t>
      </w:r>
      <w:r>
        <w:rPr>
          <w:spacing w:val="-1"/>
          <w:sz w:val="28"/>
        </w:rPr>
        <w:t> </w:t>
      </w:r>
      <w:r>
        <w:rPr>
          <w:sz w:val="28"/>
        </w:rPr>
        <w:t>C</w:t>
      </w:r>
      <w:r>
        <w:rPr>
          <w:sz w:val="22"/>
        </w:rPr>
        <w:t>OLO</w:t>
      </w:r>
      <w:r>
        <w:rPr>
          <w:sz w:val="28"/>
        </w:rPr>
        <w:t>.</w:t>
      </w:r>
      <w:r>
        <w:rPr>
          <w:spacing w:val="-16"/>
          <w:sz w:val="28"/>
        </w:rPr>
        <w:t> </w:t>
      </w:r>
      <w:r>
        <w:rPr>
          <w:sz w:val="28"/>
        </w:rPr>
        <w:t>C</w:t>
      </w:r>
      <w:r>
        <w:rPr>
          <w:sz w:val="22"/>
        </w:rPr>
        <w:t>ONST</w:t>
      </w:r>
      <w:r>
        <w:rPr>
          <w:sz w:val="28"/>
        </w:rPr>
        <w:t>.,</w:t>
      </w:r>
      <w:r>
        <w:rPr>
          <w:spacing w:val="-16"/>
          <w:sz w:val="28"/>
        </w:rPr>
        <w:t> </w:t>
      </w:r>
      <w:r>
        <w:rPr>
          <w:sz w:val="28"/>
        </w:rPr>
        <w:t>art.</w:t>
      </w:r>
      <w:r>
        <w:rPr>
          <w:spacing w:val="-1"/>
          <w:sz w:val="28"/>
        </w:rPr>
        <w:t> </w:t>
      </w:r>
      <w:r>
        <w:rPr>
          <w:sz w:val="28"/>
        </w:rPr>
        <w:t>II, Sec.</w:t>
      </w:r>
      <w:r>
        <w:rPr>
          <w:spacing w:val="-1"/>
          <w:sz w:val="28"/>
        </w:rPr>
        <w:t> </w:t>
      </w:r>
      <w:r>
        <w:rPr>
          <w:sz w:val="28"/>
        </w:rPr>
        <w:t>16, 25; </w:t>
      </w:r>
      <w:r>
        <w:rPr>
          <w:i/>
          <w:sz w:val="28"/>
        </w:rPr>
        <w:t>see also Morrison v. People</w:t>
      </w:r>
      <w:r>
        <w:rPr>
          <w:sz w:val="28"/>
        </w:rPr>
        <w:t>, 19 P.3d 668, 672 (Colo.</w:t>
      </w:r>
      <w:r>
        <w:rPr>
          <w:spacing w:val="-12"/>
          <w:sz w:val="28"/>
        </w:rPr>
        <w:t> </w:t>
      </w:r>
      <w:r>
        <w:rPr>
          <w:sz w:val="28"/>
        </w:rPr>
        <w:t>2000).</w:t>
      </w:r>
    </w:p>
    <w:p>
      <w:pPr>
        <w:pStyle w:val="ListParagraph"/>
        <w:numPr>
          <w:ilvl w:val="0"/>
          <w:numId w:val="1"/>
        </w:numPr>
        <w:tabs>
          <w:tab w:pos="1820" w:val="left" w:leader="none"/>
        </w:tabs>
        <w:spacing w:line="480" w:lineRule="auto" w:before="0" w:after="0"/>
        <w:ind w:left="379" w:right="116" w:firstLine="720"/>
        <w:jc w:val="both"/>
        <w:rPr>
          <w:sz w:val="28"/>
        </w:rPr>
      </w:pPr>
      <w:r>
        <w:rPr>
          <w:sz w:val="28"/>
        </w:rPr>
        <w:t>As the court in </w:t>
      </w:r>
      <w:r>
        <w:rPr>
          <w:i/>
          <w:sz w:val="28"/>
        </w:rPr>
        <w:t>Costello </w:t>
      </w:r>
      <w:r>
        <w:rPr>
          <w:sz w:val="28"/>
        </w:rPr>
        <w:t>observed, “one cannot investigate unless one has a hypothesis about what happened in the particular criminal case.” </w:t>
      </w:r>
      <w:r>
        <w:rPr>
          <w:i/>
          <w:sz w:val="28"/>
        </w:rPr>
        <w:t>Costello, </w:t>
      </w:r>
      <w:r>
        <w:rPr>
          <w:sz w:val="28"/>
        </w:rPr>
        <w:t>646 N.W.2d at 211. Further, by allowing a juror to ask questions, the court may allow the juror to elicit testimony that satisfies an element of the crime charged, thereby relieving the prosecution of their burden to prove the defendant guilty. </w:t>
      </w:r>
      <w:r>
        <w:rPr>
          <w:i/>
          <w:sz w:val="28"/>
        </w:rPr>
        <w:t>Id. </w:t>
      </w:r>
      <w:r>
        <w:rPr>
          <w:sz w:val="28"/>
        </w:rPr>
        <w:t>at 209. According to the Colorado Supreme Court’s Dodge Report, defense attorneys reported that jury questions assisted the state in meeting their burden in 25% of cases, judges stated jury questions helped the prosecution meet their burden in 17.8% of cases, and prosecutors themselves admitted to the jury questions assisting them in meeting their burden in 20% of their cases. </w:t>
      </w:r>
      <w:r>
        <w:rPr>
          <w:i/>
          <w:sz w:val="28"/>
        </w:rPr>
        <w:t>See Dodge Report</w:t>
      </w:r>
      <w:r>
        <w:rPr>
          <w:sz w:val="28"/>
        </w:rPr>
        <w:t>, fig. 18, p.</w:t>
      </w:r>
      <w:r>
        <w:rPr>
          <w:spacing w:val="-16"/>
          <w:sz w:val="28"/>
        </w:rPr>
        <w:t> </w:t>
      </w:r>
      <w:r>
        <w:rPr>
          <w:sz w:val="28"/>
        </w:rPr>
        <w:t>32.</w:t>
      </w:r>
    </w:p>
    <w:p>
      <w:pPr>
        <w:pStyle w:val="ListParagraph"/>
        <w:numPr>
          <w:ilvl w:val="0"/>
          <w:numId w:val="1"/>
        </w:numPr>
        <w:tabs>
          <w:tab w:pos="1820" w:val="left" w:leader="none"/>
        </w:tabs>
        <w:spacing w:line="480" w:lineRule="auto" w:before="0" w:after="0"/>
        <w:ind w:left="379" w:right="117" w:firstLine="720"/>
        <w:jc w:val="both"/>
        <w:rPr>
          <w:sz w:val="28"/>
        </w:rPr>
      </w:pPr>
      <w:r>
        <w:rPr>
          <w:sz w:val="28"/>
        </w:rPr>
        <w:t>Even a defendant’s right to testify may be infringed as jurors ask questions that are not permitted by the rules of evidence. In </w:t>
      </w:r>
      <w:r>
        <w:rPr>
          <w:i/>
          <w:sz w:val="28"/>
        </w:rPr>
        <w:t>Johnson</w:t>
      </w:r>
      <w:r>
        <w:rPr>
          <w:sz w:val="28"/>
        </w:rPr>
        <w:t>, a juror asked a testifying defendant about his past drug use in violation of rule 404(b). The court there</w:t>
      </w:r>
      <w:r>
        <w:rPr>
          <w:spacing w:val="9"/>
          <w:sz w:val="28"/>
        </w:rPr>
        <w:t> </w:t>
      </w:r>
      <w:r>
        <w:rPr>
          <w:sz w:val="28"/>
        </w:rPr>
        <w:t>opined</w:t>
      </w:r>
      <w:r>
        <w:rPr>
          <w:spacing w:val="11"/>
          <w:sz w:val="28"/>
        </w:rPr>
        <w:t> </w:t>
      </w:r>
      <w:r>
        <w:rPr>
          <w:sz w:val="28"/>
        </w:rPr>
        <w:t>that</w:t>
      </w:r>
      <w:r>
        <w:rPr>
          <w:spacing w:val="11"/>
          <w:sz w:val="28"/>
        </w:rPr>
        <w:t> </w:t>
      </w:r>
      <w:r>
        <w:rPr>
          <w:sz w:val="28"/>
        </w:rPr>
        <w:t>“[i]f</w:t>
      </w:r>
      <w:r>
        <w:rPr>
          <w:spacing w:val="9"/>
          <w:sz w:val="28"/>
        </w:rPr>
        <w:t> </w:t>
      </w:r>
      <w:r>
        <w:rPr>
          <w:sz w:val="28"/>
        </w:rPr>
        <w:t>the</w:t>
      </w:r>
      <w:r>
        <w:rPr>
          <w:spacing w:val="10"/>
          <w:sz w:val="28"/>
        </w:rPr>
        <w:t> </w:t>
      </w:r>
      <w:r>
        <w:rPr>
          <w:sz w:val="28"/>
        </w:rPr>
        <w:t>defendant</w:t>
      </w:r>
      <w:r>
        <w:rPr>
          <w:spacing w:val="11"/>
          <w:sz w:val="28"/>
        </w:rPr>
        <w:t> </w:t>
      </w:r>
      <w:r>
        <w:rPr>
          <w:sz w:val="28"/>
        </w:rPr>
        <w:t>refused</w:t>
      </w:r>
      <w:r>
        <w:rPr>
          <w:spacing w:val="10"/>
          <w:sz w:val="28"/>
        </w:rPr>
        <w:t> </w:t>
      </w:r>
      <w:r>
        <w:rPr>
          <w:sz w:val="28"/>
        </w:rPr>
        <w:t>to</w:t>
      </w:r>
      <w:r>
        <w:rPr>
          <w:spacing w:val="11"/>
          <w:sz w:val="28"/>
        </w:rPr>
        <w:t> </w:t>
      </w:r>
      <w:r>
        <w:rPr>
          <w:sz w:val="28"/>
        </w:rPr>
        <w:t>answer,</w:t>
      </w:r>
      <w:r>
        <w:rPr>
          <w:spacing w:val="10"/>
          <w:sz w:val="28"/>
        </w:rPr>
        <w:t> </w:t>
      </w:r>
      <w:r>
        <w:rPr>
          <w:sz w:val="28"/>
        </w:rPr>
        <w:t>as</w:t>
      </w:r>
      <w:r>
        <w:rPr>
          <w:spacing w:val="9"/>
          <w:sz w:val="28"/>
        </w:rPr>
        <w:t> </w:t>
      </w:r>
      <w:r>
        <w:rPr>
          <w:sz w:val="28"/>
        </w:rPr>
        <w:t>was</w:t>
      </w:r>
      <w:r>
        <w:rPr>
          <w:spacing w:val="10"/>
          <w:sz w:val="28"/>
        </w:rPr>
        <w:t> </w:t>
      </w:r>
      <w:r>
        <w:rPr>
          <w:sz w:val="28"/>
        </w:rPr>
        <w:t>his</w:t>
      </w:r>
      <w:r>
        <w:rPr>
          <w:spacing w:val="10"/>
          <w:sz w:val="28"/>
        </w:rPr>
        <w:t> </w:t>
      </w:r>
      <w:r>
        <w:rPr>
          <w:sz w:val="28"/>
        </w:rPr>
        <w:t>right,</w:t>
      </w:r>
      <w:r>
        <w:rPr>
          <w:spacing w:val="11"/>
          <w:sz w:val="28"/>
        </w:rPr>
        <w:t> </w:t>
      </w:r>
      <w:r>
        <w:rPr>
          <w:sz w:val="28"/>
        </w:rPr>
        <w:t>or</w:t>
      </w:r>
      <w:r>
        <w:rPr>
          <w:spacing w:val="10"/>
          <w:sz w:val="28"/>
        </w:rPr>
        <w:t> </w:t>
      </w:r>
      <w:r>
        <w:rPr>
          <w:sz w:val="28"/>
        </w:rPr>
        <w:t>if</w:t>
      </w:r>
      <w:r>
        <w:rPr>
          <w:spacing w:val="10"/>
          <w:sz w:val="28"/>
        </w:rPr>
        <w:t> </w:t>
      </w:r>
      <w:r>
        <w:rPr>
          <w:sz w:val="28"/>
        </w:rPr>
        <w:t>counsel</w:t>
      </w:r>
    </w:p>
    <w:p>
      <w:pPr>
        <w:spacing w:after="0" w:line="480" w:lineRule="auto"/>
        <w:jc w:val="both"/>
        <w:rPr>
          <w:sz w:val="28"/>
        </w:rPr>
        <w:sectPr>
          <w:pgSz w:w="12240" w:h="15840"/>
          <w:pgMar w:top="1360" w:bottom="280" w:left="1060" w:right="1320"/>
        </w:sectPr>
      </w:pPr>
    </w:p>
    <w:p>
      <w:pPr>
        <w:pStyle w:val="BodyText"/>
        <w:spacing w:line="480" w:lineRule="auto" w:before="80"/>
        <w:ind w:left="379" w:right="116"/>
        <w:jc w:val="both"/>
      </w:pPr>
      <w:r>
        <w:rPr/>
        <w:t>had objected, the prejudicial effect on the jury could have been more devastating than the answer… while such a risk always arises when a question goes unanswered, the risk is exacerbated when the question is the jury’s own.” </w:t>
      </w:r>
      <w:r>
        <w:rPr>
          <w:i/>
        </w:rPr>
        <w:t>Johnson</w:t>
      </w:r>
      <w:r>
        <w:rPr/>
        <w:t>, 892 F.2d at 713. (J. Lay, Concurring). Unlike a prosecutor, who must give notice of their intent to question on 404(b) evidence, a juror’s question would be unpredictable. A defendant, therefore, could not make a decision to testify based upon a weighing of the circumstances that would await him on the stand. Similar situations have been ruled unconstitutional. </w:t>
      </w:r>
      <w:r>
        <w:rPr>
          <w:i/>
        </w:rPr>
        <w:t>See Brooks v. Tennessee</w:t>
      </w:r>
      <w:r>
        <w:rPr/>
        <w:t>, 406 U.S. 605, 610 (1972)(court’s ruling that defendant must testify as defenses’ first witness or not at all “impermissibly burdened the defendant’s right to testify because it forced him to decide whether to do so before he could determine that it was in his best interest.” Similarly, by the end of Colorado’s pilot program with jury questions, 33% of attorneys said that jury questioning had an impact on the defendant’s decision to testify. </w:t>
      </w:r>
      <w:r>
        <w:rPr>
          <w:i/>
        </w:rPr>
        <w:t>See Dodge Report</w:t>
      </w:r>
      <w:r>
        <w:rPr/>
        <w:t>, p. 23.</w:t>
      </w:r>
    </w:p>
    <w:p>
      <w:pPr>
        <w:pStyle w:val="ListParagraph"/>
        <w:numPr>
          <w:ilvl w:val="0"/>
          <w:numId w:val="1"/>
        </w:numPr>
        <w:tabs>
          <w:tab w:pos="1820" w:val="left" w:leader="none"/>
        </w:tabs>
        <w:spacing w:line="480" w:lineRule="auto" w:before="0" w:after="0"/>
        <w:ind w:left="379" w:right="117" w:firstLine="720"/>
        <w:jc w:val="both"/>
        <w:rPr>
          <w:sz w:val="28"/>
        </w:rPr>
      </w:pPr>
      <w:r>
        <w:rPr>
          <w:sz w:val="28"/>
        </w:rPr>
        <w:t>Colorado Crim. P. 24(g) provides, in part, that the trial court shall have the discretion to prohibit or limit questioning in a particular</w:t>
      </w:r>
      <w:r>
        <w:rPr>
          <w:spacing w:val="-10"/>
          <w:sz w:val="28"/>
        </w:rPr>
        <w:t> </w:t>
      </w:r>
      <w:r>
        <w:rPr>
          <w:sz w:val="28"/>
        </w:rPr>
        <w:t>trial.</w:t>
      </w:r>
    </w:p>
    <w:p>
      <w:pPr>
        <w:pStyle w:val="Heading1"/>
        <w:ind w:left="4219"/>
      </w:pPr>
      <w:r>
        <w:rPr/>
        <w:t>ARGUMENT</w:t>
      </w:r>
    </w:p>
    <w:p>
      <w:pPr>
        <w:pStyle w:val="BodyText"/>
        <w:spacing w:before="10"/>
        <w:ind w:left="0"/>
        <w:rPr>
          <w:b/>
          <w:sz w:val="27"/>
        </w:rPr>
      </w:pPr>
    </w:p>
    <w:p>
      <w:pPr>
        <w:pStyle w:val="ListParagraph"/>
        <w:numPr>
          <w:ilvl w:val="0"/>
          <w:numId w:val="1"/>
        </w:numPr>
        <w:tabs>
          <w:tab w:pos="1820" w:val="left" w:leader="none"/>
        </w:tabs>
        <w:spacing w:line="480" w:lineRule="auto" w:before="0" w:after="0"/>
        <w:ind w:left="380" w:right="116" w:firstLine="719"/>
        <w:jc w:val="both"/>
        <w:rPr>
          <w:sz w:val="28"/>
        </w:rPr>
      </w:pPr>
      <w:r>
        <w:rPr>
          <w:sz w:val="28"/>
        </w:rPr>
        <w:t>Murder charges are the most serious charges an individual can face in our justice system. As such, they often spark the most intrigue and interest of the public. This can be particularly true where the murder involves a defendant related to the victim. It also means courts must take special persuasions to ensure that the</w:t>
      </w:r>
      <w:r>
        <w:rPr>
          <w:spacing w:val="41"/>
          <w:sz w:val="28"/>
        </w:rPr>
        <w:t> </w:t>
      </w:r>
      <w:r>
        <w:rPr>
          <w:sz w:val="28"/>
        </w:rPr>
        <w:t>rights</w:t>
      </w:r>
    </w:p>
    <w:p>
      <w:pPr>
        <w:spacing w:after="0" w:line="480" w:lineRule="auto"/>
        <w:jc w:val="both"/>
        <w:rPr>
          <w:sz w:val="28"/>
        </w:rPr>
        <w:sectPr>
          <w:pgSz w:w="12240" w:h="15840"/>
          <w:pgMar w:top="1360" w:bottom="280" w:left="1060" w:right="1320"/>
        </w:sectPr>
      </w:pPr>
    </w:p>
    <w:p>
      <w:pPr>
        <w:pStyle w:val="BodyText"/>
        <w:spacing w:before="80"/>
      </w:pPr>
      <w:r>
        <w:rPr/>
        <w:t>of the accused are protected.</w:t>
      </w:r>
    </w:p>
    <w:p>
      <w:pPr>
        <w:pStyle w:val="BodyText"/>
        <w:spacing w:before="11"/>
        <w:ind w:left="0"/>
        <w:rPr>
          <w:sz w:val="27"/>
        </w:rPr>
      </w:pPr>
    </w:p>
    <w:p>
      <w:pPr>
        <w:pStyle w:val="ListParagraph"/>
        <w:numPr>
          <w:ilvl w:val="0"/>
          <w:numId w:val="1"/>
        </w:numPr>
        <w:tabs>
          <w:tab w:pos="1820" w:val="left" w:leader="none"/>
        </w:tabs>
        <w:spacing w:line="480" w:lineRule="auto" w:before="0" w:after="0"/>
        <w:ind w:left="380" w:right="117" w:firstLine="719"/>
        <w:jc w:val="both"/>
        <w:rPr>
          <w:sz w:val="28"/>
        </w:rPr>
      </w:pPr>
      <w:r>
        <w:rPr>
          <w:sz w:val="28"/>
        </w:rPr>
        <w:t>Here, Mr. Nickal is accused of shooting his wife in the head with a shotgun. Jurors may, in this case, want to ask Mr. Nickal, and other witnesses, about Mr. Nickal and Mrs. Nickal’s relationship, Mr. Nickal’s criminal history, if Mr. Nickal has a violent past, or if Mrs. Nickal was a peaceful person. This evidence, depending on the witness and stage of the trial, may or may not be</w:t>
      </w:r>
      <w:r>
        <w:rPr>
          <w:spacing w:val="-13"/>
          <w:sz w:val="28"/>
        </w:rPr>
        <w:t> </w:t>
      </w:r>
      <w:r>
        <w:rPr>
          <w:sz w:val="28"/>
        </w:rPr>
        <w:t>admissible.</w:t>
      </w:r>
    </w:p>
    <w:p>
      <w:pPr>
        <w:pStyle w:val="ListParagraph"/>
        <w:numPr>
          <w:ilvl w:val="0"/>
          <w:numId w:val="1"/>
        </w:numPr>
        <w:tabs>
          <w:tab w:pos="1820" w:val="left" w:leader="none"/>
        </w:tabs>
        <w:spacing w:line="480" w:lineRule="auto" w:before="0" w:after="0"/>
        <w:ind w:left="380" w:right="118" w:firstLine="719"/>
        <w:jc w:val="both"/>
        <w:rPr>
          <w:sz w:val="28"/>
        </w:rPr>
      </w:pPr>
      <w:r>
        <w:rPr>
          <w:sz w:val="28"/>
        </w:rPr>
        <w:t>Due to the weight of the charges and the severity of the consequences that face Mr. Nickal, the Court should take extra care to ensure Mr. Nickal’s right to a fair and impartial jury is protected as is his right to have the </w:t>
      </w:r>
      <w:r>
        <w:rPr>
          <w:i/>
          <w:sz w:val="28"/>
        </w:rPr>
        <w:t>prosecution </w:t>
      </w:r>
      <w:r>
        <w:rPr>
          <w:sz w:val="28"/>
        </w:rPr>
        <w:t>prove each and every element of the charges against him beyond a reasonable</w:t>
      </w:r>
      <w:r>
        <w:rPr>
          <w:spacing w:val="-13"/>
          <w:sz w:val="28"/>
        </w:rPr>
        <w:t> </w:t>
      </w:r>
      <w:r>
        <w:rPr>
          <w:sz w:val="28"/>
        </w:rPr>
        <w:t>doubt.</w:t>
      </w:r>
    </w:p>
    <w:p>
      <w:pPr>
        <w:pStyle w:val="BodyText"/>
        <w:spacing w:line="480" w:lineRule="auto"/>
        <w:ind w:left="379" w:right="116" w:firstLine="719"/>
        <w:jc w:val="both"/>
      </w:pPr>
      <w:r>
        <w:rPr/>
        <w:t>WHEREFORE, Mr. Nickal requests that this Court employ is discretion under Crim. P. 24(G) and prohibit the use of juror questions at trial. Mr. Nickal makes this motion pursuant to his rights to due process, proof beyond a reasonable doubt, testify in his defense, a fair and impartial jury, and all other rights accorded to a criminal defendant under both the Colorado and United State’s constitutions.</w:t>
      </w:r>
    </w:p>
    <w:p>
      <w:pPr>
        <w:pStyle w:val="BodyText"/>
        <w:spacing w:before="11"/>
        <w:ind w:left="0"/>
        <w:rPr>
          <w:sz w:val="27"/>
        </w:rPr>
      </w:pPr>
    </w:p>
    <w:p>
      <w:pPr>
        <w:pStyle w:val="BodyText"/>
        <w:spacing w:line="480" w:lineRule="auto"/>
        <w:ind w:right="6890"/>
      </w:pPr>
      <w:r>
        <w:rPr/>
        <w:t>Dated: July 27, 2017 Respectfully Submitted,</w:t>
      </w:r>
    </w:p>
    <w:p>
      <w:pPr>
        <w:pStyle w:val="BodyText"/>
        <w:ind w:left="0"/>
        <w:rPr>
          <w:sz w:val="19"/>
        </w:rPr>
      </w:pPr>
    </w:p>
    <w:p>
      <w:pPr>
        <w:pStyle w:val="BodyText"/>
        <w:tabs>
          <w:tab w:pos="2060" w:val="left" w:leader="none"/>
          <w:tab w:pos="5381" w:val="left" w:leader="none"/>
        </w:tabs>
        <w:spacing w:before="100"/>
        <w:ind w:right="4476"/>
      </w:pPr>
      <w:r>
        <w:rPr>
          <w:w w:val="99"/>
          <w:u w:val="single"/>
        </w:rPr>
        <w:t> </w:t>
      </w:r>
      <w:r>
        <w:rPr>
          <w:u w:val="single"/>
        </w:rPr>
        <w:tab/>
      </w:r>
      <w:r>
        <w:rPr/>
        <w:t>/s/</w:t>
      </w:r>
      <w:r>
        <w:rPr>
          <w:u w:val="single"/>
        </w:rPr>
        <w:tab/>
      </w:r>
      <w:r>
        <w:rPr/>
        <w:t> Patrick</w:t>
      </w:r>
      <w:r>
        <w:rPr>
          <w:spacing w:val="-1"/>
        </w:rPr>
        <w:t> </w:t>
      </w:r>
      <w:r>
        <w:rPr/>
        <w:t>Mulligan</w:t>
      </w:r>
    </w:p>
    <w:p>
      <w:pPr>
        <w:pStyle w:val="BodyText"/>
      </w:pPr>
      <w:r>
        <w:rPr/>
        <w:drawing>
          <wp:anchor distT="0" distB="0" distL="0" distR="0" allowOverlap="1" layoutInCell="1" locked="0" behindDoc="0" simplePos="0" relativeHeight="0">
            <wp:simplePos x="0" y="0"/>
            <wp:positionH relativeFrom="page">
              <wp:posOffset>739317</wp:posOffset>
            </wp:positionH>
            <wp:positionV relativeFrom="paragraph">
              <wp:posOffset>262599</wp:posOffset>
            </wp:positionV>
            <wp:extent cx="2100003" cy="589788"/>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100003" cy="589788"/>
                    </a:xfrm>
                    <a:prstGeom prst="rect">
                      <a:avLst/>
                    </a:prstGeom>
                  </pic:spPr>
                </pic:pic>
              </a:graphicData>
            </a:graphic>
          </wp:anchor>
        </w:drawing>
      </w:r>
      <w:r>
        <w:rPr/>
        <w:t>Registration # 16981</w:t>
      </w:r>
    </w:p>
    <w:p>
      <w:pPr>
        <w:spacing w:after="0"/>
        <w:sectPr>
          <w:pgSz w:w="12240" w:h="15840"/>
          <w:pgMar w:top="1360" w:bottom="280" w:left="1060" w:right="1320"/>
        </w:sectPr>
      </w:pPr>
    </w:p>
    <w:p>
      <w:pPr>
        <w:pStyle w:val="BodyText"/>
        <w:ind w:left="0"/>
        <w:rPr>
          <w:sz w:val="20"/>
        </w:rPr>
      </w:pPr>
    </w:p>
    <w:p>
      <w:pPr>
        <w:pStyle w:val="BodyText"/>
        <w:ind w:left="0"/>
        <w:rPr>
          <w:sz w:val="26"/>
        </w:rPr>
      </w:pPr>
    </w:p>
    <w:p>
      <w:pPr>
        <w:pStyle w:val="BodyText"/>
        <w:spacing w:line="20" w:lineRule="exact"/>
        <w:ind w:left="373"/>
        <w:rPr>
          <w:sz w:val="2"/>
        </w:rPr>
      </w:pPr>
      <w:r>
        <w:rPr>
          <w:sz w:val="2"/>
        </w:rPr>
        <w:pict>
          <v:group style="width:245pt;height:.7pt;mso-position-horizontal-relative:char;mso-position-vertical-relative:line" coordorigin="0,0" coordsize="4900,14">
            <v:line style="position:absolute" from="0,7" to="4899,7" stroked="true" strokeweight=".699pt" strokecolor="#000000">
              <v:stroke dashstyle="solid"/>
            </v:line>
          </v:group>
        </w:pict>
      </w:r>
      <w:r>
        <w:rPr>
          <w:sz w:val="2"/>
        </w:rPr>
      </w:r>
    </w:p>
    <w:p>
      <w:pPr>
        <w:pStyle w:val="BodyText"/>
        <w:spacing w:before="32"/>
      </w:pPr>
      <w:r>
        <w:rPr/>
        <w:t>Jennifer Longtin, #43509</w:t>
      </w:r>
    </w:p>
    <w:p>
      <w:pPr>
        <w:pStyle w:val="BodyText"/>
      </w:pPr>
      <w:r>
        <w:rPr/>
        <w:t>The Law Office of Jennifer E. Longtin, LLC</w:t>
      </w:r>
    </w:p>
    <w:p>
      <w:pPr>
        <w:pStyle w:val="BodyText"/>
        <w:ind w:left="0"/>
        <w:rPr>
          <w:sz w:val="30"/>
        </w:rPr>
      </w:pPr>
    </w:p>
    <w:p>
      <w:pPr>
        <w:pStyle w:val="BodyText"/>
        <w:spacing w:before="11"/>
        <w:ind w:left="0"/>
        <w:rPr>
          <w:sz w:val="25"/>
        </w:rPr>
      </w:pPr>
    </w:p>
    <w:p>
      <w:pPr>
        <w:pStyle w:val="Heading1"/>
      </w:pPr>
      <w:r>
        <w:rPr/>
        <w:t>Certificate of Service</w:t>
      </w:r>
    </w:p>
    <w:p>
      <w:pPr>
        <w:pStyle w:val="BodyText"/>
        <w:spacing w:line="276" w:lineRule="auto" w:before="47"/>
        <w:ind w:left="379" w:right="1114"/>
      </w:pPr>
      <w:r>
        <w:rPr/>
        <w:pict>
          <v:group style="position:absolute;margin-left:71.986023pt;margin-top:33.922752pt;width:210pt;height:39pt;mso-position-horizontal-relative:page;mso-position-vertical-relative:paragraph;z-index:-4648" coordorigin="1440,678" coordsize="4200,780">
            <v:shape style="position:absolute;left:1668;top:678;width:3142;height:780" type="#_x0000_t75" stroked="false">
              <v:imagedata r:id="rId8" o:title=""/>
            </v:shape>
            <v:line style="position:absolute" from="1440,1403" to="5639,1403" stroked="true" strokeweight=".699pt" strokecolor="#000000">
              <v:stroke dashstyle="solid"/>
            </v:line>
            <w10:wrap type="none"/>
          </v:group>
        </w:pict>
      </w:r>
      <w:r>
        <w:rPr/>
        <w:t>The undersigned does hereby certify that on July 27, 2017, s/he did serve the foregoing MOTION via ICCES to all counsel of record.</w:t>
      </w:r>
    </w:p>
    <w:sectPr>
      <w:pgSz w:w="12240" w:h="15840"/>
      <w:pgMar w:top="1500" w:bottom="2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19" w:hanging="720"/>
        <w:jc w:val="left"/>
      </w:pPr>
      <w:rPr>
        <w:rFonts w:hint="default" w:ascii="Garamond" w:hAnsi="Garamond" w:eastAsia="Garamond" w:cs="Garamond"/>
        <w:spacing w:val="-1"/>
        <w:w w:val="99"/>
        <w:sz w:val="28"/>
        <w:szCs w:val="28"/>
      </w:rPr>
    </w:lvl>
    <w:lvl w:ilvl="1">
      <w:start w:val="0"/>
      <w:numFmt w:val="bullet"/>
      <w:lvlText w:val="•"/>
      <w:lvlJc w:val="left"/>
      <w:pPr>
        <w:ind w:left="2624" w:hanging="720"/>
      </w:pPr>
      <w:rPr>
        <w:rFonts w:hint="default"/>
      </w:rPr>
    </w:lvl>
    <w:lvl w:ilvl="2">
      <w:start w:val="0"/>
      <w:numFmt w:val="bullet"/>
      <w:lvlText w:val="•"/>
      <w:lvlJc w:val="left"/>
      <w:pPr>
        <w:ind w:left="3428" w:hanging="720"/>
      </w:pPr>
      <w:rPr>
        <w:rFonts w:hint="default"/>
      </w:rPr>
    </w:lvl>
    <w:lvl w:ilvl="3">
      <w:start w:val="0"/>
      <w:numFmt w:val="bullet"/>
      <w:lvlText w:val="•"/>
      <w:lvlJc w:val="left"/>
      <w:pPr>
        <w:ind w:left="4232" w:hanging="720"/>
      </w:pPr>
      <w:rPr>
        <w:rFonts w:hint="default"/>
      </w:rPr>
    </w:lvl>
    <w:lvl w:ilvl="4">
      <w:start w:val="0"/>
      <w:numFmt w:val="bullet"/>
      <w:lvlText w:val="•"/>
      <w:lvlJc w:val="left"/>
      <w:pPr>
        <w:ind w:left="5036" w:hanging="720"/>
      </w:pPr>
      <w:rPr>
        <w:rFonts w:hint="default"/>
      </w:rPr>
    </w:lvl>
    <w:lvl w:ilvl="5">
      <w:start w:val="0"/>
      <w:numFmt w:val="bullet"/>
      <w:lvlText w:val="•"/>
      <w:lvlJc w:val="left"/>
      <w:pPr>
        <w:ind w:left="5840" w:hanging="720"/>
      </w:pPr>
      <w:rPr>
        <w:rFonts w:hint="default"/>
      </w:rPr>
    </w:lvl>
    <w:lvl w:ilvl="6">
      <w:start w:val="0"/>
      <w:numFmt w:val="bullet"/>
      <w:lvlText w:val="•"/>
      <w:lvlJc w:val="left"/>
      <w:pPr>
        <w:ind w:left="6644" w:hanging="720"/>
      </w:pPr>
      <w:rPr>
        <w:rFonts w:hint="default"/>
      </w:rPr>
    </w:lvl>
    <w:lvl w:ilvl="7">
      <w:start w:val="0"/>
      <w:numFmt w:val="bullet"/>
      <w:lvlText w:val="•"/>
      <w:lvlJc w:val="left"/>
      <w:pPr>
        <w:ind w:left="7448" w:hanging="720"/>
      </w:pPr>
      <w:rPr>
        <w:rFonts w:hint="default"/>
      </w:rPr>
    </w:lvl>
    <w:lvl w:ilvl="8">
      <w:start w:val="0"/>
      <w:numFmt w:val="bullet"/>
      <w:lvlText w:val="•"/>
      <w:lvlJc w:val="left"/>
      <w:pPr>
        <w:ind w:left="825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380"/>
    </w:pPr>
    <w:rPr>
      <w:rFonts w:ascii="Garamond" w:hAnsi="Garamond" w:eastAsia="Garamond" w:cs="Garamond"/>
      <w:sz w:val="28"/>
      <w:szCs w:val="28"/>
    </w:rPr>
  </w:style>
  <w:style w:styleId="Heading1" w:type="paragraph">
    <w:name w:val="Heading 1"/>
    <w:basedOn w:val="Normal"/>
    <w:uiPriority w:val="1"/>
    <w:qFormat/>
    <w:pPr>
      <w:ind w:left="3839"/>
      <w:outlineLvl w:val="1"/>
    </w:pPr>
    <w:rPr>
      <w:rFonts w:ascii="Garamond" w:hAnsi="Garamond" w:eastAsia="Garamond" w:cs="Garamond"/>
      <w:b/>
      <w:bCs/>
      <w:sz w:val="28"/>
      <w:szCs w:val="28"/>
    </w:rPr>
  </w:style>
  <w:style w:styleId="ListParagraph" w:type="paragraph">
    <w:name w:val="List Paragraph"/>
    <w:basedOn w:val="Normal"/>
    <w:uiPriority w:val="1"/>
    <w:qFormat/>
    <w:pPr>
      <w:ind w:left="379" w:right="116" w:firstLine="719"/>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2019-03-20T18:42:52Z</dcterms:created>
  <dcterms:modified xsi:type="dcterms:W3CDTF">2019-03-20T18:42:52Z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