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3420"/>
      </w:tblGrid>
      <w:tr>
        <w:trPr>
          <w:trHeight w:val="592" w:hRule="atLeast"/>
        </w:trPr>
        <w:tc>
          <w:tcPr>
            <w:tcW w:w="5920" w:type="dxa"/>
            <w:tcBorders>
              <w:bottom w:val="nil"/>
            </w:tcBorders>
          </w:tcPr>
          <w:p>
            <w:pPr>
              <w:pStyle w:val="TableParagraph"/>
              <w:spacing w:before="8"/>
              <w:ind w:left="0"/>
              <w:rPr>
                <w:sz w:val="23"/>
              </w:rPr>
            </w:pPr>
          </w:p>
          <w:p>
            <w:pPr>
              <w:pStyle w:val="TableParagraph"/>
              <w:rPr>
                <w:sz w:val="24"/>
              </w:rPr>
            </w:pPr>
            <w:r>
              <w:rPr>
                <w:sz w:val="24"/>
              </w:rPr>
              <w:t>DISTRICT COURT, DENVER COUNTY, COLORADO</w:t>
            </w:r>
          </w:p>
        </w:tc>
        <w:tc>
          <w:tcPr>
            <w:tcW w:w="3420" w:type="dxa"/>
            <w:tcBorders>
              <w:bottom w:val="nil"/>
            </w:tcBorders>
          </w:tcPr>
          <w:p>
            <w:pPr>
              <w:pStyle w:val="TableParagraph"/>
              <w:ind w:left="0"/>
              <w:rPr>
                <w:sz w:val="22"/>
              </w:rPr>
            </w:pPr>
          </w:p>
        </w:tc>
      </w:tr>
      <w:tr>
        <w:trPr>
          <w:trHeight w:val="1634" w:hRule="atLeast"/>
        </w:trPr>
        <w:tc>
          <w:tcPr>
            <w:tcW w:w="5920" w:type="dxa"/>
            <w:tcBorders>
              <w:top w:val="nil"/>
              <w:bottom w:val="nil"/>
            </w:tcBorders>
          </w:tcPr>
          <w:p>
            <w:pPr>
              <w:pStyle w:val="TableParagraph"/>
              <w:spacing w:line="214" w:lineRule="exact" w:before="35"/>
              <w:ind w:left="0" w:right="-44"/>
              <w:jc w:val="right"/>
              <w:rPr>
                <w:sz w:val="20"/>
              </w:rPr>
            </w:pPr>
            <w:r>
              <w:rPr>
                <w:color w:val="0000FF"/>
                <w:sz w:val="20"/>
              </w:rPr>
              <w:t>DATE</w:t>
            </w:r>
          </w:p>
          <w:p>
            <w:pPr>
              <w:pStyle w:val="TableParagraph"/>
              <w:tabs>
                <w:tab w:pos="5302" w:val="left" w:leader="none"/>
              </w:tabs>
              <w:spacing w:line="238" w:lineRule="exact"/>
              <w:ind w:left="0" w:right="-29"/>
              <w:jc w:val="right"/>
              <w:rPr>
                <w:sz w:val="20"/>
              </w:rPr>
            </w:pPr>
            <w:r>
              <w:rPr>
                <w:sz w:val="24"/>
              </w:rPr>
              <w:t>Court Address:   Denver</w:t>
            </w:r>
            <w:r>
              <w:rPr>
                <w:spacing w:val="-5"/>
                <w:sz w:val="24"/>
              </w:rPr>
              <w:t> </w:t>
            </w:r>
            <w:r>
              <w:rPr>
                <w:sz w:val="24"/>
              </w:rPr>
              <w:t>County</w:t>
            </w:r>
            <w:r>
              <w:rPr>
                <w:spacing w:val="-1"/>
                <w:sz w:val="24"/>
              </w:rPr>
              <w:t> </w:t>
            </w:r>
            <w:r>
              <w:rPr>
                <w:sz w:val="24"/>
              </w:rPr>
              <w:t>Court</w:t>
              <w:tab/>
            </w:r>
            <w:r>
              <w:rPr>
                <w:color w:val="0000FF"/>
                <w:position w:val="2"/>
                <w:sz w:val="20"/>
              </w:rPr>
              <w:t>FILIN</w:t>
            </w:r>
          </w:p>
          <w:p>
            <w:pPr>
              <w:pStyle w:val="TableParagraph"/>
              <w:tabs>
                <w:tab w:pos="5410" w:val="left" w:leader="none"/>
              </w:tabs>
              <w:spacing w:line="297" w:lineRule="exact"/>
              <w:ind w:left="1727" w:right="-29"/>
              <w:rPr>
                <w:sz w:val="20"/>
              </w:rPr>
            </w:pPr>
            <w:r>
              <w:rPr>
                <w:sz w:val="24"/>
              </w:rPr>
              <w:t>1437 Bannock St.,</w:t>
            </w:r>
            <w:r>
              <w:rPr>
                <w:spacing w:val="-1"/>
                <w:sz w:val="24"/>
              </w:rPr>
              <w:t> </w:t>
            </w:r>
            <w:r>
              <w:rPr>
                <w:sz w:val="24"/>
              </w:rPr>
              <w:t>Room</w:t>
            </w:r>
            <w:r>
              <w:rPr>
                <w:spacing w:val="-3"/>
                <w:sz w:val="24"/>
              </w:rPr>
              <w:t> </w:t>
            </w:r>
            <w:r>
              <w:rPr>
                <w:sz w:val="24"/>
              </w:rPr>
              <w:t>256</w:t>
              <w:tab/>
            </w:r>
            <w:r>
              <w:rPr>
                <w:color w:val="0000FF"/>
                <w:position w:val="8"/>
                <w:sz w:val="20"/>
              </w:rPr>
              <w:t>CASE</w:t>
            </w:r>
          </w:p>
          <w:p>
            <w:pPr>
              <w:pStyle w:val="TableParagraph"/>
              <w:ind w:left="1727"/>
              <w:rPr>
                <w:sz w:val="24"/>
              </w:rPr>
            </w:pPr>
            <w:r>
              <w:rPr>
                <w:sz w:val="24"/>
              </w:rPr>
              <w:t>Denver, CO</w:t>
            </w:r>
            <w:r>
              <w:rPr>
                <w:spacing w:val="58"/>
                <w:sz w:val="24"/>
              </w:rPr>
              <w:t> </w:t>
            </w:r>
            <w:r>
              <w:rPr>
                <w:sz w:val="24"/>
              </w:rPr>
              <w:t>80202</w:t>
            </w:r>
          </w:p>
          <w:p>
            <w:pPr>
              <w:pStyle w:val="TableParagraph"/>
              <w:ind w:left="1727"/>
              <w:rPr>
                <w:sz w:val="24"/>
              </w:rPr>
            </w:pPr>
            <w:r>
              <w:rPr>
                <w:sz w:val="24"/>
              </w:rPr>
              <w:t>(720) 865-8301</w:t>
            </w:r>
          </w:p>
        </w:tc>
        <w:tc>
          <w:tcPr>
            <w:tcW w:w="3420" w:type="dxa"/>
            <w:tcBorders>
              <w:top w:val="nil"/>
              <w:bottom w:val="nil"/>
            </w:tcBorders>
          </w:tcPr>
          <w:p>
            <w:pPr>
              <w:pStyle w:val="TableParagraph"/>
              <w:spacing w:line="225" w:lineRule="auto" w:before="46"/>
              <w:ind w:left="11" w:right="250" w:firstLine="96"/>
              <w:rPr>
                <w:sz w:val="20"/>
              </w:rPr>
            </w:pPr>
            <w:r>
              <w:rPr>
                <w:color w:val="0000FF"/>
                <w:sz w:val="20"/>
              </w:rPr>
              <w:t>FILED: January 18, 2016 11:46 </w:t>
            </w:r>
            <w:r>
              <w:rPr>
                <w:color w:val="0000FF"/>
                <w:spacing w:val="-7"/>
                <w:sz w:val="20"/>
              </w:rPr>
              <w:t>AM</w:t>
            </w:r>
            <w:r>
              <w:rPr>
                <w:color w:val="0000FF"/>
                <w:spacing w:val="36"/>
                <w:sz w:val="20"/>
              </w:rPr>
              <w:t> </w:t>
            </w:r>
            <w:r>
              <w:rPr>
                <w:color w:val="0000FF"/>
                <w:sz w:val="20"/>
              </w:rPr>
              <w:t>G ID:</w:t>
            </w:r>
            <w:r>
              <w:rPr>
                <w:color w:val="0000FF"/>
                <w:spacing w:val="9"/>
                <w:sz w:val="20"/>
              </w:rPr>
              <w:t> </w:t>
            </w:r>
            <w:r>
              <w:rPr>
                <w:color w:val="0000FF"/>
                <w:sz w:val="20"/>
              </w:rPr>
              <w:t>B42D9D0844D42</w:t>
            </w:r>
          </w:p>
          <w:p>
            <w:pPr>
              <w:pStyle w:val="TableParagraph"/>
              <w:spacing w:line="218" w:lineRule="exact"/>
              <w:ind w:left="85"/>
              <w:rPr>
                <w:sz w:val="20"/>
              </w:rPr>
            </w:pPr>
            <w:r>
              <w:rPr>
                <w:color w:val="0000FF"/>
                <w:sz w:val="20"/>
              </w:rPr>
              <w:t>NUMBER: 2015CV31709</w:t>
            </w:r>
          </w:p>
        </w:tc>
      </w:tr>
      <w:tr>
        <w:trPr>
          <w:trHeight w:val="1259" w:hRule="atLeast"/>
        </w:trPr>
        <w:tc>
          <w:tcPr>
            <w:tcW w:w="5920" w:type="dxa"/>
            <w:tcBorders>
              <w:top w:val="nil"/>
              <w:bottom w:val="nil"/>
            </w:tcBorders>
          </w:tcPr>
          <w:p>
            <w:pPr>
              <w:pStyle w:val="TableParagraph"/>
              <w:spacing w:line="20" w:lineRule="exact"/>
              <w:ind w:left="69"/>
              <w:rPr>
                <w:sz w:val="2"/>
              </w:rPr>
            </w:pPr>
            <w:r>
              <w:rPr>
                <w:sz w:val="2"/>
              </w:rPr>
              <w:pict>
                <v:group style="width:288.2pt;height:.75pt;mso-position-horizontal-relative:char;mso-position-vertical-relative:line" coordorigin="0,0" coordsize="5764,15">
                  <v:line style="position:absolute" from="0,7" to="5764,7" stroked="true" strokeweight=".72pt" strokecolor="#000000">
                    <v:stroke dashstyle="solid"/>
                  </v:line>
                </v:group>
              </w:pict>
            </w:r>
            <w:r>
              <w:rPr>
                <w:sz w:val="2"/>
              </w:rPr>
            </w:r>
          </w:p>
          <w:p>
            <w:pPr>
              <w:pStyle w:val="TableParagraph"/>
              <w:spacing w:before="3"/>
              <w:ind w:left="0"/>
              <w:rPr>
                <w:sz w:val="23"/>
              </w:rPr>
            </w:pPr>
          </w:p>
          <w:p>
            <w:pPr>
              <w:pStyle w:val="TableParagraph"/>
              <w:ind w:right="1046"/>
              <w:jc w:val="both"/>
              <w:rPr>
                <w:sz w:val="24"/>
              </w:rPr>
            </w:pPr>
            <w:r>
              <w:rPr>
                <w:sz w:val="24"/>
              </w:rPr>
              <w:t>Plaintiffs: ROBERT ABRAMS and ABRAMS &amp; ASSOCIATES, LLC, a Colorado limited liability company;</w:t>
            </w:r>
          </w:p>
        </w:tc>
        <w:tc>
          <w:tcPr>
            <w:tcW w:w="3420" w:type="dxa"/>
            <w:tcBorders>
              <w:top w:val="nil"/>
              <w:bottom w:val="nil"/>
            </w:tcBorders>
          </w:tcPr>
          <w:p>
            <w:pPr>
              <w:pStyle w:val="TableParagraph"/>
              <w:ind w:left="0"/>
              <w:rPr>
                <w:sz w:val="22"/>
              </w:rPr>
            </w:pPr>
          </w:p>
        </w:tc>
      </w:tr>
      <w:tr>
        <w:trPr>
          <w:trHeight w:val="551" w:hRule="atLeast"/>
        </w:trPr>
        <w:tc>
          <w:tcPr>
            <w:tcW w:w="5920" w:type="dxa"/>
            <w:tcBorders>
              <w:top w:val="nil"/>
              <w:bottom w:val="nil"/>
            </w:tcBorders>
          </w:tcPr>
          <w:p>
            <w:pPr>
              <w:pStyle w:val="TableParagraph"/>
              <w:spacing w:before="133"/>
              <w:rPr>
                <w:sz w:val="24"/>
              </w:rPr>
            </w:pPr>
            <w:r>
              <w:rPr>
                <w:sz w:val="24"/>
              </w:rPr>
              <w:t>v.</w:t>
            </w:r>
          </w:p>
        </w:tc>
        <w:tc>
          <w:tcPr>
            <w:tcW w:w="3420" w:type="dxa"/>
            <w:tcBorders>
              <w:top w:val="nil"/>
              <w:bottom w:val="nil"/>
            </w:tcBorders>
          </w:tcPr>
          <w:p>
            <w:pPr>
              <w:pStyle w:val="TableParagraph"/>
              <w:ind w:left="0"/>
              <w:rPr>
                <w:sz w:val="22"/>
              </w:rPr>
            </w:pPr>
          </w:p>
        </w:tc>
      </w:tr>
      <w:tr>
        <w:trPr>
          <w:trHeight w:val="1239" w:hRule="atLeast"/>
        </w:trPr>
        <w:tc>
          <w:tcPr>
            <w:tcW w:w="5920" w:type="dxa"/>
            <w:tcBorders>
              <w:top w:val="nil"/>
            </w:tcBorders>
          </w:tcPr>
          <w:p>
            <w:pPr>
              <w:pStyle w:val="TableParagraph"/>
              <w:spacing w:before="133"/>
              <w:ind w:right="283"/>
              <w:rPr>
                <w:sz w:val="24"/>
              </w:rPr>
            </w:pPr>
            <w:r>
              <w:rPr>
                <w:sz w:val="24"/>
              </w:rPr>
              <w:t>Defendants: SHAWN BEESON, an individual; and CALIFORNIA STREET PARKING GARAGE, LLLP, a</w:t>
            </w:r>
          </w:p>
          <w:p>
            <w:pPr>
              <w:pStyle w:val="TableParagraph"/>
              <w:rPr>
                <w:sz w:val="24"/>
              </w:rPr>
            </w:pPr>
            <w:r>
              <w:rPr>
                <w:sz w:val="24"/>
              </w:rPr>
              <w:t>Colorado limited liability limited partnership.</w:t>
            </w:r>
          </w:p>
        </w:tc>
        <w:tc>
          <w:tcPr>
            <w:tcW w:w="3420" w:type="dxa"/>
            <w:tcBorders>
              <w:top w:val="nil"/>
            </w:tcBorders>
          </w:tcPr>
          <w:p>
            <w:pPr>
              <w:pStyle w:val="TableParagraph"/>
              <w:ind w:left="0"/>
              <w:rPr>
                <w:sz w:val="26"/>
              </w:rPr>
            </w:pPr>
          </w:p>
          <w:p>
            <w:pPr>
              <w:pStyle w:val="TableParagraph"/>
              <w:spacing w:before="8"/>
              <w:ind w:left="0"/>
              <w:rPr>
                <w:sz w:val="38"/>
              </w:rPr>
            </w:pPr>
          </w:p>
          <w:p>
            <w:pPr>
              <w:pStyle w:val="TableParagraph"/>
              <w:spacing w:before="1"/>
              <w:ind w:left="635"/>
              <w:rPr>
                <w:b/>
                <w:sz w:val="24"/>
              </w:rPr>
            </w:pPr>
            <w:r>
              <w:rPr>
                <w:b/>
                <w:sz w:val="24"/>
              </w:rPr>
              <w:t>COURT USE ONLY</w:t>
            </w:r>
          </w:p>
        </w:tc>
      </w:tr>
      <w:tr>
        <w:trPr>
          <w:trHeight w:val="691" w:hRule="atLeast"/>
        </w:trPr>
        <w:tc>
          <w:tcPr>
            <w:tcW w:w="5920" w:type="dxa"/>
            <w:tcBorders>
              <w:bottom w:val="nil"/>
            </w:tcBorders>
          </w:tcPr>
          <w:p>
            <w:pPr>
              <w:pStyle w:val="TableParagraph"/>
              <w:spacing w:before="8"/>
              <w:ind w:left="0"/>
              <w:rPr>
                <w:sz w:val="23"/>
              </w:rPr>
            </w:pPr>
          </w:p>
          <w:p>
            <w:pPr>
              <w:pStyle w:val="TableParagraph"/>
              <w:rPr>
                <w:sz w:val="24"/>
              </w:rPr>
            </w:pPr>
            <w:r>
              <w:rPr>
                <w:sz w:val="24"/>
              </w:rPr>
              <w:t>Attorneys for Plaintiff:</w:t>
            </w:r>
          </w:p>
        </w:tc>
        <w:tc>
          <w:tcPr>
            <w:tcW w:w="3420" w:type="dxa"/>
            <w:tcBorders>
              <w:bottom w:val="nil"/>
            </w:tcBorders>
          </w:tcPr>
          <w:p>
            <w:pPr>
              <w:pStyle w:val="TableParagraph"/>
              <w:spacing w:before="8"/>
              <w:ind w:left="0"/>
              <w:rPr>
                <w:sz w:val="23"/>
              </w:rPr>
            </w:pPr>
          </w:p>
          <w:p>
            <w:pPr>
              <w:pStyle w:val="TableParagraph"/>
              <w:rPr>
                <w:sz w:val="24"/>
              </w:rPr>
            </w:pPr>
            <w:r>
              <w:rPr>
                <w:sz w:val="24"/>
              </w:rPr>
              <w:t>Case Number: 2015CV31709</w:t>
            </w:r>
          </w:p>
        </w:tc>
      </w:tr>
      <w:tr>
        <w:trPr>
          <w:trHeight w:val="2208" w:hRule="atLeast"/>
        </w:trPr>
        <w:tc>
          <w:tcPr>
            <w:tcW w:w="5920" w:type="dxa"/>
            <w:tcBorders>
              <w:top w:val="nil"/>
              <w:bottom w:val="nil"/>
            </w:tcBorders>
          </w:tcPr>
          <w:p>
            <w:pPr>
              <w:pStyle w:val="TableParagraph"/>
              <w:spacing w:before="133"/>
              <w:rPr>
                <w:sz w:val="24"/>
              </w:rPr>
            </w:pPr>
            <w:r>
              <w:rPr>
                <w:sz w:val="24"/>
              </w:rPr>
              <w:t>ELKUS SISSON &amp; ROSENSTEIN, P.C.</w:t>
            </w:r>
          </w:p>
          <w:p>
            <w:pPr>
              <w:pStyle w:val="TableParagraph"/>
              <w:ind w:right="2789"/>
              <w:rPr>
                <w:sz w:val="24"/>
              </w:rPr>
            </w:pPr>
            <w:r>
              <w:rPr>
                <w:sz w:val="24"/>
              </w:rPr>
              <w:t>Steven T. Mandelaris, #37964 501 S. Cherry Street, Suite 920</w:t>
            </w:r>
          </w:p>
          <w:p>
            <w:pPr>
              <w:pStyle w:val="TableParagraph"/>
              <w:rPr>
                <w:sz w:val="24"/>
              </w:rPr>
            </w:pPr>
            <w:r>
              <w:rPr>
                <w:sz w:val="24"/>
              </w:rPr>
              <w:t>Denver, CO 80246</w:t>
            </w:r>
          </w:p>
          <w:p>
            <w:pPr>
              <w:pStyle w:val="TableParagraph"/>
              <w:rPr>
                <w:sz w:val="24"/>
              </w:rPr>
            </w:pPr>
            <w:r>
              <w:rPr>
                <w:sz w:val="24"/>
              </w:rPr>
              <w:t>Phone #: (303) 567-7981</w:t>
            </w:r>
          </w:p>
          <w:p>
            <w:pPr>
              <w:pStyle w:val="TableParagraph"/>
              <w:rPr>
                <w:sz w:val="24"/>
              </w:rPr>
            </w:pPr>
            <w:r>
              <w:rPr>
                <w:sz w:val="24"/>
              </w:rPr>
              <w:t>Fax #: (303) 431-3753</w:t>
            </w:r>
          </w:p>
          <w:p>
            <w:pPr>
              <w:pStyle w:val="TableParagraph"/>
              <w:rPr>
                <w:sz w:val="24"/>
              </w:rPr>
            </w:pPr>
            <w:r>
              <w:rPr>
                <w:sz w:val="24"/>
              </w:rPr>
              <w:t>E-mail: </w:t>
            </w:r>
            <w:hyperlink r:id="rId6">
              <w:r>
                <w:rPr>
                  <w:sz w:val="24"/>
                </w:rPr>
                <w:t>smandelaris@elkusandsisson.com</w:t>
              </w:r>
            </w:hyperlink>
          </w:p>
        </w:tc>
        <w:tc>
          <w:tcPr>
            <w:tcW w:w="3420" w:type="dxa"/>
            <w:tcBorders>
              <w:top w:val="nil"/>
              <w:bottom w:val="nil"/>
            </w:tcBorders>
          </w:tcPr>
          <w:p>
            <w:pPr>
              <w:pStyle w:val="TableParagraph"/>
              <w:spacing w:before="133"/>
              <w:rPr>
                <w:sz w:val="24"/>
              </w:rPr>
            </w:pPr>
            <w:r>
              <w:rPr>
                <w:sz w:val="24"/>
              </w:rPr>
              <w:t>Division: 409</w:t>
            </w:r>
          </w:p>
        </w:tc>
      </w:tr>
      <w:tr>
        <w:trPr>
          <w:trHeight w:val="2343" w:hRule="atLeast"/>
        </w:trPr>
        <w:tc>
          <w:tcPr>
            <w:tcW w:w="5920" w:type="dxa"/>
            <w:tcBorders>
              <w:top w:val="nil"/>
            </w:tcBorders>
          </w:tcPr>
          <w:p>
            <w:pPr>
              <w:pStyle w:val="TableParagraph"/>
              <w:spacing w:before="133"/>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w:t>
            </w:r>
            <w:r>
              <w:rPr>
                <w:sz w:val="24"/>
                <w:vertAlign w:val="superscript"/>
              </w:rPr>
              <w:t>th</w:t>
            </w:r>
            <w:r>
              <w:rPr>
                <w:sz w:val="24"/>
                <w:vertAlign w:val="baseline"/>
              </w:rPr>
              <w:t> St., Suite 650</w:t>
            </w:r>
          </w:p>
          <w:p>
            <w:pPr>
              <w:pStyle w:val="TableParagraph"/>
              <w:rPr>
                <w:sz w:val="24"/>
              </w:rPr>
            </w:pPr>
            <w:r>
              <w:rPr>
                <w:sz w:val="24"/>
              </w:rPr>
              <w:t>Denver, CO 80202</w:t>
            </w:r>
          </w:p>
          <w:p>
            <w:pPr>
              <w:pStyle w:val="TableParagraph"/>
              <w:rPr>
                <w:sz w:val="24"/>
              </w:rPr>
            </w:pPr>
            <w:r>
              <w:rPr>
                <w:sz w:val="24"/>
              </w:rPr>
              <w:t>Phone #: (303) 322-4115</w:t>
            </w:r>
          </w:p>
          <w:p>
            <w:pPr>
              <w:pStyle w:val="TableParagraph"/>
              <w:rPr>
                <w:sz w:val="24"/>
              </w:rPr>
            </w:pPr>
            <w:r>
              <w:rPr>
                <w:sz w:val="24"/>
              </w:rPr>
              <w:t>Fax #: (303) 333-0708</w:t>
            </w:r>
          </w:p>
          <w:p>
            <w:pPr>
              <w:pStyle w:val="TableParagraph"/>
              <w:spacing w:line="270" w:lineRule="atLeast"/>
              <w:ind w:right="2589"/>
              <w:rPr>
                <w:sz w:val="24"/>
              </w:rPr>
            </w:pPr>
            <w:r>
              <w:rPr>
                <w:sz w:val="24"/>
              </w:rPr>
              <w:t>E-m</w:t>
            </w:r>
            <w:hyperlink r:id="rId7">
              <w:r>
                <w:rPr>
                  <w:sz w:val="24"/>
                </w:rPr>
                <w:t>ail: Robert@AbramsLaw.net</w:t>
              </w:r>
            </w:hyperlink>
            <w:r>
              <w:rPr>
                <w:sz w:val="24"/>
              </w:rPr>
              <w:t> Atty. Reg. #: 37950</w:t>
            </w:r>
          </w:p>
        </w:tc>
        <w:tc>
          <w:tcPr>
            <w:tcW w:w="3420" w:type="dxa"/>
            <w:tcBorders>
              <w:top w:val="nil"/>
            </w:tcBorders>
          </w:tcPr>
          <w:p>
            <w:pPr>
              <w:pStyle w:val="TableParagraph"/>
              <w:ind w:left="0"/>
              <w:rPr>
                <w:sz w:val="22"/>
              </w:rPr>
            </w:pPr>
          </w:p>
        </w:tc>
      </w:tr>
      <w:tr>
        <w:trPr>
          <w:trHeight w:val="1057" w:hRule="atLeast"/>
        </w:trPr>
        <w:tc>
          <w:tcPr>
            <w:tcW w:w="9340" w:type="dxa"/>
            <w:gridSpan w:val="2"/>
          </w:tcPr>
          <w:p>
            <w:pPr>
              <w:pStyle w:val="TableParagraph"/>
              <w:spacing w:before="229"/>
              <w:ind w:left="692" w:right="234" w:hanging="430"/>
              <w:rPr>
                <w:b/>
                <w:sz w:val="24"/>
              </w:rPr>
            </w:pPr>
            <w:r>
              <w:rPr>
                <w:b/>
                <w:sz w:val="24"/>
              </w:rPr>
              <w:t>PLAINTIFF’S MOTION FOR PARTIAL SUMMARY JUDGMENT ON THE ISSUE OF BREACH OF CONTRACT AGAINST DEFENDANT SHAWN BEESON</w:t>
            </w:r>
          </w:p>
        </w:tc>
      </w:tr>
    </w:tbl>
    <w:p>
      <w:pPr>
        <w:pStyle w:val="BodyText"/>
        <w:spacing w:before="10"/>
        <w:rPr>
          <w:sz w:val="15"/>
        </w:rPr>
      </w:pPr>
      <w:r>
        <w:rPr/>
        <w:pict>
          <v:shape style="position:absolute;margin-left:379.050293pt;margin-top:311.379395pt;width:10pt;height:10pt;mso-position-horizontal-relative:page;mso-position-vertical-relative:page;z-index:-7120" coordorigin="7581,6228" coordsize="200,200" path="m7681,6228l7581,6428,7781,6428,7681,6228xe" filled="true" fillcolor="#000000" stroked="false">
            <v:path arrowok="t"/>
            <v:fill type="solid"/>
            <w10:wrap type="none"/>
          </v:shape>
        </w:pict>
      </w:r>
      <w:r>
        <w:rPr/>
        <w:pict>
          <v:shape style="position:absolute;margin-left:513.800171pt;margin-top:311.379395pt;width:10pt;height:10pt;mso-position-horizontal-relative:page;mso-position-vertical-relative:page;z-index:-7096" coordorigin="10276,6228" coordsize="200,200" path="m10376,6228l10276,6428,10476,6428,10376,6228xe" filled="true" fillcolor="#000000" stroked="false">
            <v:path arrowok="t"/>
            <v:fill type="solid"/>
            <w10:wrap type="none"/>
          </v:shape>
        </w:pict>
      </w:r>
    </w:p>
    <w:p>
      <w:pPr>
        <w:pStyle w:val="BodyText"/>
        <w:spacing w:before="90"/>
        <w:ind w:left="120" w:right="197" w:firstLine="720"/>
        <w:jc w:val="both"/>
      </w:pPr>
      <w:r>
        <w:rPr/>
        <w:t>COMES NOW, Plaintiff Robert Abrams, through his attorneys at Elkus Sisson and Rosenstein, P.C. and Abrams &amp; Associates, LLC, and hereby files his Response to Defendant’s Motion for Attorney Fees (“Motion”). In support thereof, Plaintiff state and allege as follows:</w:t>
      </w:r>
    </w:p>
    <w:p>
      <w:pPr>
        <w:spacing w:after="0"/>
        <w:jc w:val="both"/>
        <w:sectPr>
          <w:footerReference w:type="default" r:id="rId5"/>
          <w:type w:val="continuous"/>
          <w:pgSz w:w="12240" w:h="15840"/>
          <w:pgMar w:footer="1065" w:top="1440" w:bottom="1260" w:left="1320" w:right="1240"/>
          <w:pgNumType w:start="1"/>
        </w:sectPr>
      </w:pPr>
    </w:p>
    <w:p>
      <w:pPr>
        <w:pStyle w:val="BodyText"/>
        <w:spacing w:before="76"/>
        <w:ind w:left="120" w:firstLine="720"/>
      </w:pPr>
      <w:r>
        <w:rPr>
          <w:u w:val="single"/>
        </w:rPr>
        <w:t>C.R.C.P. 121 § 1-15, ¶8 Certification</w:t>
      </w:r>
      <w:r>
        <w:rPr/>
        <w:t>: Plaintiff contacted defense counsel in good faith regarding this Motion. Defendant opposes the relief requested herein.</w:t>
      </w:r>
    </w:p>
    <w:p>
      <w:pPr>
        <w:pStyle w:val="BodyText"/>
      </w:pPr>
    </w:p>
    <w:p>
      <w:pPr>
        <w:pStyle w:val="ListParagraph"/>
        <w:numPr>
          <w:ilvl w:val="0"/>
          <w:numId w:val="1"/>
        </w:numPr>
        <w:tabs>
          <w:tab w:pos="1559" w:val="left" w:leader="none"/>
          <w:tab w:pos="1560" w:val="left" w:leader="none"/>
        </w:tabs>
        <w:spacing w:line="240" w:lineRule="auto" w:before="1" w:after="0"/>
        <w:ind w:left="120" w:right="198" w:firstLine="720"/>
        <w:jc w:val="left"/>
        <w:rPr>
          <w:sz w:val="24"/>
        </w:rPr>
      </w:pPr>
      <w:r>
        <w:rPr>
          <w:sz w:val="24"/>
        </w:rPr>
        <w:t>From the pleadings, Affidavits and matters of record, no genuine issue of material fact exist; therefore, Plaintiff’s Motion must be</w:t>
      </w:r>
      <w:r>
        <w:rPr>
          <w:spacing w:val="-1"/>
          <w:sz w:val="24"/>
        </w:rPr>
        <w:t> </w:t>
      </w:r>
      <w:r>
        <w:rPr>
          <w:sz w:val="24"/>
        </w:rPr>
        <w:t>granted.</w:t>
      </w:r>
    </w:p>
    <w:p>
      <w:pPr>
        <w:pStyle w:val="BodyText"/>
        <w:spacing w:before="11"/>
        <w:rPr>
          <w:sz w:val="23"/>
        </w:rPr>
      </w:pPr>
    </w:p>
    <w:p>
      <w:pPr>
        <w:pStyle w:val="ListParagraph"/>
        <w:numPr>
          <w:ilvl w:val="0"/>
          <w:numId w:val="1"/>
        </w:numPr>
        <w:tabs>
          <w:tab w:pos="1559" w:val="left" w:leader="none"/>
          <w:tab w:pos="1560" w:val="left" w:leader="none"/>
        </w:tabs>
        <w:spacing w:line="240" w:lineRule="auto" w:before="0" w:after="0"/>
        <w:ind w:left="120" w:right="197" w:firstLine="720"/>
        <w:jc w:val="left"/>
        <w:rPr>
          <w:sz w:val="24"/>
        </w:rPr>
      </w:pPr>
      <w:r>
        <w:rPr>
          <w:sz w:val="24"/>
        </w:rPr>
        <w:t>A Memorandum Brief setting forth Plaintiff’s position with particularity is set forth herein in support of its Motion for Partial Summary</w:t>
      </w:r>
      <w:r>
        <w:rPr>
          <w:spacing w:val="-7"/>
          <w:sz w:val="24"/>
        </w:rPr>
        <w:t> </w:t>
      </w:r>
      <w:r>
        <w:rPr>
          <w:sz w:val="24"/>
        </w:rPr>
        <w:t>Judgment.</w:t>
      </w:r>
    </w:p>
    <w:p>
      <w:pPr>
        <w:pStyle w:val="BodyText"/>
        <w:spacing w:before="7"/>
        <w:rPr>
          <w:sz w:val="34"/>
        </w:rPr>
      </w:pPr>
    </w:p>
    <w:p>
      <w:pPr>
        <w:pStyle w:val="Heading1"/>
        <w:spacing w:before="1"/>
        <w:ind w:left="1708"/>
      </w:pPr>
      <w:r>
        <w:rPr>
          <w:u w:val="thick"/>
        </w:rPr>
        <w:t>ISSUE PRESENTED AGAINST DEFENDANT SHAWN BEESON</w:t>
      </w:r>
    </w:p>
    <w:p>
      <w:pPr>
        <w:pStyle w:val="BodyText"/>
        <w:spacing w:before="7"/>
        <w:rPr>
          <w:b/>
          <w:sz w:val="26"/>
        </w:rPr>
      </w:pPr>
    </w:p>
    <w:p>
      <w:pPr>
        <w:spacing w:before="90"/>
        <w:ind w:left="1560" w:right="917" w:hanging="720"/>
        <w:jc w:val="both"/>
        <w:rPr>
          <w:b/>
          <w:sz w:val="24"/>
        </w:rPr>
      </w:pPr>
      <w:r>
        <w:rPr>
          <w:b/>
          <w:sz w:val="24"/>
        </w:rPr>
        <w:t>I. DEFENDANT TERMINATED PLAINTIFF’S LAW FIRM AND  FAILED TO PAY REMAINING SUMS DUE THEREUNDER WITHIN THE PARTIES’ CONTRACT; THEREFORE, SUMMARY JUDGMENT IS APPROPRIATE UNDER C.R.C.P.</w:t>
      </w:r>
      <w:r>
        <w:rPr>
          <w:b/>
          <w:spacing w:val="-5"/>
          <w:sz w:val="24"/>
        </w:rPr>
        <w:t> </w:t>
      </w:r>
      <w:r>
        <w:rPr>
          <w:b/>
          <w:sz w:val="24"/>
        </w:rPr>
        <w:t>56.</w:t>
      </w:r>
    </w:p>
    <w:p>
      <w:pPr>
        <w:pStyle w:val="BodyText"/>
        <w:rPr>
          <w:b/>
        </w:rPr>
      </w:pPr>
    </w:p>
    <w:p>
      <w:pPr>
        <w:spacing w:before="0"/>
        <w:ind w:left="3216" w:right="0" w:firstLine="0"/>
        <w:jc w:val="left"/>
        <w:rPr>
          <w:b/>
          <w:sz w:val="24"/>
        </w:rPr>
      </w:pPr>
      <w:r>
        <w:rPr>
          <w:b/>
          <w:sz w:val="24"/>
          <w:u w:val="thick"/>
        </w:rPr>
        <w:t>STATEMENT OF THE CASE</w:t>
      </w:r>
    </w:p>
    <w:p>
      <w:pPr>
        <w:pStyle w:val="BodyText"/>
        <w:spacing w:before="4"/>
        <w:rPr>
          <w:b/>
          <w:sz w:val="26"/>
        </w:rPr>
      </w:pPr>
    </w:p>
    <w:p>
      <w:pPr>
        <w:pStyle w:val="ListParagraph"/>
        <w:numPr>
          <w:ilvl w:val="0"/>
          <w:numId w:val="2"/>
        </w:numPr>
        <w:tabs>
          <w:tab w:pos="1560" w:val="left" w:leader="none"/>
        </w:tabs>
        <w:spacing w:line="240" w:lineRule="auto" w:before="90" w:after="0"/>
        <w:ind w:left="120" w:right="198" w:firstLine="720"/>
        <w:jc w:val="both"/>
        <w:rPr>
          <w:sz w:val="24"/>
        </w:rPr>
      </w:pPr>
      <w:r>
        <w:rPr>
          <w:sz w:val="24"/>
        </w:rPr>
        <w:t>On October 1, 2015 plaintiff filed his Third Amended Complaint and sued defendant in this matter for claims of Breach of Contract, Battery, and Extreme and Outrageous Conduct.</w:t>
      </w:r>
    </w:p>
    <w:p>
      <w:pPr>
        <w:pStyle w:val="BodyText"/>
      </w:pPr>
    </w:p>
    <w:p>
      <w:pPr>
        <w:pStyle w:val="ListParagraph"/>
        <w:numPr>
          <w:ilvl w:val="0"/>
          <w:numId w:val="2"/>
        </w:numPr>
        <w:tabs>
          <w:tab w:pos="1559" w:val="left" w:leader="none"/>
          <w:tab w:pos="1560" w:val="left" w:leader="none"/>
        </w:tabs>
        <w:spacing w:line="240" w:lineRule="auto" w:before="0" w:after="0"/>
        <w:ind w:left="1560" w:right="0" w:hanging="720"/>
        <w:jc w:val="left"/>
        <w:rPr>
          <w:sz w:val="24"/>
        </w:rPr>
      </w:pPr>
      <w:r>
        <w:rPr>
          <w:sz w:val="24"/>
        </w:rPr>
        <w:t>In Plaintiff’s Third Amended Complaint, against defendant Beeson, plaintiff</w:t>
      </w:r>
      <w:r>
        <w:rPr>
          <w:spacing w:val="-16"/>
          <w:sz w:val="24"/>
        </w:rPr>
        <w:t> </w:t>
      </w:r>
      <w:r>
        <w:rPr>
          <w:sz w:val="24"/>
        </w:rPr>
        <w:t>pled:</w:t>
      </w:r>
    </w:p>
    <w:p>
      <w:pPr>
        <w:pStyle w:val="BodyText"/>
      </w:pPr>
    </w:p>
    <w:p>
      <w:pPr>
        <w:pStyle w:val="ListParagraph"/>
        <w:numPr>
          <w:ilvl w:val="1"/>
          <w:numId w:val="2"/>
        </w:numPr>
        <w:tabs>
          <w:tab w:pos="1920" w:val="left" w:leader="none"/>
        </w:tabs>
        <w:spacing w:line="240" w:lineRule="auto" w:before="1" w:after="0"/>
        <w:ind w:left="1920" w:right="1177" w:hanging="360"/>
        <w:jc w:val="left"/>
        <w:rPr>
          <w:sz w:val="24"/>
        </w:rPr>
      </w:pPr>
      <w:r>
        <w:rPr>
          <w:sz w:val="24"/>
        </w:rPr>
        <w:t>On or about May 27, 2011, parties Abrams and Beeson individually, entered into a Contract for Legal Services on a contingent fee</w:t>
      </w:r>
      <w:r>
        <w:rPr>
          <w:spacing w:val="-14"/>
          <w:sz w:val="24"/>
        </w:rPr>
        <w:t> </w:t>
      </w:r>
      <w:r>
        <w:rPr>
          <w:sz w:val="24"/>
        </w:rPr>
        <w:t>basis.</w:t>
      </w:r>
    </w:p>
    <w:p>
      <w:pPr>
        <w:pStyle w:val="BodyText"/>
        <w:spacing w:before="10"/>
        <w:rPr>
          <w:sz w:val="23"/>
        </w:rPr>
      </w:pPr>
    </w:p>
    <w:p>
      <w:pPr>
        <w:pStyle w:val="ListParagraph"/>
        <w:numPr>
          <w:ilvl w:val="1"/>
          <w:numId w:val="2"/>
        </w:numPr>
        <w:tabs>
          <w:tab w:pos="1920" w:val="left" w:leader="none"/>
        </w:tabs>
        <w:spacing w:line="240" w:lineRule="auto" w:before="0" w:after="0"/>
        <w:ind w:left="1920" w:right="1066" w:hanging="360"/>
        <w:jc w:val="left"/>
        <w:rPr>
          <w:sz w:val="24"/>
        </w:rPr>
      </w:pPr>
      <w:r>
        <w:rPr>
          <w:sz w:val="24"/>
        </w:rPr>
        <w:t>Therein the Contract, Defendant Beeson agreed that should client terminate the Contract for any reason, the firm would deemed to have been working on a </w:t>
      </w:r>
      <w:r>
        <w:rPr>
          <w:i/>
          <w:sz w:val="24"/>
        </w:rPr>
        <w:t>quantum meruit</w:t>
      </w:r>
      <w:r>
        <w:rPr>
          <w:i/>
          <w:spacing w:val="-2"/>
          <w:sz w:val="24"/>
        </w:rPr>
        <w:t> </w:t>
      </w:r>
      <w:r>
        <w:rPr>
          <w:sz w:val="24"/>
        </w:rPr>
        <w:t>basis.</w:t>
      </w:r>
    </w:p>
    <w:p>
      <w:pPr>
        <w:pStyle w:val="BodyText"/>
      </w:pPr>
    </w:p>
    <w:p>
      <w:pPr>
        <w:pStyle w:val="ListParagraph"/>
        <w:numPr>
          <w:ilvl w:val="1"/>
          <w:numId w:val="2"/>
        </w:numPr>
        <w:tabs>
          <w:tab w:pos="1920" w:val="left" w:leader="none"/>
        </w:tabs>
        <w:spacing w:line="240" w:lineRule="auto" w:before="0" w:after="0"/>
        <w:ind w:left="1920" w:right="1661" w:hanging="360"/>
        <w:jc w:val="left"/>
        <w:rPr>
          <w:sz w:val="24"/>
        </w:rPr>
      </w:pPr>
      <w:r>
        <w:rPr>
          <w:sz w:val="24"/>
        </w:rPr>
        <w:t>Defendant terminated Plaintiff and failed to pay Abrams for</w:t>
      </w:r>
      <w:r>
        <w:rPr>
          <w:spacing w:val="-17"/>
          <w:sz w:val="24"/>
        </w:rPr>
        <w:t> </w:t>
      </w:r>
      <w:r>
        <w:rPr>
          <w:sz w:val="24"/>
        </w:rPr>
        <w:t>his attorney’s fees on a </w:t>
      </w:r>
      <w:r>
        <w:rPr>
          <w:i/>
          <w:sz w:val="24"/>
        </w:rPr>
        <w:t>quantum meruit</w:t>
      </w:r>
      <w:r>
        <w:rPr>
          <w:i/>
          <w:spacing w:val="-3"/>
          <w:sz w:val="24"/>
        </w:rPr>
        <w:t> </w:t>
      </w:r>
      <w:r>
        <w:rPr>
          <w:sz w:val="24"/>
        </w:rPr>
        <w:t>basis.</w:t>
      </w:r>
    </w:p>
    <w:p>
      <w:pPr>
        <w:pStyle w:val="BodyText"/>
      </w:pPr>
    </w:p>
    <w:p>
      <w:pPr>
        <w:pStyle w:val="ListParagraph"/>
        <w:numPr>
          <w:ilvl w:val="0"/>
          <w:numId w:val="2"/>
        </w:numPr>
        <w:tabs>
          <w:tab w:pos="1560" w:val="left" w:leader="none"/>
        </w:tabs>
        <w:spacing w:line="240" w:lineRule="auto" w:before="0" w:after="0"/>
        <w:ind w:left="120" w:right="198" w:firstLine="720"/>
        <w:jc w:val="both"/>
        <w:rPr>
          <w:sz w:val="24"/>
        </w:rPr>
      </w:pPr>
      <w:r>
        <w:rPr>
          <w:sz w:val="24"/>
        </w:rPr>
        <w:t>Defendant, in his counterclaim to plaintiff’s Third Amended Complaint, makes a claim for breach of contract. Defendant admits, at para. 93-95 of his Answer, the parties had a contract, and he is not paid</w:t>
      </w:r>
      <w:r>
        <w:rPr>
          <w:spacing w:val="-1"/>
          <w:sz w:val="24"/>
        </w:rPr>
        <w:t> </w:t>
      </w:r>
      <w:r>
        <w:rPr>
          <w:sz w:val="24"/>
        </w:rPr>
        <w:t>thereunder.</w:t>
      </w:r>
    </w:p>
    <w:p>
      <w:pPr>
        <w:pStyle w:val="BodyText"/>
      </w:pPr>
    </w:p>
    <w:p>
      <w:pPr>
        <w:pStyle w:val="ListParagraph"/>
        <w:numPr>
          <w:ilvl w:val="0"/>
          <w:numId w:val="2"/>
        </w:numPr>
        <w:tabs>
          <w:tab w:pos="1560" w:val="left" w:leader="none"/>
        </w:tabs>
        <w:spacing w:line="240" w:lineRule="auto" w:before="0" w:after="0"/>
        <w:ind w:left="120" w:right="197" w:firstLine="720"/>
        <w:jc w:val="both"/>
        <w:rPr>
          <w:sz w:val="24"/>
        </w:rPr>
      </w:pPr>
      <w:r>
        <w:rPr>
          <w:sz w:val="24"/>
        </w:rPr>
        <w:t>So, the only issue for the court to decide is, was defendant owed any money under the parties’ contact after defendant terminated</w:t>
      </w:r>
      <w:r>
        <w:rPr>
          <w:spacing w:val="-3"/>
          <w:sz w:val="24"/>
        </w:rPr>
        <w:t> </w:t>
      </w:r>
      <w:r>
        <w:rPr>
          <w:sz w:val="24"/>
        </w:rPr>
        <w:t>plaintiff.</w:t>
      </w:r>
    </w:p>
    <w:p>
      <w:pPr>
        <w:pStyle w:val="BodyText"/>
      </w:pPr>
    </w:p>
    <w:p>
      <w:pPr>
        <w:pStyle w:val="ListParagraph"/>
        <w:numPr>
          <w:ilvl w:val="0"/>
          <w:numId w:val="2"/>
        </w:numPr>
        <w:tabs>
          <w:tab w:pos="1560" w:val="left" w:leader="none"/>
        </w:tabs>
        <w:spacing w:line="240" w:lineRule="auto" w:before="0" w:after="0"/>
        <w:ind w:left="120" w:right="197" w:firstLine="720"/>
        <w:jc w:val="both"/>
        <w:rPr>
          <w:i/>
          <w:sz w:val="24"/>
        </w:rPr>
      </w:pPr>
      <w:r>
        <w:rPr>
          <w:sz w:val="24"/>
        </w:rPr>
        <w:t>On or about May 27, 2011, Plaintiff Abrams &amp; Associates, LLC (f.k.a. Abrams Law, LLC hereinafter the “Firm”) and Defendant Beeson (hereinafter “defendant”) entered into a Contract for Legal Services on a contingent fee basis to represent him in Denver District Court case number 2012CV79. </w:t>
      </w:r>
      <w:r>
        <w:rPr>
          <w:i/>
          <w:sz w:val="24"/>
        </w:rPr>
        <w:t>Exhibit 1.</w:t>
      </w:r>
    </w:p>
    <w:p>
      <w:pPr>
        <w:spacing w:after="0" w:line="240" w:lineRule="auto"/>
        <w:jc w:val="both"/>
        <w:rPr>
          <w:sz w:val="24"/>
        </w:rPr>
        <w:sectPr>
          <w:pgSz w:w="12240" w:h="15840"/>
          <w:pgMar w:header="0" w:footer="1065" w:top="1360" w:bottom="1260" w:left="1320" w:right="1240"/>
        </w:sectPr>
      </w:pPr>
    </w:p>
    <w:p>
      <w:pPr>
        <w:pStyle w:val="ListParagraph"/>
        <w:numPr>
          <w:ilvl w:val="0"/>
          <w:numId w:val="2"/>
        </w:numPr>
        <w:tabs>
          <w:tab w:pos="1559" w:val="left" w:leader="none"/>
          <w:tab w:pos="1560" w:val="left" w:leader="none"/>
        </w:tabs>
        <w:spacing w:line="240" w:lineRule="auto" w:before="76" w:after="0"/>
        <w:ind w:left="120" w:right="196" w:firstLine="720"/>
        <w:jc w:val="left"/>
        <w:rPr>
          <w:i/>
          <w:sz w:val="24"/>
        </w:rPr>
      </w:pPr>
      <w:r>
        <w:rPr>
          <w:sz w:val="24"/>
        </w:rPr>
        <w:t>Therein the Contract, Defendant agreed that should client terminate the Contract, the Firm would have been working on a </w:t>
      </w:r>
      <w:r>
        <w:rPr>
          <w:i/>
          <w:sz w:val="24"/>
        </w:rPr>
        <w:t>quantum meruit </w:t>
      </w:r>
      <w:r>
        <w:rPr>
          <w:sz w:val="24"/>
        </w:rPr>
        <w:t>basis. </w:t>
      </w:r>
      <w:r>
        <w:rPr>
          <w:i/>
          <w:sz w:val="24"/>
        </w:rPr>
        <w:t>Exhibit 1, ¶</w:t>
      </w:r>
      <w:r>
        <w:rPr>
          <w:i/>
          <w:spacing w:val="-8"/>
          <w:sz w:val="24"/>
        </w:rPr>
        <w:t> </w:t>
      </w:r>
      <w:r>
        <w:rPr>
          <w:i/>
          <w:sz w:val="24"/>
        </w:rPr>
        <w:t>7.</w:t>
      </w:r>
    </w:p>
    <w:p>
      <w:pPr>
        <w:pStyle w:val="BodyText"/>
        <w:rPr>
          <w:i/>
        </w:rPr>
      </w:pPr>
    </w:p>
    <w:p>
      <w:pPr>
        <w:pStyle w:val="ListParagraph"/>
        <w:numPr>
          <w:ilvl w:val="0"/>
          <w:numId w:val="2"/>
        </w:numPr>
        <w:tabs>
          <w:tab w:pos="1559" w:val="left" w:leader="none"/>
          <w:tab w:pos="1560" w:val="left" w:leader="none"/>
        </w:tabs>
        <w:spacing w:line="240" w:lineRule="auto" w:before="1" w:after="0"/>
        <w:ind w:left="1560" w:right="0" w:hanging="720"/>
        <w:jc w:val="left"/>
        <w:rPr>
          <w:i/>
          <w:sz w:val="24"/>
        </w:rPr>
      </w:pPr>
      <w:r>
        <w:rPr>
          <w:sz w:val="24"/>
        </w:rPr>
        <w:t>On or about December 7, 2012 defendant terminated Plaintiff. </w:t>
      </w:r>
      <w:r>
        <w:rPr>
          <w:i/>
          <w:sz w:val="24"/>
        </w:rPr>
        <w:t>Exhibit</w:t>
      </w:r>
      <w:r>
        <w:rPr>
          <w:i/>
          <w:spacing w:val="-5"/>
          <w:sz w:val="24"/>
        </w:rPr>
        <w:t> </w:t>
      </w:r>
      <w:r>
        <w:rPr>
          <w:i/>
          <w:sz w:val="24"/>
        </w:rPr>
        <w:t>2.</w:t>
      </w:r>
    </w:p>
    <w:p>
      <w:pPr>
        <w:pStyle w:val="BodyText"/>
        <w:spacing w:before="11"/>
        <w:rPr>
          <w:i/>
          <w:sz w:val="23"/>
        </w:rPr>
      </w:pPr>
    </w:p>
    <w:p>
      <w:pPr>
        <w:pStyle w:val="ListParagraph"/>
        <w:numPr>
          <w:ilvl w:val="0"/>
          <w:numId w:val="2"/>
        </w:numPr>
        <w:tabs>
          <w:tab w:pos="1559" w:val="left" w:leader="none"/>
          <w:tab w:pos="1560" w:val="left" w:leader="none"/>
        </w:tabs>
        <w:spacing w:line="240" w:lineRule="auto" w:before="0" w:after="0"/>
        <w:ind w:left="1560" w:right="0" w:hanging="720"/>
        <w:jc w:val="left"/>
        <w:rPr>
          <w:sz w:val="24"/>
        </w:rPr>
      </w:pPr>
      <w:r>
        <w:rPr>
          <w:sz w:val="24"/>
        </w:rPr>
        <w:t>Upon</w:t>
      </w:r>
      <w:r>
        <w:rPr>
          <w:spacing w:val="36"/>
          <w:sz w:val="24"/>
        </w:rPr>
        <w:t> </w:t>
      </w:r>
      <w:r>
        <w:rPr>
          <w:sz w:val="24"/>
        </w:rPr>
        <w:t>termination,</w:t>
      </w:r>
      <w:r>
        <w:rPr>
          <w:spacing w:val="36"/>
          <w:sz w:val="24"/>
        </w:rPr>
        <w:t> </w:t>
      </w:r>
      <w:r>
        <w:rPr>
          <w:sz w:val="24"/>
        </w:rPr>
        <w:t>defendant</w:t>
      </w:r>
      <w:r>
        <w:rPr>
          <w:spacing w:val="36"/>
          <w:sz w:val="24"/>
        </w:rPr>
        <w:t> </w:t>
      </w:r>
      <w:r>
        <w:rPr>
          <w:sz w:val="24"/>
        </w:rPr>
        <w:t>failed</w:t>
      </w:r>
      <w:r>
        <w:rPr>
          <w:spacing w:val="35"/>
          <w:sz w:val="24"/>
        </w:rPr>
        <w:t> </w:t>
      </w:r>
      <w:r>
        <w:rPr>
          <w:sz w:val="24"/>
        </w:rPr>
        <w:t>to</w:t>
      </w:r>
      <w:r>
        <w:rPr>
          <w:spacing w:val="37"/>
          <w:sz w:val="24"/>
        </w:rPr>
        <w:t> </w:t>
      </w:r>
      <w:r>
        <w:rPr>
          <w:sz w:val="24"/>
        </w:rPr>
        <w:t>pay</w:t>
      </w:r>
      <w:r>
        <w:rPr>
          <w:spacing w:val="36"/>
          <w:sz w:val="24"/>
        </w:rPr>
        <w:t> </w:t>
      </w:r>
      <w:r>
        <w:rPr>
          <w:sz w:val="24"/>
        </w:rPr>
        <w:t>plaintiff</w:t>
      </w:r>
      <w:r>
        <w:rPr>
          <w:spacing w:val="35"/>
          <w:sz w:val="24"/>
        </w:rPr>
        <w:t> </w:t>
      </w:r>
      <w:r>
        <w:rPr>
          <w:sz w:val="24"/>
        </w:rPr>
        <w:t>for</w:t>
      </w:r>
      <w:r>
        <w:rPr>
          <w:spacing w:val="36"/>
          <w:sz w:val="24"/>
        </w:rPr>
        <w:t> </w:t>
      </w:r>
      <w:r>
        <w:rPr>
          <w:sz w:val="24"/>
        </w:rPr>
        <w:t>his</w:t>
      </w:r>
      <w:r>
        <w:rPr>
          <w:spacing w:val="36"/>
          <w:sz w:val="24"/>
        </w:rPr>
        <w:t> </w:t>
      </w:r>
      <w:r>
        <w:rPr>
          <w:sz w:val="24"/>
        </w:rPr>
        <w:t>attorney’s</w:t>
      </w:r>
      <w:r>
        <w:rPr>
          <w:spacing w:val="36"/>
          <w:sz w:val="24"/>
        </w:rPr>
        <w:t> </w:t>
      </w:r>
      <w:r>
        <w:rPr>
          <w:sz w:val="24"/>
        </w:rPr>
        <w:t>fees</w:t>
      </w:r>
      <w:r>
        <w:rPr>
          <w:spacing w:val="36"/>
          <w:sz w:val="24"/>
        </w:rPr>
        <w:t> </w:t>
      </w:r>
      <w:r>
        <w:rPr>
          <w:sz w:val="24"/>
        </w:rPr>
        <w:t>on</w:t>
      </w:r>
      <w:r>
        <w:rPr>
          <w:spacing w:val="36"/>
          <w:sz w:val="24"/>
        </w:rPr>
        <w:t> </w:t>
      </w:r>
      <w:r>
        <w:rPr>
          <w:sz w:val="24"/>
        </w:rPr>
        <w:t>a</w:t>
      </w:r>
    </w:p>
    <w:p>
      <w:pPr>
        <w:spacing w:before="0"/>
        <w:ind w:left="120" w:right="0" w:firstLine="0"/>
        <w:jc w:val="left"/>
        <w:rPr>
          <w:sz w:val="24"/>
        </w:rPr>
      </w:pPr>
      <w:r>
        <w:rPr>
          <w:i/>
          <w:sz w:val="24"/>
        </w:rPr>
        <w:t>quantum meruit </w:t>
      </w:r>
      <w:r>
        <w:rPr>
          <w:sz w:val="24"/>
        </w:rPr>
        <w:t>basis.</w:t>
      </w:r>
    </w:p>
    <w:p>
      <w:pPr>
        <w:pStyle w:val="BodyText"/>
      </w:pPr>
    </w:p>
    <w:p>
      <w:pPr>
        <w:pStyle w:val="ListParagraph"/>
        <w:numPr>
          <w:ilvl w:val="0"/>
          <w:numId w:val="2"/>
        </w:numPr>
        <w:tabs>
          <w:tab w:pos="1559" w:val="left" w:leader="none"/>
          <w:tab w:pos="1560" w:val="left" w:leader="none"/>
        </w:tabs>
        <w:spacing w:line="240" w:lineRule="auto" w:before="0" w:after="0"/>
        <w:ind w:left="120" w:right="109" w:firstLine="720"/>
        <w:jc w:val="left"/>
        <w:rPr>
          <w:i/>
          <w:sz w:val="24"/>
        </w:rPr>
      </w:pPr>
      <w:r>
        <w:rPr>
          <w:sz w:val="24"/>
        </w:rPr>
        <w:t>The Firm filed an attorney’s lien in Denver District Court Case number 2012CV79 for failure to pay attorney fees per the parties’ contract in the amount of $37,851.96. </w:t>
      </w:r>
      <w:r>
        <w:rPr>
          <w:i/>
          <w:sz w:val="24"/>
        </w:rPr>
        <w:t>Exhibit</w:t>
      </w:r>
      <w:r>
        <w:rPr>
          <w:i/>
          <w:spacing w:val="-18"/>
          <w:sz w:val="24"/>
        </w:rPr>
        <w:t> </w:t>
      </w:r>
      <w:r>
        <w:rPr>
          <w:i/>
          <w:sz w:val="24"/>
        </w:rPr>
        <w:t>3.</w:t>
      </w:r>
    </w:p>
    <w:p>
      <w:pPr>
        <w:pStyle w:val="BodyText"/>
        <w:rPr>
          <w:i/>
        </w:rPr>
      </w:pPr>
    </w:p>
    <w:p>
      <w:pPr>
        <w:pStyle w:val="ListParagraph"/>
        <w:numPr>
          <w:ilvl w:val="0"/>
          <w:numId w:val="2"/>
        </w:numPr>
        <w:tabs>
          <w:tab w:pos="1559" w:val="left" w:leader="none"/>
          <w:tab w:pos="1560" w:val="left" w:leader="none"/>
        </w:tabs>
        <w:spacing w:line="240" w:lineRule="auto" w:before="0" w:after="0"/>
        <w:ind w:left="120" w:right="196" w:firstLine="720"/>
        <w:jc w:val="left"/>
        <w:rPr>
          <w:sz w:val="24"/>
        </w:rPr>
      </w:pPr>
      <w:r>
        <w:rPr>
          <w:sz w:val="24"/>
        </w:rPr>
        <w:t>To date, defendant’s outstanding balance at the Firm is $20,930.46 plus interest, of attorney’s fees owed to the Firm by Defendant, which he failed to</w:t>
      </w:r>
      <w:r>
        <w:rPr>
          <w:spacing w:val="-9"/>
          <w:sz w:val="24"/>
        </w:rPr>
        <w:t> </w:t>
      </w:r>
      <w:r>
        <w:rPr>
          <w:sz w:val="24"/>
        </w:rPr>
        <w:t>pay.</w:t>
      </w:r>
    </w:p>
    <w:p>
      <w:pPr>
        <w:pStyle w:val="BodyText"/>
      </w:pPr>
    </w:p>
    <w:p>
      <w:pPr>
        <w:pStyle w:val="ListParagraph"/>
        <w:numPr>
          <w:ilvl w:val="0"/>
          <w:numId w:val="2"/>
        </w:numPr>
        <w:tabs>
          <w:tab w:pos="1559" w:val="left" w:leader="none"/>
          <w:tab w:pos="1560" w:val="left" w:leader="none"/>
        </w:tabs>
        <w:spacing w:line="240" w:lineRule="auto" w:before="0" w:after="0"/>
        <w:ind w:left="120" w:right="200" w:firstLine="720"/>
        <w:jc w:val="left"/>
        <w:rPr>
          <w:sz w:val="24"/>
        </w:rPr>
      </w:pPr>
      <w:r>
        <w:rPr>
          <w:sz w:val="24"/>
        </w:rPr>
        <w:t>Plaintiff performed fully under the contract and all conditions precedent occurred. Defendant terminated Plaintiff on or about December 7,</w:t>
      </w:r>
      <w:r>
        <w:rPr>
          <w:spacing w:val="-3"/>
          <w:sz w:val="24"/>
        </w:rPr>
        <w:t> </w:t>
      </w:r>
      <w:r>
        <w:rPr>
          <w:sz w:val="24"/>
        </w:rPr>
        <w:t>2012.</w:t>
      </w:r>
    </w:p>
    <w:p>
      <w:pPr>
        <w:pStyle w:val="BodyText"/>
      </w:pPr>
    </w:p>
    <w:p>
      <w:pPr>
        <w:pStyle w:val="ListParagraph"/>
        <w:numPr>
          <w:ilvl w:val="0"/>
          <w:numId w:val="2"/>
        </w:numPr>
        <w:tabs>
          <w:tab w:pos="1559" w:val="left" w:leader="none"/>
          <w:tab w:pos="1560" w:val="left" w:leader="none"/>
        </w:tabs>
        <w:spacing w:line="240" w:lineRule="auto" w:before="0" w:after="0"/>
        <w:ind w:left="1560" w:right="0" w:hanging="720"/>
        <w:jc w:val="left"/>
        <w:rPr>
          <w:sz w:val="24"/>
        </w:rPr>
      </w:pPr>
      <w:r>
        <w:rPr>
          <w:sz w:val="24"/>
        </w:rPr>
        <w:t>The parties’ Contract contains the following clause at para.</w:t>
      </w:r>
      <w:r>
        <w:rPr>
          <w:spacing w:val="-6"/>
          <w:sz w:val="24"/>
        </w:rPr>
        <w:t> </w:t>
      </w:r>
      <w:r>
        <w:rPr>
          <w:sz w:val="24"/>
        </w:rPr>
        <w:t>7:</w:t>
      </w:r>
    </w:p>
    <w:p>
      <w:pPr>
        <w:pStyle w:val="BodyText"/>
      </w:pPr>
    </w:p>
    <w:p>
      <w:pPr>
        <w:pStyle w:val="BodyText"/>
        <w:ind w:left="1560" w:right="918"/>
        <w:jc w:val="both"/>
      </w:pPr>
      <w:r>
        <w:rPr/>
        <w:t>In the event of termination of this contract by the Client, the Firm shall be deemed to have been working on a </w:t>
      </w:r>
      <w:r>
        <w:rPr>
          <w:i/>
        </w:rPr>
        <w:t>quantum meruit </w:t>
      </w:r>
      <w:r>
        <w:rPr/>
        <w:t>basis, presumed to be equal to the prevailing hourly rate of the Firm at the time of termination. Or, the applicable percentage of the highest settlement offer offered to the Client immediately prior to termination, whichever amount is greater.</w:t>
      </w:r>
    </w:p>
    <w:p>
      <w:pPr>
        <w:pStyle w:val="BodyText"/>
      </w:pPr>
    </w:p>
    <w:p>
      <w:pPr>
        <w:pStyle w:val="ListParagraph"/>
        <w:numPr>
          <w:ilvl w:val="0"/>
          <w:numId w:val="2"/>
        </w:numPr>
        <w:tabs>
          <w:tab w:pos="1560" w:val="left" w:leader="none"/>
        </w:tabs>
        <w:spacing w:line="240" w:lineRule="auto" w:before="1" w:after="0"/>
        <w:ind w:left="120" w:right="196" w:firstLine="720"/>
        <w:jc w:val="both"/>
        <w:rPr>
          <w:sz w:val="24"/>
        </w:rPr>
      </w:pPr>
      <w:r>
        <w:rPr>
          <w:sz w:val="24"/>
        </w:rPr>
        <w:t>Upon termination, Defendant became liable for attorney’s fees under the </w:t>
      </w:r>
      <w:r>
        <w:rPr>
          <w:i/>
          <w:sz w:val="24"/>
        </w:rPr>
        <w:t>quantum </w:t>
      </w:r>
      <w:r>
        <w:rPr>
          <w:i/>
          <w:sz w:val="24"/>
        </w:rPr>
        <w:t>meruit </w:t>
      </w:r>
      <w:r>
        <w:rPr>
          <w:sz w:val="24"/>
        </w:rPr>
        <w:t>terms of the contract. Defendant failed to pay Plaintiff the amounts due and owing to him under the parties’ Contract. By terminating Plaintiff and failing to pay him the sums due as  stated in his Contract upon termination, Defendant materially breached the</w:t>
      </w:r>
      <w:r>
        <w:rPr>
          <w:spacing w:val="-11"/>
          <w:sz w:val="24"/>
        </w:rPr>
        <w:t> </w:t>
      </w:r>
      <w:r>
        <w:rPr>
          <w:sz w:val="24"/>
        </w:rPr>
        <w:t>contract.</w:t>
      </w:r>
    </w:p>
    <w:p>
      <w:pPr>
        <w:pStyle w:val="BodyText"/>
        <w:spacing w:before="10"/>
        <w:rPr>
          <w:sz w:val="23"/>
        </w:rPr>
      </w:pPr>
    </w:p>
    <w:p>
      <w:pPr>
        <w:pStyle w:val="ListParagraph"/>
        <w:numPr>
          <w:ilvl w:val="0"/>
          <w:numId w:val="2"/>
        </w:numPr>
        <w:tabs>
          <w:tab w:pos="1560" w:val="left" w:leader="none"/>
        </w:tabs>
        <w:spacing w:line="240" w:lineRule="auto" w:before="0" w:after="0"/>
        <w:ind w:left="120" w:right="198" w:firstLine="720"/>
        <w:jc w:val="both"/>
        <w:rPr>
          <w:sz w:val="24"/>
        </w:rPr>
      </w:pPr>
      <w:r>
        <w:rPr>
          <w:sz w:val="24"/>
        </w:rPr>
        <w:t>As a direct and proximate result of Defendant’s breach of contract, by failing to pay complete earned and vested compensation to Plaintiff, Plaintiff suffered damages. Plaintiff is entitled to recover the unpaid sums under the parties’ Contract plus</w:t>
      </w:r>
      <w:r>
        <w:rPr>
          <w:spacing w:val="-7"/>
          <w:sz w:val="24"/>
        </w:rPr>
        <w:t> </w:t>
      </w:r>
      <w:r>
        <w:rPr>
          <w:sz w:val="24"/>
        </w:rPr>
        <w:t>interest.</w:t>
      </w:r>
    </w:p>
    <w:p>
      <w:pPr>
        <w:pStyle w:val="BodyText"/>
        <w:spacing w:before="2"/>
      </w:pPr>
    </w:p>
    <w:p>
      <w:pPr>
        <w:pStyle w:val="Heading1"/>
        <w:ind w:left="2616"/>
      </w:pPr>
      <w:r>
        <w:rPr>
          <w:u w:val="thick"/>
        </w:rPr>
        <w:t>STATEMENT OF UNDISPUTED FACTS</w:t>
      </w:r>
    </w:p>
    <w:p>
      <w:pPr>
        <w:pStyle w:val="BodyText"/>
        <w:rPr>
          <w:b/>
          <w:sz w:val="16"/>
        </w:rPr>
      </w:pPr>
    </w:p>
    <w:p>
      <w:pPr>
        <w:pStyle w:val="ListParagraph"/>
        <w:numPr>
          <w:ilvl w:val="0"/>
          <w:numId w:val="2"/>
        </w:numPr>
        <w:tabs>
          <w:tab w:pos="1560" w:val="left" w:leader="none"/>
        </w:tabs>
        <w:spacing w:line="240" w:lineRule="auto" w:before="90" w:after="0"/>
        <w:ind w:left="120" w:right="199" w:firstLine="720"/>
        <w:jc w:val="both"/>
        <w:rPr>
          <w:i/>
          <w:sz w:val="24"/>
        </w:rPr>
      </w:pPr>
      <w:r>
        <w:rPr>
          <w:sz w:val="24"/>
        </w:rPr>
        <w:t>On or about May 27, 2011, the Firm and Defendant entered into a Contract for Legal Services on a contingent fee basis to represent him in Denver District Court case number 2012CV79. </w:t>
      </w:r>
      <w:r>
        <w:rPr>
          <w:i/>
          <w:sz w:val="24"/>
        </w:rPr>
        <w:t>Exhibit 1.</w:t>
      </w:r>
    </w:p>
    <w:p>
      <w:pPr>
        <w:pStyle w:val="BodyText"/>
        <w:rPr>
          <w:i/>
        </w:rPr>
      </w:pPr>
    </w:p>
    <w:p>
      <w:pPr>
        <w:pStyle w:val="ListParagraph"/>
        <w:numPr>
          <w:ilvl w:val="0"/>
          <w:numId w:val="2"/>
        </w:numPr>
        <w:tabs>
          <w:tab w:pos="1560" w:val="left" w:leader="none"/>
        </w:tabs>
        <w:spacing w:line="240" w:lineRule="auto" w:before="0" w:after="0"/>
        <w:ind w:left="120" w:right="197" w:firstLine="720"/>
        <w:jc w:val="both"/>
        <w:rPr>
          <w:i/>
          <w:sz w:val="24"/>
        </w:rPr>
      </w:pPr>
      <w:r>
        <w:rPr>
          <w:sz w:val="24"/>
        </w:rPr>
        <w:t>Therein the Contract, Defendant agreed that should client terminate the Contract the Firm would have been working on a </w:t>
      </w:r>
      <w:r>
        <w:rPr>
          <w:i/>
          <w:sz w:val="24"/>
        </w:rPr>
        <w:t>quantum meruit </w:t>
      </w:r>
      <w:r>
        <w:rPr>
          <w:sz w:val="24"/>
        </w:rPr>
        <w:t>basis. </w:t>
      </w:r>
      <w:r>
        <w:rPr>
          <w:i/>
          <w:sz w:val="24"/>
        </w:rPr>
        <w:t>Exhibit 1, ¶</w:t>
      </w:r>
      <w:r>
        <w:rPr>
          <w:i/>
          <w:spacing w:val="-8"/>
          <w:sz w:val="24"/>
        </w:rPr>
        <w:t> </w:t>
      </w:r>
      <w:r>
        <w:rPr>
          <w:i/>
          <w:sz w:val="24"/>
        </w:rPr>
        <w:t>7.</w:t>
      </w:r>
    </w:p>
    <w:p>
      <w:pPr>
        <w:pStyle w:val="BodyText"/>
        <w:rPr>
          <w:i/>
        </w:rPr>
      </w:pPr>
    </w:p>
    <w:p>
      <w:pPr>
        <w:pStyle w:val="BodyText"/>
        <w:ind w:left="1560" w:right="918"/>
        <w:jc w:val="both"/>
      </w:pPr>
      <w:r>
        <w:rPr/>
        <w:t>In the event of termination of this contract by the Client, the Firm shall be deemed to have been working on a </w:t>
      </w:r>
      <w:r>
        <w:rPr>
          <w:i/>
        </w:rPr>
        <w:t>quantum meruit </w:t>
      </w:r>
      <w:r>
        <w:rPr/>
        <w:t>basis, presumed to be equal to the prevailing hourly rate of the Firm at the time of termination.</w:t>
      </w:r>
    </w:p>
    <w:p>
      <w:pPr>
        <w:spacing w:after="0"/>
        <w:jc w:val="both"/>
        <w:sectPr>
          <w:pgSz w:w="12240" w:h="15840"/>
          <w:pgMar w:header="0" w:footer="1065" w:top="1360" w:bottom="1260" w:left="1320" w:right="1240"/>
        </w:sectPr>
      </w:pPr>
    </w:p>
    <w:p>
      <w:pPr>
        <w:pStyle w:val="BodyText"/>
        <w:spacing w:before="76"/>
        <w:ind w:left="1560" w:right="449"/>
      </w:pPr>
      <w:r>
        <w:rPr/>
        <w:t>Or, the applicable percentage of the highest settlement offer offered to the Client immediately prior to termination, whichever amount is greater.</w:t>
      </w:r>
    </w:p>
    <w:p>
      <w:pPr>
        <w:pStyle w:val="BodyText"/>
      </w:pPr>
    </w:p>
    <w:p>
      <w:pPr>
        <w:pStyle w:val="ListParagraph"/>
        <w:numPr>
          <w:ilvl w:val="0"/>
          <w:numId w:val="2"/>
        </w:numPr>
        <w:tabs>
          <w:tab w:pos="1559" w:val="left" w:leader="none"/>
          <w:tab w:pos="1560" w:val="left" w:leader="none"/>
        </w:tabs>
        <w:spacing w:line="240" w:lineRule="auto" w:before="1" w:after="0"/>
        <w:ind w:left="1560" w:right="0" w:hanging="720"/>
        <w:jc w:val="left"/>
        <w:rPr>
          <w:i/>
          <w:sz w:val="24"/>
        </w:rPr>
      </w:pPr>
      <w:r>
        <w:rPr>
          <w:sz w:val="24"/>
        </w:rPr>
        <w:t>On or about December 7, 2012, Defendant terminated Plaintiff. </w:t>
      </w:r>
      <w:r>
        <w:rPr>
          <w:i/>
          <w:sz w:val="24"/>
        </w:rPr>
        <w:t>Exhibit</w:t>
      </w:r>
      <w:r>
        <w:rPr>
          <w:i/>
          <w:spacing w:val="-6"/>
          <w:sz w:val="24"/>
        </w:rPr>
        <w:t> </w:t>
      </w:r>
      <w:r>
        <w:rPr>
          <w:i/>
          <w:sz w:val="24"/>
        </w:rPr>
        <w:t>2.</w:t>
      </w:r>
    </w:p>
    <w:p>
      <w:pPr>
        <w:pStyle w:val="BodyText"/>
        <w:spacing w:before="11"/>
        <w:rPr>
          <w:i/>
          <w:sz w:val="23"/>
        </w:rPr>
      </w:pPr>
    </w:p>
    <w:p>
      <w:pPr>
        <w:pStyle w:val="ListParagraph"/>
        <w:numPr>
          <w:ilvl w:val="0"/>
          <w:numId w:val="2"/>
        </w:numPr>
        <w:tabs>
          <w:tab w:pos="1559" w:val="left" w:leader="none"/>
          <w:tab w:pos="1560" w:val="left" w:leader="none"/>
        </w:tabs>
        <w:spacing w:line="240" w:lineRule="auto" w:before="0" w:after="0"/>
        <w:ind w:left="1560" w:right="0" w:hanging="720"/>
        <w:jc w:val="left"/>
        <w:rPr>
          <w:sz w:val="24"/>
        </w:rPr>
      </w:pPr>
      <w:r>
        <w:rPr>
          <w:sz w:val="24"/>
        </w:rPr>
        <w:t>Upon termination, defendant failed to pay plaintiff for his attorney’s fees on</w:t>
      </w:r>
      <w:r>
        <w:rPr>
          <w:spacing w:val="-23"/>
          <w:sz w:val="24"/>
        </w:rPr>
        <w:t> </w:t>
      </w:r>
      <w:r>
        <w:rPr>
          <w:sz w:val="24"/>
        </w:rPr>
        <w:t>a</w:t>
      </w:r>
    </w:p>
    <w:p>
      <w:pPr>
        <w:spacing w:before="0"/>
        <w:ind w:left="120" w:right="0" w:firstLine="0"/>
        <w:jc w:val="left"/>
        <w:rPr>
          <w:sz w:val="24"/>
        </w:rPr>
      </w:pPr>
      <w:r>
        <w:rPr>
          <w:i/>
          <w:sz w:val="24"/>
        </w:rPr>
        <w:t>quantum meruit </w:t>
      </w:r>
      <w:r>
        <w:rPr>
          <w:sz w:val="24"/>
        </w:rPr>
        <w:t>basis.</w:t>
      </w:r>
    </w:p>
    <w:p>
      <w:pPr>
        <w:pStyle w:val="BodyText"/>
      </w:pPr>
    </w:p>
    <w:p>
      <w:pPr>
        <w:pStyle w:val="ListParagraph"/>
        <w:numPr>
          <w:ilvl w:val="0"/>
          <w:numId w:val="2"/>
        </w:numPr>
        <w:tabs>
          <w:tab w:pos="1559" w:val="left" w:leader="none"/>
          <w:tab w:pos="1560" w:val="left" w:leader="none"/>
        </w:tabs>
        <w:spacing w:line="240" w:lineRule="auto" w:before="0" w:after="0"/>
        <w:ind w:left="120" w:right="109" w:firstLine="720"/>
        <w:jc w:val="left"/>
        <w:rPr>
          <w:i/>
          <w:sz w:val="24"/>
        </w:rPr>
      </w:pPr>
      <w:r>
        <w:rPr>
          <w:sz w:val="24"/>
        </w:rPr>
        <w:t>The Firm filed an attorney’s lien in Denver District Court Case number 2012CV79 for failure to pay attorney fees per the parties’ contract in the amount of $37,851.96. </w:t>
      </w:r>
      <w:r>
        <w:rPr>
          <w:i/>
          <w:sz w:val="24"/>
        </w:rPr>
        <w:t>Exhibit</w:t>
      </w:r>
      <w:r>
        <w:rPr>
          <w:i/>
          <w:spacing w:val="-18"/>
          <w:sz w:val="24"/>
        </w:rPr>
        <w:t> </w:t>
      </w:r>
      <w:r>
        <w:rPr>
          <w:i/>
          <w:sz w:val="24"/>
        </w:rPr>
        <w:t>3.</w:t>
      </w:r>
    </w:p>
    <w:p>
      <w:pPr>
        <w:pStyle w:val="BodyText"/>
        <w:rPr>
          <w:i/>
        </w:rPr>
      </w:pPr>
    </w:p>
    <w:p>
      <w:pPr>
        <w:pStyle w:val="ListParagraph"/>
        <w:numPr>
          <w:ilvl w:val="0"/>
          <w:numId w:val="2"/>
        </w:numPr>
        <w:tabs>
          <w:tab w:pos="1559" w:val="left" w:leader="none"/>
          <w:tab w:pos="1560" w:val="left" w:leader="none"/>
        </w:tabs>
        <w:spacing w:line="240" w:lineRule="auto" w:before="0" w:after="0"/>
        <w:ind w:left="120" w:right="196" w:firstLine="720"/>
        <w:jc w:val="left"/>
        <w:rPr>
          <w:i/>
          <w:sz w:val="24"/>
        </w:rPr>
      </w:pPr>
      <w:r>
        <w:rPr>
          <w:sz w:val="24"/>
        </w:rPr>
        <w:t>To date, defendant’s outstanding balance at the Firm is $20,930.46 plus interest, of attorney’s fees owed to the Firm by Defendant, which he failed to pay. </w:t>
      </w:r>
      <w:r>
        <w:rPr>
          <w:i/>
          <w:sz w:val="24"/>
        </w:rPr>
        <w:t>Exhibit</w:t>
      </w:r>
      <w:r>
        <w:rPr>
          <w:i/>
          <w:spacing w:val="-12"/>
          <w:sz w:val="24"/>
        </w:rPr>
        <w:t> </w:t>
      </w:r>
      <w:r>
        <w:rPr>
          <w:i/>
          <w:sz w:val="24"/>
        </w:rPr>
        <w:t>4.</w:t>
      </w:r>
    </w:p>
    <w:p>
      <w:pPr>
        <w:pStyle w:val="BodyText"/>
        <w:spacing w:before="3"/>
        <w:rPr>
          <w:i/>
        </w:rPr>
      </w:pPr>
    </w:p>
    <w:p>
      <w:pPr>
        <w:spacing w:before="1"/>
        <w:ind w:left="3640" w:right="3718" w:firstLine="0"/>
        <w:jc w:val="center"/>
        <w:rPr>
          <w:b/>
          <w:sz w:val="23"/>
        </w:rPr>
      </w:pPr>
      <w:r>
        <w:rPr>
          <w:b/>
          <w:sz w:val="23"/>
          <w:u w:val="thick"/>
        </w:rPr>
        <w:t>LEGAL AUTHORITY</w:t>
      </w:r>
    </w:p>
    <w:p>
      <w:pPr>
        <w:pStyle w:val="BodyText"/>
        <w:spacing w:before="10"/>
        <w:rPr>
          <w:b/>
          <w:sz w:val="14"/>
        </w:rPr>
      </w:pPr>
    </w:p>
    <w:p>
      <w:pPr>
        <w:pStyle w:val="ListParagraph"/>
        <w:numPr>
          <w:ilvl w:val="0"/>
          <w:numId w:val="2"/>
        </w:numPr>
        <w:tabs>
          <w:tab w:pos="1560" w:val="left" w:leader="none"/>
        </w:tabs>
        <w:spacing w:line="240" w:lineRule="auto" w:before="90" w:after="0"/>
        <w:ind w:left="120" w:right="107" w:firstLine="720"/>
        <w:jc w:val="both"/>
        <w:rPr>
          <w:sz w:val="24"/>
        </w:rPr>
      </w:pPr>
      <w:r>
        <w:rPr>
          <w:sz w:val="24"/>
        </w:rPr>
        <w:t>Summary judgment is proper only when the pleadings, affidavits, depositions, or admissions establish that “there is no genuine issue as to any material fact and that the moving party is entitled to a judgment as a matter of law.” C.R.C.P. 56(c); </w:t>
      </w:r>
      <w:r>
        <w:rPr>
          <w:i/>
          <w:sz w:val="24"/>
        </w:rPr>
        <w:t>see also Huydts v. Dixon</w:t>
      </w:r>
      <w:r>
        <w:rPr>
          <w:sz w:val="24"/>
        </w:rPr>
        <w:t>, 606 P.2d 1303, 1306 (1980). “A material fact is a fact that affects the outcome of a case.” </w:t>
      </w:r>
      <w:r>
        <w:rPr>
          <w:i/>
          <w:sz w:val="24"/>
        </w:rPr>
        <w:t>Trigg v. </w:t>
      </w:r>
      <w:r>
        <w:rPr>
          <w:i/>
          <w:sz w:val="24"/>
        </w:rPr>
        <w:t>State Farm Mut. Auto. Ins. Co.</w:t>
      </w:r>
      <w:r>
        <w:rPr>
          <w:sz w:val="24"/>
        </w:rPr>
        <w:t>, 129 P.3d 1099, 1101 (Colo. App. 2005). “A court must afford all favorable inferences that may be drawn from the undisputed facts to the nonmoving party, and must resolve all doubts as to the existence of a triable issue of fact against the moving party.” </w:t>
      </w:r>
      <w:r>
        <w:rPr>
          <w:i/>
          <w:sz w:val="24"/>
        </w:rPr>
        <w:t>Cotter Corp. v. American Empire Surplus Lines Ins. Co.</w:t>
      </w:r>
      <w:r>
        <w:rPr>
          <w:sz w:val="24"/>
        </w:rPr>
        <w:t>, 90 P.3d 814, 819 (Colo. 2004). The moving party has the burden of establishing the nonexistence of a genuine issue of material fact</w:t>
      </w:r>
      <w:r>
        <w:rPr>
          <w:i/>
          <w:sz w:val="24"/>
        </w:rPr>
        <w:t>. </w:t>
      </w:r>
      <w:r>
        <w:rPr>
          <w:i/>
          <w:sz w:val="24"/>
        </w:rPr>
        <w:t>Celotex Corp. v. Catrett</w:t>
      </w:r>
      <w:r>
        <w:rPr>
          <w:sz w:val="24"/>
        </w:rPr>
        <w:t>, 477 U.S. 317, 325 (1986); </w:t>
      </w:r>
      <w:r>
        <w:rPr>
          <w:i/>
          <w:sz w:val="24"/>
        </w:rPr>
        <w:t>Urban v. Beloit Corp.</w:t>
      </w:r>
      <w:r>
        <w:rPr>
          <w:sz w:val="24"/>
        </w:rPr>
        <w:t>, 711 P.2d 685, 687 (Colo.1985). “This burden has two components: an initial burden of production on the moving party, which burden when satisfied then shifts to the nonmoving party, and an ultimate burden of persuasion, which always remains on the moving party.” </w:t>
      </w:r>
      <w:r>
        <w:rPr>
          <w:i/>
          <w:sz w:val="24"/>
        </w:rPr>
        <w:t>Continental Air Lines, Inc. v. Keenan</w:t>
      </w:r>
      <w:r>
        <w:rPr>
          <w:sz w:val="24"/>
        </w:rPr>
        <w:t>, 731 P.2d 708, 712 (Colo. 1987). “Once the moving party has met this initial burden of production, the burden shifts to the nonmoving party to establish that there is a triable issue of fact.” </w:t>
      </w:r>
      <w:r>
        <w:rPr>
          <w:i/>
          <w:sz w:val="24"/>
        </w:rPr>
        <w:t>Continental</w:t>
      </w:r>
      <w:r>
        <w:rPr>
          <w:sz w:val="24"/>
        </w:rPr>
        <w:t>, 731 P.2d at 713. If the nonmoving party cannot produce sufficient evidence to make out a triable issue of fact, “a trial would be useless and the moving party is entitled to summary judgment as a matter of law.” </w:t>
      </w:r>
      <w:r>
        <w:rPr>
          <w:i/>
          <w:sz w:val="24"/>
        </w:rPr>
        <w:t>Id</w:t>
      </w:r>
      <w:r>
        <w:rPr>
          <w:sz w:val="24"/>
        </w:rPr>
        <w:t>. On summary judgment, the court’s “role is simply to determine whether the evidence proffered by plaintiff would be sufficient, if believed by the</w:t>
      </w:r>
      <w:r>
        <w:rPr>
          <w:spacing w:val="29"/>
          <w:sz w:val="24"/>
        </w:rPr>
        <w:t> </w:t>
      </w:r>
      <w:r>
        <w:rPr>
          <w:sz w:val="24"/>
        </w:rPr>
        <w:t>ultimate factfinder, to sustain [a] claim.” </w:t>
      </w:r>
      <w:r>
        <w:rPr>
          <w:i/>
          <w:sz w:val="24"/>
        </w:rPr>
        <w:t>Jones v. Barnhart</w:t>
      </w:r>
      <w:r>
        <w:rPr>
          <w:sz w:val="24"/>
        </w:rPr>
        <w:t>, 349 F.3d 1260, 1265-66 (10th Cir.</w:t>
      </w:r>
      <w:r>
        <w:rPr>
          <w:spacing w:val="-9"/>
          <w:sz w:val="24"/>
        </w:rPr>
        <w:t> </w:t>
      </w:r>
      <w:r>
        <w:rPr>
          <w:sz w:val="24"/>
        </w:rPr>
        <w:t>2003).</w:t>
      </w:r>
    </w:p>
    <w:p>
      <w:pPr>
        <w:pStyle w:val="BodyText"/>
        <w:spacing w:before="2"/>
      </w:pPr>
    </w:p>
    <w:p>
      <w:pPr>
        <w:pStyle w:val="Heading1"/>
        <w:ind w:left="3638" w:right="3718"/>
        <w:jc w:val="center"/>
      </w:pPr>
      <w:r>
        <w:rPr>
          <w:u w:val="thick"/>
        </w:rPr>
        <w:t>ARGUMENT</w:t>
      </w:r>
    </w:p>
    <w:p>
      <w:pPr>
        <w:pStyle w:val="BodyText"/>
        <w:spacing w:before="2"/>
        <w:rPr>
          <w:b/>
          <w:sz w:val="16"/>
        </w:rPr>
      </w:pPr>
    </w:p>
    <w:p>
      <w:pPr>
        <w:spacing w:before="90"/>
        <w:ind w:left="1470" w:right="917" w:hanging="630"/>
        <w:jc w:val="both"/>
        <w:rPr>
          <w:b/>
          <w:sz w:val="24"/>
        </w:rPr>
      </w:pPr>
      <w:r>
        <w:rPr>
          <w:b/>
          <w:sz w:val="24"/>
        </w:rPr>
        <w:t>I. DEFENDANT TERMINATED PLAINTIFF’S LAW FIRM  AND FAILED TO PAY REMAINING SUMS DUE THEREUNDER WITHIN THE PARTIES’ CONTRACT; THEREFORE, SUMMARY JUDGMENT IS APPROPRIATE UNDER C.R.C.P.</w:t>
      </w:r>
      <w:r>
        <w:rPr>
          <w:b/>
          <w:spacing w:val="-5"/>
          <w:sz w:val="24"/>
        </w:rPr>
        <w:t> </w:t>
      </w:r>
      <w:r>
        <w:rPr>
          <w:b/>
          <w:sz w:val="24"/>
        </w:rPr>
        <w:t>56.</w:t>
      </w:r>
    </w:p>
    <w:p>
      <w:pPr>
        <w:pStyle w:val="BodyText"/>
        <w:spacing w:before="9"/>
        <w:rPr>
          <w:b/>
          <w:sz w:val="23"/>
        </w:rPr>
      </w:pPr>
    </w:p>
    <w:p>
      <w:pPr>
        <w:pStyle w:val="ListParagraph"/>
        <w:numPr>
          <w:ilvl w:val="0"/>
          <w:numId w:val="2"/>
        </w:numPr>
        <w:tabs>
          <w:tab w:pos="1559" w:val="left" w:leader="none"/>
          <w:tab w:pos="1560" w:val="left" w:leader="none"/>
        </w:tabs>
        <w:spacing w:line="240" w:lineRule="auto" w:before="0" w:after="0"/>
        <w:ind w:left="1560" w:right="0" w:hanging="720"/>
        <w:jc w:val="left"/>
        <w:rPr>
          <w:sz w:val="24"/>
        </w:rPr>
      </w:pPr>
      <w:r>
        <w:rPr>
          <w:sz w:val="24"/>
        </w:rPr>
        <w:t>Plaintiff must meet the following burden to prevail on its breach of contract</w:t>
      </w:r>
      <w:r>
        <w:rPr>
          <w:spacing w:val="5"/>
          <w:sz w:val="24"/>
        </w:rPr>
        <w:t> </w:t>
      </w:r>
      <w:r>
        <w:rPr>
          <w:sz w:val="24"/>
        </w:rPr>
        <w:t>claim:</w:t>
      </w:r>
    </w:p>
    <w:p>
      <w:pPr>
        <w:pStyle w:val="ListParagraph"/>
        <w:numPr>
          <w:ilvl w:val="0"/>
          <w:numId w:val="3"/>
        </w:numPr>
        <w:tabs>
          <w:tab w:pos="406" w:val="left" w:leader="none"/>
          <w:tab w:pos="3742" w:val="left" w:leader="none"/>
        </w:tabs>
        <w:spacing w:line="240" w:lineRule="auto" w:before="0" w:after="0"/>
        <w:ind w:left="120" w:right="107" w:firstLine="0"/>
        <w:jc w:val="left"/>
        <w:rPr>
          <w:sz w:val="24"/>
        </w:rPr>
      </w:pPr>
      <w:r>
        <w:rPr>
          <w:sz w:val="24"/>
        </w:rPr>
        <w:t>The parties entered a contract; 2. The contract had consideration; 3. Defendant terminated plaintiff  thereby</w:t>
      </w:r>
      <w:r>
        <w:rPr>
          <w:spacing w:val="12"/>
          <w:sz w:val="24"/>
        </w:rPr>
        <w:t> </w:t>
      </w:r>
      <w:r>
        <w:rPr>
          <w:sz w:val="24"/>
        </w:rPr>
        <w:t>causing</w:t>
      </w:r>
      <w:r>
        <w:rPr>
          <w:spacing w:val="37"/>
          <w:sz w:val="24"/>
        </w:rPr>
        <w:t> </w:t>
      </w:r>
      <w:r>
        <w:rPr>
          <w:sz w:val="24"/>
        </w:rPr>
        <w:t>damages.</w:t>
        <w:tab/>
        <w:t>For</w:t>
      </w:r>
      <w:r>
        <w:rPr>
          <w:spacing w:val="39"/>
          <w:sz w:val="24"/>
        </w:rPr>
        <w:t> </w:t>
      </w:r>
      <w:r>
        <w:rPr>
          <w:sz w:val="24"/>
        </w:rPr>
        <w:t>an</w:t>
      </w:r>
      <w:r>
        <w:rPr>
          <w:spacing w:val="37"/>
          <w:sz w:val="24"/>
        </w:rPr>
        <w:t> </w:t>
      </w:r>
      <w:r>
        <w:rPr>
          <w:sz w:val="24"/>
        </w:rPr>
        <w:t>enforceable</w:t>
      </w:r>
      <w:r>
        <w:rPr>
          <w:spacing w:val="38"/>
          <w:sz w:val="24"/>
        </w:rPr>
        <w:t> </w:t>
      </w:r>
      <w:r>
        <w:rPr>
          <w:sz w:val="24"/>
        </w:rPr>
        <w:t>contract</w:t>
      </w:r>
      <w:r>
        <w:rPr>
          <w:spacing w:val="39"/>
          <w:sz w:val="24"/>
        </w:rPr>
        <w:t> </w:t>
      </w:r>
      <w:r>
        <w:rPr>
          <w:sz w:val="24"/>
        </w:rPr>
        <w:t>to</w:t>
      </w:r>
      <w:r>
        <w:rPr>
          <w:spacing w:val="36"/>
          <w:sz w:val="24"/>
        </w:rPr>
        <w:t> </w:t>
      </w:r>
      <w:r>
        <w:rPr>
          <w:sz w:val="24"/>
        </w:rPr>
        <w:t>exist</w:t>
      </w:r>
      <w:r>
        <w:rPr>
          <w:spacing w:val="39"/>
          <w:sz w:val="24"/>
        </w:rPr>
        <w:t> </w:t>
      </w:r>
      <w:r>
        <w:rPr>
          <w:sz w:val="24"/>
        </w:rPr>
        <w:t>there</w:t>
      </w:r>
      <w:r>
        <w:rPr>
          <w:spacing w:val="37"/>
          <w:sz w:val="24"/>
        </w:rPr>
        <w:t> </w:t>
      </w:r>
      <w:r>
        <w:rPr>
          <w:sz w:val="24"/>
        </w:rPr>
        <w:t>must</w:t>
      </w:r>
      <w:r>
        <w:rPr>
          <w:spacing w:val="39"/>
          <w:sz w:val="24"/>
        </w:rPr>
        <w:t> </w:t>
      </w:r>
      <w:r>
        <w:rPr>
          <w:sz w:val="24"/>
        </w:rPr>
        <w:t>be</w:t>
      </w:r>
      <w:r>
        <w:rPr>
          <w:spacing w:val="37"/>
          <w:sz w:val="24"/>
        </w:rPr>
        <w:t> </w:t>
      </w:r>
      <w:r>
        <w:rPr>
          <w:sz w:val="24"/>
        </w:rPr>
        <w:t>mutual</w:t>
      </w:r>
    </w:p>
    <w:p>
      <w:pPr>
        <w:spacing w:after="0" w:line="240" w:lineRule="auto"/>
        <w:jc w:val="left"/>
        <w:rPr>
          <w:sz w:val="24"/>
        </w:rPr>
        <w:sectPr>
          <w:pgSz w:w="12240" w:h="15840"/>
          <w:pgMar w:header="0" w:footer="1065" w:top="1360" w:bottom="1260" w:left="1320" w:right="1240"/>
        </w:sectPr>
      </w:pPr>
    </w:p>
    <w:p>
      <w:pPr>
        <w:spacing w:before="76"/>
        <w:ind w:left="120" w:right="106" w:firstLine="0"/>
        <w:jc w:val="both"/>
        <w:rPr>
          <w:sz w:val="24"/>
        </w:rPr>
      </w:pPr>
      <w:r>
        <w:rPr>
          <w:sz w:val="24"/>
        </w:rPr>
        <w:t>assent to an exchange between competent parties, legal consideration and sufficient certainty with respect to the subject matter and essential terms of the agreement. </w:t>
      </w:r>
      <w:r>
        <w:rPr>
          <w:i/>
          <w:sz w:val="24"/>
        </w:rPr>
        <w:t>Denver Truck Exch. v. </w:t>
      </w:r>
      <w:r>
        <w:rPr>
          <w:i/>
          <w:sz w:val="24"/>
        </w:rPr>
        <w:t>Perryman, </w:t>
      </w:r>
      <w:r>
        <w:rPr>
          <w:sz w:val="24"/>
        </w:rPr>
        <w:t>134 Colo. 586, 307 P.2d 805 (1957); </w:t>
      </w:r>
      <w:r>
        <w:rPr>
          <w:i/>
          <w:sz w:val="24"/>
        </w:rPr>
        <w:t>Industrial Prods. Intl, Inc. v. Emo Trans, Inc</w:t>
      </w:r>
      <w:r>
        <w:rPr>
          <w:sz w:val="24"/>
        </w:rPr>
        <w:t>.,</w:t>
      </w:r>
    </w:p>
    <w:p>
      <w:pPr>
        <w:pStyle w:val="BodyText"/>
        <w:spacing w:before="1"/>
        <w:ind w:left="120"/>
      </w:pPr>
      <w:r>
        <w:rPr/>
        <w:t>962 P.2d 983 (Colo.App.1997).</w:t>
      </w:r>
    </w:p>
    <w:p>
      <w:pPr>
        <w:pStyle w:val="ListParagraph"/>
        <w:numPr>
          <w:ilvl w:val="1"/>
          <w:numId w:val="3"/>
        </w:numPr>
        <w:tabs>
          <w:tab w:pos="1560" w:val="left" w:leader="none"/>
        </w:tabs>
        <w:spacing w:line="240" w:lineRule="auto" w:before="172" w:after="0"/>
        <w:ind w:left="120" w:right="197" w:firstLine="720"/>
        <w:jc w:val="both"/>
        <w:rPr>
          <w:sz w:val="24"/>
        </w:rPr>
      </w:pPr>
      <w:r>
        <w:rPr>
          <w:sz w:val="24"/>
        </w:rPr>
        <w:t>The parties entered into a contract for fees for legal services. The contract contained a clause at para. 7, contemplating this termination circumstance. The parties agreed to the contract and executed same. The contract is supported by the consideration of money for attorney</w:t>
      </w:r>
      <w:r>
        <w:rPr>
          <w:spacing w:val="-1"/>
          <w:sz w:val="24"/>
        </w:rPr>
        <w:t> </w:t>
      </w:r>
      <w:r>
        <w:rPr>
          <w:sz w:val="24"/>
        </w:rPr>
        <w:t>services.</w:t>
      </w:r>
    </w:p>
    <w:p>
      <w:pPr>
        <w:pStyle w:val="BodyText"/>
      </w:pPr>
    </w:p>
    <w:p>
      <w:pPr>
        <w:pStyle w:val="ListParagraph"/>
        <w:numPr>
          <w:ilvl w:val="1"/>
          <w:numId w:val="3"/>
        </w:numPr>
        <w:tabs>
          <w:tab w:pos="1560" w:val="left" w:leader="none"/>
        </w:tabs>
        <w:spacing w:line="240" w:lineRule="auto" w:before="0" w:after="0"/>
        <w:ind w:left="120" w:right="199" w:firstLine="720"/>
        <w:jc w:val="both"/>
        <w:rPr>
          <w:sz w:val="24"/>
        </w:rPr>
      </w:pPr>
      <w:r>
        <w:rPr>
          <w:sz w:val="24"/>
        </w:rPr>
        <w:t>Defendant terminated plaintiff on December 7, 2012. Plaintiff notified him at that time that he worked on a </w:t>
      </w:r>
      <w:r>
        <w:rPr>
          <w:i/>
          <w:sz w:val="24"/>
        </w:rPr>
        <w:t>quantum meruit </w:t>
      </w:r>
      <w:r>
        <w:rPr>
          <w:sz w:val="24"/>
        </w:rPr>
        <w:t>basis</w:t>
      </w:r>
      <w:r>
        <w:rPr>
          <w:i/>
          <w:sz w:val="24"/>
        </w:rPr>
        <w:t>. Exhibit 2, Dec. 7 e-mail at 11.32 a.m.</w:t>
      </w:r>
      <w:r>
        <w:rPr>
          <w:i/>
          <w:spacing w:val="-3"/>
          <w:sz w:val="24"/>
        </w:rPr>
        <w:t> </w:t>
      </w:r>
      <w:hyperlink w:history="true" w:anchor="_bookmark0">
        <w:r>
          <w:rPr>
            <w:sz w:val="24"/>
            <w:vertAlign w:val="superscript"/>
          </w:rPr>
          <w:t>1</w:t>
        </w:r>
      </w:hyperlink>
    </w:p>
    <w:p>
      <w:pPr>
        <w:pStyle w:val="BodyText"/>
      </w:pPr>
    </w:p>
    <w:p>
      <w:pPr>
        <w:pStyle w:val="ListParagraph"/>
        <w:numPr>
          <w:ilvl w:val="1"/>
          <w:numId w:val="3"/>
        </w:numPr>
        <w:tabs>
          <w:tab w:pos="1560" w:val="left" w:leader="none"/>
        </w:tabs>
        <w:spacing w:line="240" w:lineRule="auto" w:before="1" w:after="0"/>
        <w:ind w:left="120" w:right="106" w:firstLine="720"/>
        <w:jc w:val="both"/>
        <w:rPr>
          <w:sz w:val="24"/>
        </w:rPr>
      </w:pPr>
      <w:r>
        <w:rPr>
          <w:sz w:val="24"/>
        </w:rPr>
        <w:t>Defendant claims in his counterclaim, plaintiff owes him unpaid money. The only issue therefore, before the court is, what amount of money would defendant be owed by plaintiff, under defendant’s claim. Plaintiff affirms by affidavit, </w:t>
      </w:r>
      <w:r>
        <w:rPr>
          <w:i/>
          <w:sz w:val="24"/>
        </w:rPr>
        <w:t>Exhibit 4, </w:t>
      </w:r>
      <w:r>
        <w:rPr>
          <w:sz w:val="24"/>
        </w:rPr>
        <w:t>after receiving some money from defendant, under defendant’s settlement agreement, post termination by defendant, plaintiff proves the Firm is owed $20,930.46 plus interest, after paying all subrogated claims and costs owed by defendant. </w:t>
      </w:r>
      <w:r>
        <w:rPr>
          <w:i/>
          <w:sz w:val="24"/>
        </w:rPr>
        <w:t>Id. ¶8. </w:t>
      </w:r>
      <w:r>
        <w:rPr>
          <w:sz w:val="24"/>
        </w:rPr>
        <w:t>Therefore, unless defendant can prove he is owed money in excess of plaintiff’s affidavit of attorney fees, the court must grant summary judgment on this</w:t>
      </w:r>
      <w:r>
        <w:rPr>
          <w:spacing w:val="-11"/>
          <w:sz w:val="24"/>
        </w:rPr>
        <w:t> </w:t>
      </w:r>
      <w:r>
        <w:rPr>
          <w:sz w:val="24"/>
        </w:rPr>
        <w:t>issue.</w:t>
      </w:r>
    </w:p>
    <w:p>
      <w:pPr>
        <w:pStyle w:val="BodyText"/>
        <w:spacing w:before="10"/>
        <w:rPr>
          <w:sz w:val="23"/>
        </w:rPr>
      </w:pPr>
    </w:p>
    <w:p>
      <w:pPr>
        <w:pStyle w:val="ListParagraph"/>
        <w:numPr>
          <w:ilvl w:val="1"/>
          <w:numId w:val="3"/>
        </w:numPr>
        <w:tabs>
          <w:tab w:pos="1560" w:val="left" w:leader="none"/>
        </w:tabs>
        <w:spacing w:line="240" w:lineRule="auto" w:before="0" w:after="0"/>
        <w:ind w:left="120" w:right="107" w:firstLine="720"/>
        <w:jc w:val="both"/>
        <w:rPr>
          <w:sz w:val="24"/>
        </w:rPr>
      </w:pPr>
      <w:r>
        <w:rPr>
          <w:sz w:val="24"/>
        </w:rPr>
        <w:t>Plaintiff in his Third Amended Complaint pled the facts and circumstances described herein this Motion. Because no genuine issue of fact exists as to the circumstances and events described herein, plaintiff is owed his </w:t>
      </w:r>
      <w:r>
        <w:rPr>
          <w:i/>
          <w:sz w:val="24"/>
        </w:rPr>
        <w:t>quantum meruit </w:t>
      </w:r>
      <w:r>
        <w:rPr>
          <w:sz w:val="24"/>
        </w:rPr>
        <w:t>damages per the parties’ contract. All matters in the Complaint must be accepted as true viewing the allegations in the light most favorable to the Plaintiff. </w:t>
      </w:r>
      <w:r>
        <w:rPr>
          <w:i/>
          <w:sz w:val="24"/>
        </w:rPr>
        <w:t>Yadon v. Lowry, </w:t>
      </w:r>
      <w:r>
        <w:rPr>
          <w:sz w:val="24"/>
        </w:rPr>
        <w:t>126 P.3d 332, (Colo. App.</w:t>
      </w:r>
      <w:r>
        <w:rPr>
          <w:spacing w:val="-6"/>
          <w:sz w:val="24"/>
        </w:rPr>
        <w:t> </w:t>
      </w:r>
      <w:r>
        <w:rPr>
          <w:sz w:val="24"/>
        </w:rPr>
        <w:t>2005).</w:t>
      </w:r>
    </w:p>
    <w:p>
      <w:pPr>
        <w:pStyle w:val="BodyText"/>
      </w:pPr>
    </w:p>
    <w:p>
      <w:pPr>
        <w:pStyle w:val="ListParagraph"/>
        <w:numPr>
          <w:ilvl w:val="1"/>
          <w:numId w:val="3"/>
        </w:numPr>
        <w:tabs>
          <w:tab w:pos="1560" w:val="left" w:leader="none"/>
        </w:tabs>
        <w:spacing w:line="240" w:lineRule="auto" w:before="0" w:after="0"/>
        <w:ind w:left="120" w:right="197" w:firstLine="720"/>
        <w:jc w:val="both"/>
        <w:rPr>
          <w:sz w:val="24"/>
        </w:rPr>
      </w:pPr>
      <w:r>
        <w:rPr>
          <w:sz w:val="24"/>
        </w:rPr>
        <w:t>By way of proof of damages, plaintiff offers his attorney fee affidavit in the amount of $20,930.46 in this matter. </w:t>
      </w:r>
      <w:r>
        <w:rPr>
          <w:i/>
          <w:sz w:val="24"/>
        </w:rPr>
        <w:t>Exhibit 4. </w:t>
      </w:r>
      <w:r>
        <w:rPr>
          <w:sz w:val="24"/>
        </w:rPr>
        <w:t>Because no genuine issue of material fact exists between the parties, plaintiffs’ motion for partial summary judgment must be</w:t>
      </w:r>
      <w:r>
        <w:rPr>
          <w:spacing w:val="-8"/>
          <w:sz w:val="24"/>
        </w:rPr>
        <w:t> </w:t>
      </w:r>
      <w:r>
        <w:rPr>
          <w:sz w:val="24"/>
        </w:rPr>
        <w:t>granted.</w:t>
      </w:r>
    </w:p>
    <w:p>
      <w:pPr>
        <w:pStyle w:val="BodyText"/>
        <w:spacing w:before="2"/>
      </w:pPr>
    </w:p>
    <w:p>
      <w:pPr>
        <w:pStyle w:val="Heading1"/>
        <w:spacing w:before="1"/>
        <w:ind w:left="3640" w:right="3717"/>
        <w:jc w:val="center"/>
      </w:pPr>
      <w:r>
        <w:rPr>
          <w:u w:val="thick"/>
        </w:rPr>
        <w:t>CONCLUSION</w:t>
      </w:r>
    </w:p>
    <w:p>
      <w:pPr>
        <w:pStyle w:val="BodyText"/>
        <w:spacing w:before="11"/>
        <w:rPr>
          <w:b/>
          <w:sz w:val="15"/>
        </w:rPr>
      </w:pPr>
    </w:p>
    <w:p>
      <w:pPr>
        <w:pStyle w:val="BodyText"/>
        <w:spacing w:before="90"/>
        <w:ind w:left="119" w:right="196" w:firstLine="720"/>
        <w:jc w:val="both"/>
      </w:pPr>
      <w:r>
        <w:rPr/>
        <w:t>Plaintiff properly pled in his Third Amended Complaint, three claims against Defendant: Breach of Contract, Battery, and Extreme and Outrageous Conduct. Defendant terminated plaintiff’s Firm and became liable for the damages stated within the parties’ contract. Under the </w:t>
      </w:r>
      <w:r>
        <w:rPr>
          <w:i/>
        </w:rPr>
        <w:t>quantum meruit </w:t>
      </w:r>
      <w:r>
        <w:rPr/>
        <w:t>clause in the contract, defendant Beeson became liable for attorney fees owed in that matter of $37,851.96, less amounts paid thereunder. To date, defendant’s outstanding balance at the Firm is $20,930.46, plus interest from the date of the breach. No genuine issue of material fact exists pertaining to the termination. All matters in the Complaint must be accepted as true viewing the allegations in the light most favorable to the Plaintiff. </w:t>
      </w:r>
      <w:r>
        <w:rPr>
          <w:i/>
        </w:rPr>
        <w:t>Yadon v. Lowry, </w:t>
      </w:r>
      <w:r>
        <w:rPr/>
        <w:t>126 P.3d 332, (Colo. App. 2005). The parties have no factual disputes about the claim of breach of contract asserted herein. Thus, applying the standard for resolving motions for summary judgment, plaintiff’s Motion for Partial Summary Judgment must be</w:t>
      </w:r>
      <w:r>
        <w:rPr>
          <w:spacing w:val="-3"/>
        </w:rPr>
        <w:t> </w:t>
      </w:r>
      <w:r>
        <w:rPr/>
        <w:t>granted.</w:t>
      </w:r>
    </w:p>
    <w:p>
      <w:pPr>
        <w:pStyle w:val="BodyText"/>
        <w:spacing w:before="8"/>
        <w:rPr>
          <w:sz w:val="22"/>
        </w:rPr>
      </w:pPr>
      <w:r>
        <w:rPr/>
        <w:pict>
          <v:line style="position:absolute;mso-position-horizontal-relative:page;mso-position-vertical-relative:paragraph;z-index:-952;mso-wrap-distance-left:0;mso-wrap-distance-right:0" from="72pt,15.299902pt" to="216pt,15.299902pt" stroked="true" strokeweight=".6pt" strokecolor="#000000">
            <v:stroke dashstyle="solid"/>
            <w10:wrap type="topAndBottom"/>
          </v:line>
        </w:pict>
      </w:r>
    </w:p>
    <w:p>
      <w:pPr>
        <w:spacing w:before="38"/>
        <w:ind w:left="840" w:right="0" w:firstLine="0"/>
        <w:jc w:val="left"/>
        <w:rPr>
          <w:i/>
          <w:sz w:val="24"/>
        </w:rPr>
      </w:pPr>
      <w:bookmarkStart w:name="_bookmark0" w:id="1"/>
      <w:bookmarkEnd w:id="1"/>
      <w:r>
        <w:rPr/>
      </w:r>
      <w:r>
        <w:rPr>
          <w:position w:val="11"/>
          <w:sz w:val="16"/>
        </w:rPr>
        <w:t>1 </w:t>
      </w:r>
      <w:r>
        <w:rPr>
          <w:i/>
          <w:sz w:val="24"/>
        </w:rPr>
        <w:t>Please note, plaintiff’s responses are written directly into defendant’s original e-mail.</w:t>
      </w:r>
    </w:p>
    <w:p>
      <w:pPr>
        <w:spacing w:after="0"/>
        <w:jc w:val="left"/>
        <w:rPr>
          <w:sz w:val="24"/>
        </w:rPr>
        <w:sectPr>
          <w:pgSz w:w="12240" w:h="15840"/>
          <w:pgMar w:header="0" w:footer="1065" w:top="1360" w:bottom="1260" w:left="1320" w:right="1240"/>
        </w:sectPr>
      </w:pPr>
    </w:p>
    <w:p>
      <w:pPr>
        <w:pStyle w:val="BodyText"/>
        <w:spacing w:before="76"/>
        <w:ind w:left="119" w:right="196" w:firstLine="720"/>
        <w:jc w:val="both"/>
      </w:pPr>
      <w:r>
        <w:rPr/>
        <w:t>WHEREFORE, Plaintiff Abrams &amp; Associates, LLC, respectfully requests this Court enter judgment against Defendant Shawn Beeson in the amount of $20,930.46, pre- and post- judgment interest as allowed by law; and, for such other and further relief as this Court deems just and appropriate under the</w:t>
      </w:r>
      <w:r>
        <w:rPr>
          <w:spacing w:val="-4"/>
        </w:rPr>
        <w:t> </w:t>
      </w:r>
      <w:r>
        <w:rPr/>
        <w:t>circumstances.</w:t>
      </w:r>
    </w:p>
    <w:p>
      <w:pPr>
        <w:pStyle w:val="BodyText"/>
      </w:pPr>
    </w:p>
    <w:p>
      <w:pPr>
        <w:pStyle w:val="BodyText"/>
        <w:spacing w:before="1"/>
        <w:ind w:left="840"/>
      </w:pPr>
      <w:r>
        <w:rPr/>
        <w:t>RESPECTFULLY SUBMITTED this 18</w:t>
      </w:r>
      <w:r>
        <w:rPr>
          <w:vertAlign w:val="superscript"/>
        </w:rPr>
        <w:t>th</w:t>
      </w:r>
      <w:r>
        <w:rPr>
          <w:vertAlign w:val="baseline"/>
        </w:rPr>
        <w:t> day of January, 2016.</w:t>
      </w:r>
    </w:p>
    <w:p>
      <w:pPr>
        <w:pStyle w:val="BodyText"/>
        <w:spacing w:before="11"/>
        <w:rPr>
          <w:sz w:val="23"/>
        </w:rPr>
      </w:pPr>
    </w:p>
    <w:p>
      <w:pPr>
        <w:pStyle w:val="BodyText"/>
        <w:ind w:left="5160"/>
      </w:pPr>
      <w:r>
        <w:rPr/>
        <w:t>ELKUS SISSON &amp; ROSENSTEIN,</w:t>
      </w:r>
      <w:r>
        <w:rPr>
          <w:spacing w:val="-18"/>
        </w:rPr>
        <w:t> </w:t>
      </w:r>
      <w:r>
        <w:rPr/>
        <w:t>P.C.</w:t>
      </w:r>
    </w:p>
    <w:p>
      <w:pPr>
        <w:pStyle w:val="BodyText"/>
        <w:rPr>
          <w:sz w:val="21"/>
        </w:rPr>
      </w:pPr>
    </w:p>
    <w:p>
      <w:pPr>
        <w:tabs>
          <w:tab w:pos="9479" w:val="left" w:leader="none"/>
        </w:tabs>
        <w:spacing w:before="0"/>
        <w:ind w:left="5160" w:right="198" w:firstLine="0"/>
        <w:jc w:val="left"/>
        <w:rPr>
          <w:i/>
          <w:sz w:val="22"/>
        </w:rPr>
      </w:pPr>
      <w:r>
        <w:rPr>
          <w:i/>
          <w:sz w:val="24"/>
          <w:u w:val="single"/>
        </w:rPr>
        <w:t>/s/ Steven</w:t>
      </w:r>
      <w:r>
        <w:rPr>
          <w:i/>
          <w:spacing w:val="-3"/>
          <w:sz w:val="24"/>
          <w:u w:val="single"/>
        </w:rPr>
        <w:t> </w:t>
      </w:r>
      <w:r>
        <w:rPr>
          <w:i/>
          <w:sz w:val="24"/>
          <w:u w:val="single"/>
        </w:rPr>
        <w:t>T.</w:t>
      </w:r>
      <w:r>
        <w:rPr>
          <w:i/>
          <w:spacing w:val="-3"/>
          <w:sz w:val="24"/>
          <w:u w:val="single"/>
        </w:rPr>
        <w:t> </w:t>
      </w:r>
      <w:r>
        <w:rPr>
          <w:i/>
          <w:sz w:val="24"/>
          <w:u w:val="single"/>
        </w:rPr>
        <w:t>Mandelaris</w:t>
        <w:tab/>
      </w:r>
      <w:r>
        <w:rPr>
          <w:i/>
          <w:sz w:val="24"/>
        </w:rPr>
        <w:t> </w:t>
      </w:r>
      <w:r>
        <w:rPr>
          <w:sz w:val="24"/>
        </w:rPr>
        <w:t>Steven T. Mandelaris, Attorney at Law </w:t>
      </w:r>
      <w:r>
        <w:rPr>
          <w:i/>
          <w:sz w:val="22"/>
        </w:rPr>
        <w:t>(Original signature on file at Elkus Sisson &amp; </w:t>
      </w:r>
      <w:r>
        <w:rPr>
          <w:i/>
          <w:sz w:val="22"/>
        </w:rPr>
        <w:t>Rosenstein, pursuant to C.R.C.P. 121 §</w:t>
      </w:r>
      <w:r>
        <w:rPr>
          <w:i/>
          <w:spacing w:val="-16"/>
          <w:sz w:val="22"/>
        </w:rPr>
        <w:t> </w:t>
      </w:r>
      <w:r>
        <w:rPr>
          <w:i/>
          <w:sz w:val="22"/>
        </w:rPr>
        <w:t>1-26)</w:t>
      </w:r>
    </w:p>
    <w:p>
      <w:pPr>
        <w:pStyle w:val="BodyText"/>
        <w:rPr>
          <w:i/>
        </w:rPr>
      </w:pPr>
    </w:p>
    <w:p>
      <w:pPr>
        <w:pStyle w:val="BodyText"/>
        <w:rPr>
          <w:i/>
        </w:rPr>
      </w:pPr>
    </w:p>
    <w:p>
      <w:pPr>
        <w:pStyle w:val="BodyText"/>
        <w:rPr>
          <w:i/>
        </w:rPr>
      </w:pPr>
    </w:p>
    <w:p>
      <w:pPr>
        <w:pStyle w:val="Heading1"/>
        <w:ind w:left="3206"/>
      </w:pPr>
      <w:r>
        <w:rPr>
          <w:u w:val="thick"/>
        </w:rPr>
        <w:t>CERTIFICATE OF SERVICE</w:t>
      </w:r>
    </w:p>
    <w:p>
      <w:pPr>
        <w:pStyle w:val="BodyText"/>
        <w:spacing w:before="9"/>
        <w:rPr>
          <w:b/>
          <w:sz w:val="23"/>
        </w:rPr>
      </w:pPr>
    </w:p>
    <w:p>
      <w:pPr>
        <w:pStyle w:val="BodyText"/>
        <w:spacing w:before="1"/>
        <w:ind w:left="120" w:right="198" w:firstLine="720"/>
        <w:jc w:val="both"/>
      </w:pPr>
      <w:r>
        <w:rPr/>
        <w:t>I HEREBY CERTIFY I have this 18</w:t>
      </w:r>
      <w:r>
        <w:rPr>
          <w:vertAlign w:val="superscript"/>
        </w:rPr>
        <w:t>th</w:t>
      </w:r>
      <w:r>
        <w:rPr>
          <w:vertAlign w:val="baseline"/>
        </w:rPr>
        <w:t> day of January, 2016, via ICCES, served a true and correct and correct copy of the foregoing PLAINTIFF’S MOTION FOR PARTIAL SUMMARY JUDGMENT ON THE ISSUE OF BREACH OF CONTRACT AGAINST DEFENDANT SHAWN BEESON upon:</w:t>
      </w:r>
    </w:p>
    <w:p>
      <w:pPr>
        <w:pStyle w:val="BodyText"/>
        <w:spacing w:before="2"/>
      </w:pPr>
    </w:p>
    <w:p>
      <w:pPr>
        <w:pStyle w:val="BodyText"/>
        <w:ind w:left="138"/>
      </w:pPr>
      <w:r>
        <w:rPr/>
        <w:t>Michael P. Boyce</w:t>
      </w:r>
    </w:p>
    <w:p>
      <w:pPr>
        <w:pStyle w:val="BodyText"/>
        <w:ind w:left="138"/>
      </w:pPr>
      <w:r>
        <w:rPr/>
        <w:t>Law Office of Michael P. Boyce, PC</w:t>
      </w:r>
    </w:p>
    <w:p>
      <w:pPr>
        <w:pStyle w:val="BodyText"/>
        <w:spacing w:line="242" w:lineRule="auto"/>
        <w:ind w:left="137" w:right="5423"/>
      </w:pPr>
      <w:r>
        <w:rPr/>
        <w:t>3773 Cherry Creek Drive North, Suite 575 Denver, CO 80209</w:t>
      </w:r>
      <w:hyperlink r:id="rId8">
        <w:r>
          <w:rPr/>
          <w:t> mike@boycelawoffice.com</w:t>
        </w:r>
      </w:hyperlink>
    </w:p>
    <w:p>
      <w:pPr>
        <w:spacing w:line="273" w:lineRule="exact" w:before="0"/>
        <w:ind w:left="137" w:right="0" w:firstLine="0"/>
        <w:jc w:val="left"/>
        <w:rPr>
          <w:i/>
          <w:sz w:val="24"/>
        </w:rPr>
      </w:pPr>
      <w:r>
        <w:rPr>
          <w:i/>
          <w:sz w:val="24"/>
        </w:rPr>
        <w:t>Attorney for Defendant</w:t>
      </w:r>
    </w:p>
    <w:p>
      <w:pPr>
        <w:pStyle w:val="BodyText"/>
        <w:rPr>
          <w:i/>
          <w:sz w:val="26"/>
        </w:rPr>
      </w:pPr>
    </w:p>
    <w:p>
      <w:pPr>
        <w:tabs>
          <w:tab w:pos="8759" w:val="left" w:leader="none"/>
        </w:tabs>
        <w:spacing w:line="275" w:lineRule="exact" w:before="214"/>
        <w:ind w:left="5160" w:right="0" w:firstLine="0"/>
        <w:jc w:val="left"/>
        <w:rPr>
          <w:i/>
          <w:sz w:val="24"/>
        </w:rPr>
      </w:pPr>
      <w:r>
        <w:rPr>
          <w:i/>
          <w:sz w:val="24"/>
          <w:u w:val="single"/>
        </w:rPr>
        <w:t>/s/ Audrey</w:t>
      </w:r>
      <w:r>
        <w:rPr>
          <w:i/>
          <w:spacing w:val="-5"/>
          <w:sz w:val="24"/>
          <w:u w:val="single"/>
        </w:rPr>
        <w:t> </w:t>
      </w:r>
      <w:r>
        <w:rPr>
          <w:i/>
          <w:sz w:val="24"/>
          <w:u w:val="single"/>
        </w:rPr>
        <w:t>Ramsden</w:t>
        <w:tab/>
      </w:r>
    </w:p>
    <w:p>
      <w:pPr>
        <w:pStyle w:val="BodyText"/>
        <w:spacing w:line="275" w:lineRule="exact"/>
        <w:ind w:left="5160"/>
      </w:pPr>
      <w:r>
        <w:rPr/>
        <w:t>Audrey Ramsden, Paralegal</w:t>
      </w:r>
    </w:p>
    <w:p>
      <w:pPr>
        <w:pStyle w:val="BodyText"/>
        <w:spacing w:before="1"/>
      </w:pPr>
    </w:p>
    <w:p>
      <w:pPr>
        <w:spacing w:before="0"/>
        <w:ind w:left="5160" w:right="356" w:firstLine="0"/>
        <w:jc w:val="left"/>
        <w:rPr>
          <w:i/>
          <w:sz w:val="22"/>
        </w:rPr>
      </w:pPr>
      <w:r>
        <w:rPr>
          <w:i/>
          <w:sz w:val="22"/>
        </w:rPr>
        <w:t>(Original signature on file at Abrams &amp; Assoc. </w:t>
      </w:r>
      <w:r>
        <w:rPr>
          <w:i/>
          <w:sz w:val="22"/>
        </w:rPr>
        <w:t>LLC pursuant to C.R.C.P. 121 § 1-26)</w:t>
      </w:r>
    </w:p>
    <w:sectPr>
      <w:pgSz w:w="12240" w:h="15840"/>
      <w:pgMar w:header="0" w:footer="1065" w:top="1360" w:bottom="126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27.746643pt;width:10pt;height:15.3pt;mso-position-horizontal-relative:page;mso-position-vertical-relative:page;z-index:-7144"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0" w:hanging="286"/>
        <w:jc w:val="left"/>
      </w:pPr>
      <w:rPr>
        <w:rFonts w:hint="default" w:ascii="Times New Roman" w:hAnsi="Times New Roman" w:eastAsia="Times New Roman" w:cs="Times New Roman"/>
        <w:spacing w:val="-22"/>
        <w:w w:val="99"/>
        <w:sz w:val="24"/>
        <w:szCs w:val="24"/>
      </w:rPr>
    </w:lvl>
    <w:lvl w:ilvl="1">
      <w:start w:val="23"/>
      <w:numFmt w:val="decimal"/>
      <w:lvlText w:val="%2."/>
      <w:lvlJc w:val="left"/>
      <w:pPr>
        <w:ind w:left="120" w:hanging="720"/>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032" w:hanging="720"/>
      </w:pPr>
      <w:rPr>
        <w:rFonts w:hint="default"/>
      </w:rPr>
    </w:lvl>
    <w:lvl w:ilvl="3">
      <w:start w:val="0"/>
      <w:numFmt w:val="bullet"/>
      <w:lvlText w:val="•"/>
      <w:lvlJc w:val="left"/>
      <w:pPr>
        <w:ind w:left="2988" w:hanging="720"/>
      </w:pPr>
      <w:rPr>
        <w:rFonts w:hint="default"/>
      </w:rPr>
    </w:lvl>
    <w:lvl w:ilvl="4">
      <w:start w:val="0"/>
      <w:numFmt w:val="bullet"/>
      <w:lvlText w:val="•"/>
      <w:lvlJc w:val="left"/>
      <w:pPr>
        <w:ind w:left="3944" w:hanging="720"/>
      </w:pPr>
      <w:rPr>
        <w:rFonts w:hint="default"/>
      </w:rPr>
    </w:lvl>
    <w:lvl w:ilvl="5">
      <w:start w:val="0"/>
      <w:numFmt w:val="bullet"/>
      <w:lvlText w:val="•"/>
      <w:lvlJc w:val="left"/>
      <w:pPr>
        <w:ind w:left="4900" w:hanging="720"/>
      </w:pPr>
      <w:rPr>
        <w:rFonts w:hint="default"/>
      </w:rPr>
    </w:lvl>
    <w:lvl w:ilvl="6">
      <w:start w:val="0"/>
      <w:numFmt w:val="bullet"/>
      <w:lvlText w:val="•"/>
      <w:lvlJc w:val="left"/>
      <w:pPr>
        <w:ind w:left="5856" w:hanging="720"/>
      </w:pPr>
      <w:rPr>
        <w:rFonts w:hint="default"/>
      </w:rPr>
    </w:lvl>
    <w:lvl w:ilvl="7">
      <w:start w:val="0"/>
      <w:numFmt w:val="bullet"/>
      <w:lvlText w:val="•"/>
      <w:lvlJc w:val="left"/>
      <w:pPr>
        <w:ind w:left="6812" w:hanging="720"/>
      </w:pPr>
      <w:rPr>
        <w:rFonts w:hint="default"/>
      </w:rPr>
    </w:lvl>
    <w:lvl w:ilvl="8">
      <w:start w:val="0"/>
      <w:numFmt w:val="bullet"/>
      <w:lvlText w:val="•"/>
      <w:lvlJc w:val="left"/>
      <w:pPr>
        <w:ind w:left="7768" w:hanging="720"/>
      </w:pPr>
      <w:rPr>
        <w:rFonts w:hint="default"/>
      </w:rPr>
    </w:lvl>
  </w:abstractNum>
  <w:abstractNum w:abstractNumId="1">
    <w:multiLevelType w:val="hybridMultilevel"/>
    <w:lvl w:ilvl="0">
      <w:start w:val="1"/>
      <w:numFmt w:val="decimal"/>
      <w:lvlText w:val="%1."/>
      <w:lvlJc w:val="left"/>
      <w:pPr>
        <w:ind w:left="120" w:hanging="72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1920"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782" w:hanging="360"/>
      </w:pPr>
      <w:rPr>
        <w:rFonts w:hint="default"/>
      </w:rPr>
    </w:lvl>
    <w:lvl w:ilvl="3">
      <w:start w:val="0"/>
      <w:numFmt w:val="bullet"/>
      <w:lvlText w:val="•"/>
      <w:lvlJc w:val="left"/>
      <w:pPr>
        <w:ind w:left="3644" w:hanging="360"/>
      </w:pPr>
      <w:rPr>
        <w:rFonts w:hint="default"/>
      </w:rPr>
    </w:lvl>
    <w:lvl w:ilvl="4">
      <w:start w:val="0"/>
      <w:numFmt w:val="bullet"/>
      <w:lvlText w:val="•"/>
      <w:lvlJc w:val="left"/>
      <w:pPr>
        <w:ind w:left="4506" w:hanging="360"/>
      </w:pPr>
      <w:rPr>
        <w:rFonts w:hint="default"/>
      </w:rPr>
    </w:lvl>
    <w:lvl w:ilvl="5">
      <w:start w:val="0"/>
      <w:numFmt w:val="bullet"/>
      <w:lvlText w:val="•"/>
      <w:lvlJc w:val="left"/>
      <w:pPr>
        <w:ind w:left="5368" w:hanging="360"/>
      </w:pPr>
      <w:rPr>
        <w:rFonts w:hint="default"/>
      </w:rPr>
    </w:lvl>
    <w:lvl w:ilvl="6">
      <w:start w:val="0"/>
      <w:numFmt w:val="bullet"/>
      <w:lvlText w:val="•"/>
      <w:lvlJc w:val="left"/>
      <w:pPr>
        <w:ind w:left="6231" w:hanging="360"/>
      </w:pPr>
      <w:rPr>
        <w:rFonts w:hint="default"/>
      </w:rPr>
    </w:lvl>
    <w:lvl w:ilvl="7">
      <w:start w:val="0"/>
      <w:numFmt w:val="bullet"/>
      <w:lvlText w:val="•"/>
      <w:lvlJc w:val="left"/>
      <w:pPr>
        <w:ind w:left="7093" w:hanging="360"/>
      </w:pPr>
      <w:rPr>
        <w:rFonts w:hint="default"/>
      </w:rPr>
    </w:lvl>
    <w:lvl w:ilvl="8">
      <w:start w:val="0"/>
      <w:numFmt w:val="bullet"/>
      <w:lvlText w:val="•"/>
      <w:lvlJc w:val="left"/>
      <w:pPr>
        <w:ind w:left="7955" w:hanging="360"/>
      </w:pPr>
      <w:rPr>
        <w:rFonts w:hint="default"/>
      </w:rPr>
    </w:lvl>
  </w:abstractNum>
  <w:abstractNum w:abstractNumId="0">
    <w:multiLevelType w:val="hybridMultilevel"/>
    <w:lvl w:ilvl="0">
      <w:start w:val="1"/>
      <w:numFmt w:val="upperLetter"/>
      <w:lvlText w:val="%1."/>
      <w:lvlJc w:val="left"/>
      <w:pPr>
        <w:ind w:left="12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076" w:hanging="720"/>
      </w:pPr>
      <w:rPr>
        <w:rFonts w:hint="default"/>
      </w:rPr>
    </w:lvl>
    <w:lvl w:ilvl="2">
      <w:start w:val="0"/>
      <w:numFmt w:val="bullet"/>
      <w:lvlText w:val="•"/>
      <w:lvlJc w:val="left"/>
      <w:pPr>
        <w:ind w:left="2032" w:hanging="720"/>
      </w:pPr>
      <w:rPr>
        <w:rFonts w:hint="default"/>
      </w:rPr>
    </w:lvl>
    <w:lvl w:ilvl="3">
      <w:start w:val="0"/>
      <w:numFmt w:val="bullet"/>
      <w:lvlText w:val="•"/>
      <w:lvlJc w:val="left"/>
      <w:pPr>
        <w:ind w:left="2988" w:hanging="720"/>
      </w:pPr>
      <w:rPr>
        <w:rFonts w:hint="default"/>
      </w:rPr>
    </w:lvl>
    <w:lvl w:ilvl="4">
      <w:start w:val="0"/>
      <w:numFmt w:val="bullet"/>
      <w:lvlText w:val="•"/>
      <w:lvlJc w:val="left"/>
      <w:pPr>
        <w:ind w:left="3944" w:hanging="720"/>
      </w:pPr>
      <w:rPr>
        <w:rFonts w:hint="default"/>
      </w:rPr>
    </w:lvl>
    <w:lvl w:ilvl="5">
      <w:start w:val="0"/>
      <w:numFmt w:val="bullet"/>
      <w:lvlText w:val="•"/>
      <w:lvlJc w:val="left"/>
      <w:pPr>
        <w:ind w:left="4900" w:hanging="720"/>
      </w:pPr>
      <w:rPr>
        <w:rFonts w:hint="default"/>
      </w:rPr>
    </w:lvl>
    <w:lvl w:ilvl="6">
      <w:start w:val="0"/>
      <w:numFmt w:val="bullet"/>
      <w:lvlText w:val="•"/>
      <w:lvlJc w:val="left"/>
      <w:pPr>
        <w:ind w:left="5856" w:hanging="720"/>
      </w:pPr>
      <w:rPr>
        <w:rFonts w:hint="default"/>
      </w:rPr>
    </w:lvl>
    <w:lvl w:ilvl="7">
      <w:start w:val="0"/>
      <w:numFmt w:val="bullet"/>
      <w:lvlText w:val="•"/>
      <w:lvlJc w:val="left"/>
      <w:pPr>
        <w:ind w:left="6812" w:hanging="720"/>
      </w:pPr>
      <w:rPr>
        <w:rFonts w:hint="default"/>
      </w:rPr>
    </w:lvl>
    <w:lvl w:ilvl="8">
      <w:start w:val="0"/>
      <w:numFmt w:val="bullet"/>
      <w:lvlText w:val="•"/>
      <w:lvlJc w:val="left"/>
      <w:pPr>
        <w:ind w:left="7768" w:hanging="7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47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firstLine="72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mandelaris@elkusandsisson.com" TargetMode="External"/><Relationship Id="rId7" Type="http://schemas.openxmlformats.org/officeDocument/2006/relationships/hyperlink" Target="mailto:Robert@AbramsLaw.net" TargetMode="External"/><Relationship Id="rId8" Type="http://schemas.openxmlformats.org/officeDocument/2006/relationships/hyperlink" Target="mailto:mike@boycelawoffice.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2019-03-18T21:31:34Z</dcterms:created>
  <dcterms:modified xsi:type="dcterms:W3CDTF">2019-03-18T21:31:34Z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