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20"/>
        <w:gridCol w:w="200"/>
        <w:gridCol w:w="3420"/>
      </w:tblGrid>
      <w:tr>
        <w:trPr>
          <w:trHeight w:val="546" w:hRule="atLeast"/>
        </w:trPr>
        <w:tc>
          <w:tcPr>
            <w:tcW w:w="5720" w:type="dxa"/>
            <w:tcBorders>
              <w:top w:val="single" w:sz="4" w:space="0" w:color="000000"/>
              <w:left w:val="single" w:sz="4" w:space="0" w:color="000000"/>
            </w:tcBorders>
          </w:tcPr>
          <w:p>
            <w:pPr>
              <w:pStyle w:val="TableParagraph"/>
              <w:spacing w:before="8"/>
              <w:rPr>
                <w:sz w:val="23"/>
              </w:rPr>
            </w:pPr>
          </w:p>
          <w:p>
            <w:pPr>
              <w:pStyle w:val="TableParagraph"/>
              <w:spacing w:line="254" w:lineRule="exact"/>
              <w:ind w:left="107"/>
              <w:rPr>
                <w:sz w:val="24"/>
              </w:rPr>
            </w:pPr>
            <w:r>
              <w:rPr>
                <w:sz w:val="24"/>
              </w:rPr>
              <w:t>DISTRICT COURT, DENVER COUNTY, COLORADO</w:t>
            </w:r>
          </w:p>
        </w:tc>
        <w:tc>
          <w:tcPr>
            <w:tcW w:w="200" w:type="dxa"/>
            <w:tcBorders>
              <w:top w:val="single" w:sz="4" w:space="0" w:color="000000"/>
              <w:right w:val="single" w:sz="4" w:space="0" w:color="000000"/>
            </w:tcBorders>
          </w:tcPr>
          <w:p>
            <w:pPr>
              <w:pStyle w:val="TableParagraph"/>
              <w:rPr>
                <w:sz w:val="22"/>
              </w:rPr>
            </w:pPr>
          </w:p>
        </w:tc>
        <w:tc>
          <w:tcPr>
            <w:tcW w:w="3420" w:type="dxa"/>
            <w:tcBorders>
              <w:top w:val="single" w:sz="4" w:space="0" w:color="000000"/>
              <w:left w:val="single" w:sz="4" w:space="0" w:color="000000"/>
              <w:right w:val="single" w:sz="4" w:space="0" w:color="000000"/>
            </w:tcBorders>
          </w:tcPr>
          <w:p>
            <w:pPr>
              <w:pStyle w:val="TableParagraph"/>
              <w:rPr>
                <w:sz w:val="22"/>
              </w:rPr>
            </w:pPr>
          </w:p>
        </w:tc>
      </w:tr>
      <w:tr>
        <w:trPr>
          <w:trHeight w:val="217" w:hRule="atLeast"/>
        </w:trPr>
        <w:tc>
          <w:tcPr>
            <w:tcW w:w="5720" w:type="dxa"/>
            <w:tcBorders>
              <w:left w:val="single" w:sz="4" w:space="0" w:color="000000"/>
            </w:tcBorders>
          </w:tcPr>
          <w:p>
            <w:pPr>
              <w:pStyle w:val="TableParagraph"/>
              <w:rPr>
                <w:sz w:val="14"/>
              </w:rPr>
            </w:pPr>
          </w:p>
        </w:tc>
        <w:tc>
          <w:tcPr>
            <w:tcW w:w="200" w:type="dxa"/>
            <w:tcBorders>
              <w:right w:val="single" w:sz="4" w:space="0" w:color="000000"/>
            </w:tcBorders>
          </w:tcPr>
          <w:p>
            <w:pPr>
              <w:pStyle w:val="TableParagraph"/>
              <w:spacing w:line="198" w:lineRule="exact"/>
              <w:ind w:left="59" w:right="-15"/>
              <w:rPr>
                <w:sz w:val="20"/>
              </w:rPr>
            </w:pPr>
            <w:r>
              <w:rPr>
                <w:color w:val="0000FF"/>
                <w:spacing w:val="2"/>
                <w:sz w:val="20"/>
              </w:rPr>
              <w:t>D</w:t>
            </w:r>
          </w:p>
        </w:tc>
        <w:tc>
          <w:tcPr>
            <w:tcW w:w="3420" w:type="dxa"/>
            <w:tcBorders>
              <w:left w:val="single" w:sz="4" w:space="0" w:color="000000"/>
              <w:right w:val="single" w:sz="4" w:space="0" w:color="000000"/>
            </w:tcBorders>
          </w:tcPr>
          <w:p>
            <w:pPr>
              <w:pStyle w:val="TableParagraph"/>
              <w:spacing w:line="198" w:lineRule="exact"/>
              <w:rPr>
                <w:sz w:val="20"/>
              </w:rPr>
            </w:pPr>
            <w:r>
              <w:rPr>
                <w:color w:val="0000FF"/>
                <w:sz w:val="20"/>
              </w:rPr>
              <w:t>ATE FILED: March 6, 2017 1:45 PM</w:t>
            </w:r>
          </w:p>
        </w:tc>
      </w:tr>
      <w:tr>
        <w:trPr>
          <w:trHeight w:val="616" w:hRule="atLeast"/>
        </w:trPr>
        <w:tc>
          <w:tcPr>
            <w:tcW w:w="5720" w:type="dxa"/>
            <w:tcBorders>
              <w:left w:val="single" w:sz="4" w:space="0" w:color="000000"/>
            </w:tcBorders>
          </w:tcPr>
          <w:p>
            <w:pPr>
              <w:pStyle w:val="TableParagraph"/>
              <w:spacing w:before="60"/>
              <w:ind w:left="107"/>
              <w:rPr>
                <w:sz w:val="24"/>
              </w:rPr>
            </w:pPr>
            <w:r>
              <w:rPr>
                <w:sz w:val="24"/>
              </w:rPr>
              <w:t>Court Address: Denver County Court</w:t>
            </w:r>
          </w:p>
          <w:p>
            <w:pPr>
              <w:pStyle w:val="TableParagraph"/>
              <w:spacing w:line="261" w:lineRule="exact"/>
              <w:ind w:left="1727"/>
              <w:rPr>
                <w:sz w:val="24"/>
              </w:rPr>
            </w:pPr>
            <w:r>
              <w:rPr>
                <w:sz w:val="24"/>
              </w:rPr>
              <w:t>1437 Bannock St., Room 256</w:t>
            </w:r>
          </w:p>
        </w:tc>
        <w:tc>
          <w:tcPr>
            <w:tcW w:w="200" w:type="dxa"/>
            <w:tcBorders>
              <w:right w:val="single" w:sz="4" w:space="0" w:color="000000"/>
            </w:tcBorders>
          </w:tcPr>
          <w:p>
            <w:pPr>
              <w:pStyle w:val="TableParagraph"/>
              <w:spacing w:line="225" w:lineRule="auto"/>
              <w:ind w:left="59" w:right="-18"/>
              <w:rPr>
                <w:sz w:val="20"/>
              </w:rPr>
            </w:pPr>
            <w:r>
              <w:rPr>
                <w:color w:val="0000FF"/>
                <w:sz w:val="20"/>
              </w:rPr>
              <w:t>F C</w:t>
            </w:r>
          </w:p>
        </w:tc>
        <w:tc>
          <w:tcPr>
            <w:tcW w:w="3420" w:type="dxa"/>
            <w:tcBorders>
              <w:left w:val="single" w:sz="4" w:space="0" w:color="000000"/>
              <w:right w:val="single" w:sz="4" w:space="0" w:color="000000"/>
            </w:tcBorders>
          </w:tcPr>
          <w:p>
            <w:pPr>
              <w:pStyle w:val="TableParagraph"/>
              <w:spacing w:line="225" w:lineRule="auto"/>
              <w:ind w:left="-11" w:right="728" w:firstLine="46"/>
              <w:rPr>
                <w:sz w:val="20"/>
              </w:rPr>
            </w:pPr>
            <w:r>
              <w:rPr>
                <w:color w:val="0000FF"/>
                <w:sz w:val="20"/>
              </w:rPr>
              <w:t>LING ID: 44B1E04094A9D ASE NUMBER: 2015CV31709</w:t>
            </w:r>
          </w:p>
        </w:tc>
      </w:tr>
      <w:tr>
        <w:trPr>
          <w:trHeight w:val="275" w:hRule="atLeast"/>
        </w:trPr>
        <w:tc>
          <w:tcPr>
            <w:tcW w:w="5720" w:type="dxa"/>
            <w:tcBorders>
              <w:left w:val="single" w:sz="4" w:space="0" w:color="000000"/>
            </w:tcBorders>
          </w:tcPr>
          <w:p>
            <w:pPr>
              <w:pStyle w:val="TableParagraph"/>
              <w:spacing w:line="256" w:lineRule="exact"/>
              <w:ind w:left="1727"/>
              <w:rPr>
                <w:sz w:val="24"/>
              </w:rPr>
            </w:pPr>
            <w:r>
              <w:rPr>
                <w:sz w:val="24"/>
              </w:rPr>
              <w:t>Denver, CO</w:t>
            </w:r>
            <w:r>
              <w:rPr>
                <w:spacing w:val="58"/>
                <w:sz w:val="24"/>
              </w:rPr>
              <w:t> </w:t>
            </w:r>
            <w:r>
              <w:rPr>
                <w:sz w:val="24"/>
              </w:rPr>
              <w:t>80202</w:t>
            </w:r>
          </w:p>
        </w:tc>
        <w:tc>
          <w:tcPr>
            <w:tcW w:w="200" w:type="dxa"/>
            <w:tcBorders>
              <w:right w:val="single" w:sz="4" w:space="0" w:color="000000"/>
            </w:tcBorders>
          </w:tcPr>
          <w:p>
            <w:pPr>
              <w:pStyle w:val="TableParagraph"/>
              <w:rPr>
                <w:sz w:val="20"/>
              </w:rPr>
            </w:pPr>
          </w:p>
        </w:tc>
        <w:tc>
          <w:tcPr>
            <w:tcW w:w="3420" w:type="dxa"/>
            <w:tcBorders>
              <w:left w:val="single" w:sz="4" w:space="0" w:color="000000"/>
              <w:right w:val="single" w:sz="4" w:space="0" w:color="000000"/>
            </w:tcBorders>
          </w:tcPr>
          <w:p>
            <w:pPr>
              <w:pStyle w:val="TableParagraph"/>
              <w:rPr>
                <w:sz w:val="20"/>
              </w:rPr>
            </w:pPr>
          </w:p>
        </w:tc>
      </w:tr>
      <w:tr>
        <w:trPr>
          <w:trHeight w:val="569" w:hRule="atLeast"/>
        </w:trPr>
        <w:tc>
          <w:tcPr>
            <w:tcW w:w="5720" w:type="dxa"/>
            <w:tcBorders>
              <w:left w:val="single" w:sz="4" w:space="0" w:color="000000"/>
            </w:tcBorders>
          </w:tcPr>
          <w:p>
            <w:pPr>
              <w:pStyle w:val="TableParagraph"/>
              <w:spacing w:line="271" w:lineRule="exact"/>
              <w:ind w:left="1727"/>
              <w:rPr>
                <w:sz w:val="24"/>
              </w:rPr>
            </w:pPr>
            <w:r>
              <w:rPr>
                <w:sz w:val="24"/>
              </w:rPr>
              <w:t>(720) 865-8301</w:t>
            </w:r>
          </w:p>
        </w:tc>
        <w:tc>
          <w:tcPr>
            <w:tcW w:w="200" w:type="dxa"/>
            <w:tcBorders>
              <w:right w:val="single" w:sz="4" w:space="0" w:color="000000"/>
            </w:tcBorders>
          </w:tcPr>
          <w:p>
            <w:pPr>
              <w:pStyle w:val="TableParagraph"/>
              <w:rPr>
                <w:sz w:val="22"/>
              </w:rPr>
            </w:pPr>
          </w:p>
        </w:tc>
        <w:tc>
          <w:tcPr>
            <w:tcW w:w="3420" w:type="dxa"/>
            <w:tcBorders>
              <w:left w:val="single" w:sz="4" w:space="0" w:color="000000"/>
              <w:right w:val="single" w:sz="4" w:space="0" w:color="000000"/>
            </w:tcBorders>
          </w:tcPr>
          <w:p>
            <w:pPr>
              <w:pStyle w:val="TableParagraph"/>
              <w:rPr>
                <w:sz w:val="22"/>
              </w:rPr>
            </w:pPr>
          </w:p>
        </w:tc>
      </w:tr>
      <w:tr>
        <w:trPr>
          <w:trHeight w:val="569" w:hRule="atLeast"/>
        </w:trPr>
        <w:tc>
          <w:tcPr>
            <w:tcW w:w="5720" w:type="dxa"/>
            <w:tcBorders>
              <w:left w:val="single" w:sz="4" w:space="0" w:color="000000"/>
            </w:tcBorders>
          </w:tcPr>
          <w:p>
            <w:pPr>
              <w:pStyle w:val="TableParagraph"/>
              <w:rPr>
                <w:sz w:val="25"/>
              </w:rPr>
            </w:pPr>
          </w:p>
          <w:p>
            <w:pPr>
              <w:pStyle w:val="TableParagraph"/>
              <w:spacing w:line="261" w:lineRule="exact" w:before="1"/>
              <w:ind w:left="107"/>
              <w:rPr>
                <w:sz w:val="24"/>
              </w:rPr>
            </w:pPr>
            <w:r>
              <w:rPr>
                <w:sz w:val="24"/>
              </w:rPr>
              <w:t>Plaintiffs: ROBERT ABRAMS and ABRAMS &amp;</w:t>
            </w:r>
          </w:p>
        </w:tc>
        <w:tc>
          <w:tcPr>
            <w:tcW w:w="200" w:type="dxa"/>
            <w:tcBorders>
              <w:right w:val="single" w:sz="4" w:space="0" w:color="000000"/>
            </w:tcBorders>
          </w:tcPr>
          <w:p>
            <w:pPr>
              <w:pStyle w:val="TableParagraph"/>
              <w:rPr>
                <w:sz w:val="22"/>
              </w:rPr>
            </w:pPr>
          </w:p>
        </w:tc>
        <w:tc>
          <w:tcPr>
            <w:tcW w:w="3420" w:type="dxa"/>
            <w:tcBorders>
              <w:left w:val="single" w:sz="4" w:space="0" w:color="000000"/>
              <w:right w:val="single" w:sz="4" w:space="0" w:color="000000"/>
            </w:tcBorders>
          </w:tcPr>
          <w:p>
            <w:pPr>
              <w:pStyle w:val="TableParagraph"/>
              <w:rPr>
                <w:sz w:val="22"/>
              </w:rPr>
            </w:pPr>
          </w:p>
        </w:tc>
      </w:tr>
      <w:tr>
        <w:trPr>
          <w:trHeight w:val="275" w:hRule="atLeast"/>
        </w:trPr>
        <w:tc>
          <w:tcPr>
            <w:tcW w:w="5720" w:type="dxa"/>
            <w:tcBorders>
              <w:left w:val="single" w:sz="4" w:space="0" w:color="000000"/>
            </w:tcBorders>
          </w:tcPr>
          <w:p>
            <w:pPr>
              <w:pStyle w:val="TableParagraph"/>
              <w:spacing w:line="256" w:lineRule="exact"/>
              <w:ind w:left="107"/>
              <w:rPr>
                <w:sz w:val="24"/>
              </w:rPr>
            </w:pPr>
            <w:r>
              <w:rPr>
                <w:sz w:val="24"/>
              </w:rPr>
              <w:t>ASSOCIATES, LLC, a Colorado limited liability</w:t>
            </w:r>
          </w:p>
        </w:tc>
        <w:tc>
          <w:tcPr>
            <w:tcW w:w="200" w:type="dxa"/>
            <w:tcBorders>
              <w:right w:val="single" w:sz="4" w:space="0" w:color="000000"/>
            </w:tcBorders>
          </w:tcPr>
          <w:p>
            <w:pPr>
              <w:pStyle w:val="TableParagraph"/>
              <w:rPr>
                <w:sz w:val="20"/>
              </w:rPr>
            </w:pPr>
          </w:p>
        </w:tc>
        <w:tc>
          <w:tcPr>
            <w:tcW w:w="3420" w:type="dxa"/>
            <w:tcBorders>
              <w:left w:val="single" w:sz="4" w:space="0" w:color="000000"/>
              <w:right w:val="single" w:sz="4" w:space="0" w:color="000000"/>
            </w:tcBorders>
          </w:tcPr>
          <w:p>
            <w:pPr>
              <w:pStyle w:val="TableParagraph"/>
              <w:rPr>
                <w:sz w:val="20"/>
              </w:rPr>
            </w:pPr>
          </w:p>
        </w:tc>
      </w:tr>
      <w:tr>
        <w:trPr>
          <w:trHeight w:val="413" w:hRule="atLeast"/>
        </w:trPr>
        <w:tc>
          <w:tcPr>
            <w:tcW w:w="5720" w:type="dxa"/>
            <w:tcBorders>
              <w:left w:val="single" w:sz="4" w:space="0" w:color="000000"/>
            </w:tcBorders>
          </w:tcPr>
          <w:p>
            <w:pPr>
              <w:pStyle w:val="TableParagraph"/>
              <w:spacing w:line="271" w:lineRule="exact"/>
              <w:ind w:left="107"/>
              <w:rPr>
                <w:sz w:val="24"/>
              </w:rPr>
            </w:pPr>
            <w:r>
              <w:rPr>
                <w:sz w:val="24"/>
              </w:rPr>
              <w:t>company;</w:t>
            </w:r>
          </w:p>
        </w:tc>
        <w:tc>
          <w:tcPr>
            <w:tcW w:w="200" w:type="dxa"/>
            <w:tcBorders>
              <w:right w:val="single" w:sz="4" w:space="0" w:color="000000"/>
            </w:tcBorders>
          </w:tcPr>
          <w:p>
            <w:pPr>
              <w:pStyle w:val="TableParagraph"/>
              <w:rPr>
                <w:sz w:val="22"/>
              </w:rPr>
            </w:pPr>
          </w:p>
        </w:tc>
        <w:tc>
          <w:tcPr>
            <w:tcW w:w="3420" w:type="dxa"/>
            <w:tcBorders>
              <w:left w:val="single" w:sz="4" w:space="0" w:color="000000"/>
              <w:right w:val="single" w:sz="4" w:space="0" w:color="000000"/>
            </w:tcBorders>
          </w:tcPr>
          <w:p>
            <w:pPr>
              <w:pStyle w:val="TableParagraph"/>
              <w:rPr>
                <w:sz w:val="22"/>
              </w:rPr>
            </w:pPr>
          </w:p>
        </w:tc>
      </w:tr>
      <w:tr>
        <w:trPr>
          <w:trHeight w:val="673" w:hRule="atLeast"/>
        </w:trPr>
        <w:tc>
          <w:tcPr>
            <w:tcW w:w="5720" w:type="dxa"/>
            <w:tcBorders>
              <w:left w:val="single" w:sz="4" w:space="0" w:color="000000"/>
            </w:tcBorders>
          </w:tcPr>
          <w:p>
            <w:pPr>
              <w:pStyle w:val="TableParagraph"/>
              <w:spacing w:before="133"/>
              <w:ind w:left="107"/>
              <w:rPr>
                <w:sz w:val="24"/>
              </w:rPr>
            </w:pPr>
            <w:r>
              <w:rPr>
                <w:sz w:val="24"/>
              </w:rPr>
              <w:t>v.</w:t>
            </w:r>
          </w:p>
        </w:tc>
        <w:tc>
          <w:tcPr>
            <w:tcW w:w="200" w:type="dxa"/>
            <w:tcBorders>
              <w:right w:val="single" w:sz="4" w:space="0" w:color="000000"/>
            </w:tcBorders>
          </w:tcPr>
          <w:p>
            <w:pPr>
              <w:pStyle w:val="TableParagraph"/>
              <w:rPr>
                <w:sz w:val="22"/>
              </w:rPr>
            </w:pPr>
          </w:p>
        </w:tc>
        <w:tc>
          <w:tcPr>
            <w:tcW w:w="3420" w:type="dxa"/>
            <w:tcBorders>
              <w:left w:val="single" w:sz="4" w:space="0" w:color="000000"/>
              <w:right w:val="single" w:sz="4" w:space="0" w:color="000000"/>
            </w:tcBorders>
          </w:tcPr>
          <w:p>
            <w:pPr>
              <w:pStyle w:val="TableParagraph"/>
              <w:spacing w:before="8"/>
              <w:rPr>
                <w:sz w:val="32"/>
              </w:rPr>
            </w:pPr>
          </w:p>
          <w:p>
            <w:pPr>
              <w:pStyle w:val="TableParagraph"/>
              <w:ind w:left="635"/>
              <w:rPr>
                <w:b/>
                <w:sz w:val="24"/>
              </w:rPr>
            </w:pPr>
            <w:r>
              <w:rPr>
                <w:b/>
                <w:sz w:val="24"/>
              </w:rPr>
              <w:t>COURT USE ONLY</w:t>
            </w:r>
          </w:p>
        </w:tc>
      </w:tr>
      <w:tr>
        <w:trPr>
          <w:trHeight w:val="566" w:hRule="atLeast"/>
        </w:trPr>
        <w:tc>
          <w:tcPr>
            <w:tcW w:w="5720" w:type="dxa"/>
            <w:tcBorders>
              <w:left w:val="single" w:sz="4" w:space="0" w:color="000000"/>
              <w:bottom w:val="single" w:sz="4" w:space="0" w:color="000000"/>
            </w:tcBorders>
          </w:tcPr>
          <w:p>
            <w:pPr>
              <w:pStyle w:val="TableParagraph"/>
              <w:spacing w:before="11"/>
              <w:ind w:left="107"/>
              <w:rPr>
                <w:sz w:val="24"/>
              </w:rPr>
            </w:pPr>
            <w:r>
              <w:rPr>
                <w:sz w:val="24"/>
              </w:rPr>
              <w:t>Defendants: SHAWN BEESON</w:t>
            </w:r>
          </w:p>
        </w:tc>
        <w:tc>
          <w:tcPr>
            <w:tcW w:w="200" w:type="dxa"/>
            <w:tcBorders>
              <w:bottom w:val="single" w:sz="4" w:space="0" w:color="000000"/>
              <w:right w:val="single" w:sz="4" w:space="0" w:color="000000"/>
            </w:tcBorders>
          </w:tcPr>
          <w:p>
            <w:pPr>
              <w:pStyle w:val="TableParagraph"/>
              <w:rPr>
                <w:sz w:val="22"/>
              </w:rPr>
            </w:pPr>
          </w:p>
        </w:tc>
        <w:tc>
          <w:tcPr>
            <w:tcW w:w="3420" w:type="dxa"/>
            <w:tcBorders>
              <w:left w:val="single" w:sz="4" w:space="0" w:color="000000"/>
              <w:bottom w:val="single" w:sz="4" w:space="0" w:color="000000"/>
              <w:right w:val="single" w:sz="4" w:space="0" w:color="000000"/>
            </w:tcBorders>
          </w:tcPr>
          <w:p>
            <w:pPr>
              <w:pStyle w:val="TableParagraph"/>
              <w:rPr>
                <w:sz w:val="22"/>
              </w:rPr>
            </w:pPr>
          </w:p>
        </w:tc>
      </w:tr>
      <w:tr>
        <w:trPr>
          <w:trHeight w:val="278" w:hRule="atLeast"/>
        </w:trPr>
        <w:tc>
          <w:tcPr>
            <w:tcW w:w="5920" w:type="dxa"/>
            <w:gridSpan w:val="2"/>
            <w:tcBorders>
              <w:top w:val="single" w:sz="4" w:space="0" w:color="000000"/>
              <w:left w:val="single" w:sz="4" w:space="0" w:color="000000"/>
              <w:right w:val="single" w:sz="4" w:space="0" w:color="000000"/>
            </w:tcBorders>
          </w:tcPr>
          <w:p>
            <w:pPr>
              <w:pStyle w:val="TableParagraph"/>
              <w:spacing w:line="258" w:lineRule="exact"/>
              <w:ind w:left="107"/>
              <w:rPr>
                <w:sz w:val="24"/>
              </w:rPr>
            </w:pPr>
            <w:r>
              <w:rPr>
                <w:sz w:val="24"/>
              </w:rPr>
              <w:t>Attorneys for Plaintiffs:</w:t>
            </w:r>
          </w:p>
        </w:tc>
        <w:tc>
          <w:tcPr>
            <w:tcW w:w="3420" w:type="dxa"/>
            <w:tcBorders>
              <w:top w:val="single" w:sz="4" w:space="0" w:color="000000"/>
              <w:left w:val="single" w:sz="4" w:space="0" w:color="000000"/>
              <w:right w:val="single" w:sz="4" w:space="0" w:color="000000"/>
            </w:tcBorders>
          </w:tcPr>
          <w:p>
            <w:pPr>
              <w:pStyle w:val="TableParagraph"/>
              <w:rPr>
                <w:sz w:val="20"/>
              </w:rPr>
            </w:pPr>
          </w:p>
        </w:tc>
      </w:tr>
      <w:tr>
        <w:trPr>
          <w:trHeight w:val="275" w:hRule="atLeast"/>
        </w:trPr>
        <w:tc>
          <w:tcPr>
            <w:tcW w:w="5920" w:type="dxa"/>
            <w:gridSpan w:val="2"/>
            <w:tcBorders>
              <w:left w:val="single" w:sz="4" w:space="0" w:color="000000"/>
              <w:right w:val="single" w:sz="4" w:space="0" w:color="000000"/>
            </w:tcBorders>
          </w:tcPr>
          <w:p>
            <w:pPr>
              <w:pStyle w:val="TableParagraph"/>
              <w:rPr>
                <w:sz w:val="20"/>
              </w:rPr>
            </w:pPr>
          </w:p>
        </w:tc>
        <w:tc>
          <w:tcPr>
            <w:tcW w:w="3420" w:type="dxa"/>
            <w:tcBorders>
              <w:left w:val="single" w:sz="4" w:space="0" w:color="000000"/>
              <w:right w:val="single" w:sz="4" w:space="0" w:color="000000"/>
            </w:tcBorders>
          </w:tcPr>
          <w:p>
            <w:pPr>
              <w:pStyle w:val="TableParagraph"/>
              <w:spacing w:line="255" w:lineRule="exact"/>
              <w:ind w:left="107"/>
              <w:rPr>
                <w:sz w:val="24"/>
              </w:rPr>
            </w:pPr>
            <w:r>
              <w:rPr>
                <w:sz w:val="24"/>
              </w:rPr>
              <w:t>Case Number: 2015CV31709</w:t>
            </w:r>
          </w:p>
        </w:tc>
      </w:tr>
      <w:tr>
        <w:trPr>
          <w:trHeight w:val="2070" w:hRule="atLeast"/>
        </w:trPr>
        <w:tc>
          <w:tcPr>
            <w:tcW w:w="5920" w:type="dxa"/>
            <w:gridSpan w:val="2"/>
            <w:tcBorders>
              <w:left w:val="single" w:sz="4" w:space="0" w:color="000000"/>
              <w:right w:val="single" w:sz="4" w:space="0" w:color="000000"/>
            </w:tcBorders>
          </w:tcPr>
          <w:p>
            <w:pPr>
              <w:pStyle w:val="TableParagraph"/>
              <w:spacing w:line="271" w:lineRule="exact"/>
              <w:ind w:left="107"/>
              <w:rPr>
                <w:sz w:val="24"/>
              </w:rPr>
            </w:pPr>
            <w:r>
              <w:rPr>
                <w:sz w:val="24"/>
              </w:rPr>
              <w:t>Nathan Silver</w:t>
            </w:r>
          </w:p>
          <w:p>
            <w:pPr>
              <w:pStyle w:val="TableParagraph"/>
              <w:ind w:left="107" w:right="3348"/>
              <w:rPr>
                <w:sz w:val="24"/>
              </w:rPr>
            </w:pPr>
            <w:r>
              <w:rPr>
                <w:sz w:val="24"/>
              </w:rPr>
              <w:t>Silver Law Firm, LLC 700 17</w:t>
            </w:r>
            <w:r>
              <w:rPr>
                <w:sz w:val="24"/>
                <w:vertAlign w:val="superscript"/>
              </w:rPr>
              <w:t>th</w:t>
            </w:r>
            <w:r>
              <w:rPr>
                <w:sz w:val="24"/>
                <w:vertAlign w:val="baseline"/>
              </w:rPr>
              <w:t> Street, Suite 650</w:t>
            </w:r>
          </w:p>
          <w:p>
            <w:pPr>
              <w:pStyle w:val="TableParagraph"/>
              <w:ind w:left="107"/>
              <w:rPr>
                <w:sz w:val="24"/>
              </w:rPr>
            </w:pPr>
            <w:r>
              <w:rPr>
                <w:sz w:val="24"/>
              </w:rPr>
              <w:t>Denver, Colorado 80202</w:t>
            </w:r>
          </w:p>
          <w:p>
            <w:pPr>
              <w:pStyle w:val="TableParagraph"/>
              <w:ind w:left="107"/>
              <w:rPr>
                <w:sz w:val="24"/>
              </w:rPr>
            </w:pPr>
            <w:r>
              <w:rPr>
                <w:sz w:val="24"/>
              </w:rPr>
              <w:t>Phone: (303) 328-8510</w:t>
            </w:r>
          </w:p>
          <w:p>
            <w:pPr>
              <w:pStyle w:val="TableParagraph"/>
              <w:ind w:left="107" w:right="2136"/>
              <w:rPr>
                <w:sz w:val="24"/>
              </w:rPr>
            </w:pPr>
            <w:r>
              <w:rPr>
                <w:sz w:val="24"/>
              </w:rPr>
              <w:t>E-m</w:t>
            </w:r>
            <w:hyperlink r:id="rId6">
              <w:r>
                <w:rPr>
                  <w:sz w:val="24"/>
                </w:rPr>
                <w:t>ail: nathan@silverlawdenver.com</w:t>
              </w:r>
            </w:hyperlink>
            <w:r>
              <w:rPr>
                <w:sz w:val="24"/>
              </w:rPr>
              <w:t> Atty. Reg. # 28836</w:t>
            </w:r>
          </w:p>
        </w:tc>
        <w:tc>
          <w:tcPr>
            <w:tcW w:w="3420" w:type="dxa"/>
            <w:tcBorders>
              <w:left w:val="single" w:sz="4" w:space="0" w:color="000000"/>
              <w:right w:val="single" w:sz="4" w:space="0" w:color="000000"/>
            </w:tcBorders>
          </w:tcPr>
          <w:p>
            <w:pPr>
              <w:pStyle w:val="TableParagraph"/>
              <w:spacing w:before="6"/>
              <w:rPr>
                <w:sz w:val="23"/>
              </w:rPr>
            </w:pPr>
          </w:p>
          <w:p>
            <w:pPr>
              <w:pStyle w:val="TableParagraph"/>
              <w:ind w:left="107"/>
              <w:rPr>
                <w:sz w:val="24"/>
              </w:rPr>
            </w:pPr>
            <w:r>
              <w:rPr>
                <w:sz w:val="24"/>
              </w:rPr>
              <w:t>Division: 275</w:t>
            </w:r>
          </w:p>
        </w:tc>
      </w:tr>
      <w:tr>
        <w:trPr>
          <w:trHeight w:val="1379" w:hRule="atLeast"/>
        </w:trPr>
        <w:tc>
          <w:tcPr>
            <w:tcW w:w="5920" w:type="dxa"/>
            <w:gridSpan w:val="2"/>
            <w:tcBorders>
              <w:left w:val="single" w:sz="4" w:space="0" w:color="000000"/>
              <w:right w:val="single" w:sz="4" w:space="0" w:color="000000"/>
            </w:tcBorders>
          </w:tcPr>
          <w:p>
            <w:pPr>
              <w:pStyle w:val="TableParagraph"/>
              <w:spacing w:before="133"/>
              <w:ind w:left="107"/>
              <w:rPr>
                <w:sz w:val="24"/>
              </w:rPr>
            </w:pPr>
            <w:r>
              <w:rPr>
                <w:sz w:val="24"/>
              </w:rPr>
              <w:t>ABRAMS &amp; ASSOCIATES, LLC</w:t>
            </w:r>
          </w:p>
          <w:p>
            <w:pPr>
              <w:pStyle w:val="TableParagraph"/>
              <w:ind w:left="107"/>
              <w:rPr>
                <w:sz w:val="24"/>
              </w:rPr>
            </w:pPr>
            <w:r>
              <w:rPr>
                <w:sz w:val="24"/>
              </w:rPr>
              <w:t>Robert Abrams</w:t>
            </w:r>
          </w:p>
          <w:p>
            <w:pPr>
              <w:pStyle w:val="TableParagraph"/>
              <w:ind w:left="107"/>
              <w:rPr>
                <w:sz w:val="24"/>
              </w:rPr>
            </w:pPr>
            <w:r>
              <w:rPr>
                <w:sz w:val="24"/>
              </w:rPr>
              <w:t>700 17</w:t>
            </w:r>
            <w:r>
              <w:rPr>
                <w:sz w:val="24"/>
                <w:vertAlign w:val="superscript"/>
              </w:rPr>
              <w:t>th</w:t>
            </w:r>
            <w:r>
              <w:rPr>
                <w:sz w:val="24"/>
                <w:vertAlign w:val="baseline"/>
              </w:rPr>
              <w:t> St., Suite 650</w:t>
            </w:r>
          </w:p>
          <w:p>
            <w:pPr>
              <w:pStyle w:val="TableParagraph"/>
              <w:ind w:left="107"/>
              <w:rPr>
                <w:sz w:val="24"/>
              </w:rPr>
            </w:pPr>
            <w:r>
              <w:rPr>
                <w:sz w:val="24"/>
              </w:rPr>
              <w:t>Denver, CO 80202</w:t>
            </w:r>
          </w:p>
        </w:tc>
        <w:tc>
          <w:tcPr>
            <w:tcW w:w="3420" w:type="dxa"/>
            <w:tcBorders>
              <w:left w:val="single" w:sz="4" w:space="0" w:color="000000"/>
              <w:right w:val="single" w:sz="4" w:space="0" w:color="000000"/>
            </w:tcBorders>
          </w:tcPr>
          <w:p>
            <w:pPr>
              <w:pStyle w:val="TableParagraph"/>
              <w:rPr>
                <w:sz w:val="22"/>
              </w:rPr>
            </w:pPr>
          </w:p>
        </w:tc>
      </w:tr>
      <w:tr>
        <w:trPr>
          <w:trHeight w:val="1239" w:hRule="atLeast"/>
        </w:trPr>
        <w:tc>
          <w:tcPr>
            <w:tcW w:w="5920" w:type="dxa"/>
            <w:gridSpan w:val="2"/>
            <w:tcBorders>
              <w:left w:val="single" w:sz="4" w:space="0" w:color="000000"/>
              <w:bottom w:val="single" w:sz="4" w:space="0" w:color="000000"/>
              <w:right w:val="single" w:sz="4" w:space="0" w:color="000000"/>
            </w:tcBorders>
          </w:tcPr>
          <w:p>
            <w:pPr>
              <w:pStyle w:val="TableParagraph"/>
              <w:spacing w:before="133"/>
              <w:ind w:left="107"/>
              <w:rPr>
                <w:sz w:val="24"/>
              </w:rPr>
            </w:pPr>
            <w:r>
              <w:rPr>
                <w:sz w:val="24"/>
              </w:rPr>
              <w:t>Phone #: (303) 322-4115</w:t>
            </w:r>
          </w:p>
          <w:p>
            <w:pPr>
              <w:pStyle w:val="TableParagraph"/>
              <w:ind w:left="107"/>
              <w:rPr>
                <w:sz w:val="24"/>
              </w:rPr>
            </w:pPr>
            <w:r>
              <w:rPr>
                <w:sz w:val="24"/>
              </w:rPr>
              <w:t>Fax #: (303) 333-0708</w:t>
            </w:r>
          </w:p>
          <w:p>
            <w:pPr>
              <w:pStyle w:val="TableParagraph"/>
              <w:spacing w:line="270" w:lineRule="atLeast"/>
              <w:ind w:left="107" w:right="2589"/>
              <w:rPr>
                <w:sz w:val="24"/>
              </w:rPr>
            </w:pPr>
            <w:r>
              <w:rPr>
                <w:sz w:val="24"/>
              </w:rPr>
              <w:t>E-m</w:t>
            </w:r>
            <w:hyperlink r:id="rId7">
              <w:r>
                <w:rPr>
                  <w:sz w:val="24"/>
                </w:rPr>
                <w:t>ail: Robert@AbramsLaw.net</w:t>
              </w:r>
            </w:hyperlink>
            <w:r>
              <w:rPr>
                <w:sz w:val="24"/>
              </w:rPr>
              <w:t> Atty. Reg. # 37950</w:t>
            </w:r>
          </w:p>
        </w:tc>
        <w:tc>
          <w:tcPr>
            <w:tcW w:w="3420" w:type="dxa"/>
            <w:tcBorders>
              <w:left w:val="single" w:sz="4" w:space="0" w:color="000000"/>
              <w:bottom w:val="single" w:sz="4" w:space="0" w:color="000000"/>
              <w:right w:val="single" w:sz="4" w:space="0" w:color="000000"/>
            </w:tcBorders>
          </w:tcPr>
          <w:p>
            <w:pPr>
              <w:pStyle w:val="TableParagraph"/>
              <w:rPr>
                <w:sz w:val="22"/>
              </w:rPr>
            </w:pPr>
          </w:p>
        </w:tc>
      </w:tr>
      <w:tr>
        <w:trPr>
          <w:trHeight w:val="781" w:hRule="atLeast"/>
        </w:trPr>
        <w:tc>
          <w:tcPr>
            <w:tcW w:w="9340" w:type="dxa"/>
            <w:gridSpan w:val="3"/>
            <w:tcBorders>
              <w:top w:val="single" w:sz="4" w:space="0" w:color="000000"/>
              <w:left w:val="single" w:sz="4" w:space="0" w:color="000000"/>
              <w:bottom w:val="single" w:sz="4" w:space="0" w:color="000000"/>
              <w:right w:val="single" w:sz="4" w:space="0" w:color="000000"/>
            </w:tcBorders>
          </w:tcPr>
          <w:p>
            <w:pPr>
              <w:pStyle w:val="TableParagraph"/>
              <w:spacing w:before="229"/>
              <w:ind w:left="341"/>
              <w:rPr>
                <w:b/>
                <w:sz w:val="24"/>
              </w:rPr>
            </w:pPr>
            <w:r>
              <w:rPr>
                <w:b/>
                <w:sz w:val="24"/>
              </w:rPr>
              <w:t>PLAINTIFFS’ MOTION TO COMPEL DISCOVERY PURSUANT TO C.R.C.P. 37</w:t>
            </w:r>
          </w:p>
        </w:tc>
      </w:tr>
    </w:tbl>
    <w:p>
      <w:pPr>
        <w:pStyle w:val="BodyText"/>
        <w:spacing w:before="8"/>
        <w:rPr>
          <w:sz w:val="16"/>
        </w:rPr>
      </w:pPr>
      <w:r>
        <w:rPr/>
        <w:pict>
          <v:line style="position:absolute;mso-position-horizontal-relative:page;mso-position-vertical-relative:page;z-index:-7288" from="81.419998pt,188.760025pt" to="369.599998pt,188.760025pt" stroked="true" strokeweight=".72pt" strokecolor="#000000">
            <v:stroke dashstyle="solid"/>
            <w10:wrap type="none"/>
          </v:line>
        </w:pict>
      </w:r>
      <w:r>
        <w:rPr/>
        <w:pict>
          <v:shape style="position:absolute;margin-left:383.550293pt;margin-top:269.883423pt;width:10pt;height:10pt;mso-position-horizontal-relative:page;mso-position-vertical-relative:page;z-index:-7264" coordorigin="7671,5398" coordsize="200,200" path="m7771,5398l7671,5598,7871,5598,7771,5398xe" filled="true" fillcolor="#000000" stroked="false">
            <v:path arrowok="t"/>
            <v:fill type="solid"/>
            <w10:wrap type="none"/>
          </v:shape>
        </w:pict>
      </w:r>
      <w:r>
        <w:rPr/>
        <w:pict>
          <v:shape style="position:absolute;margin-left:518.300171pt;margin-top:269.883423pt;width:10pt;height:10pt;mso-position-horizontal-relative:page;mso-position-vertical-relative:page;z-index:-7240" coordorigin="10366,5398" coordsize="200,200" path="m10466,5398l10366,5598,10566,5598,10466,5398xe" filled="true" fillcolor="#000000" stroked="false">
            <v:path arrowok="t"/>
            <v:fill type="solid"/>
            <w10:wrap type="none"/>
          </v:shape>
        </w:pict>
      </w:r>
    </w:p>
    <w:p>
      <w:pPr>
        <w:pStyle w:val="BodyText"/>
        <w:spacing w:before="90"/>
        <w:ind w:left="110" w:right="287" w:firstLine="720"/>
        <w:jc w:val="both"/>
      </w:pPr>
      <w:r>
        <w:rPr/>
        <w:t>COMES NOW, Plaintiffs Robert Abrams and Abrams &amp; Associates, LLC, by their attorneys at Silver Law Firm, LLC and Abrams &amp; Associates, LLC, and hereby file their Motion to Compel Discovery Pursuant to C.R.C.P. 37. In support thereof, Plaintiffs state and allege as follows:</w:t>
      </w:r>
    </w:p>
    <w:p>
      <w:pPr>
        <w:pStyle w:val="BodyText"/>
      </w:pPr>
    </w:p>
    <w:p>
      <w:pPr>
        <w:pStyle w:val="BodyText"/>
        <w:ind w:left="110" w:right="287" w:firstLine="720"/>
        <w:jc w:val="both"/>
      </w:pPr>
      <w:r>
        <w:rPr>
          <w:u w:val="single"/>
        </w:rPr>
        <w:t>C.R.C.P. 121 § 1-15, ¶8 Certification</w:t>
      </w:r>
      <w:r>
        <w:rPr/>
        <w:t>: Plaintiff contacted defense counsel in good faith regarding this Motion. Defendant opposes the relief requested herein.</w:t>
      </w:r>
    </w:p>
    <w:p>
      <w:pPr>
        <w:spacing w:after="0"/>
        <w:jc w:val="both"/>
        <w:sectPr>
          <w:footerReference w:type="default" r:id="rId5"/>
          <w:type w:val="continuous"/>
          <w:pgSz w:w="12240" w:h="16350"/>
          <w:pgMar w:footer="1065" w:top="1520" w:bottom="1260" w:left="1420" w:right="1060"/>
          <w:pgNumType w:start="1"/>
        </w:sectPr>
      </w:pPr>
    </w:p>
    <w:p>
      <w:pPr>
        <w:pStyle w:val="Heading1"/>
        <w:spacing w:before="68"/>
        <w:ind w:left="3855" w:right="3944"/>
        <w:jc w:val="center"/>
        <w:rPr>
          <w:u w:val="none"/>
        </w:rPr>
      </w:pPr>
      <w:r>
        <w:rPr>
          <w:u w:val="thick"/>
        </w:rPr>
        <w:t>INTRODUCTION</w:t>
      </w:r>
    </w:p>
    <w:p>
      <w:pPr>
        <w:pStyle w:val="BodyText"/>
        <w:rPr>
          <w:b/>
          <w:sz w:val="20"/>
        </w:rPr>
      </w:pPr>
    </w:p>
    <w:p>
      <w:pPr>
        <w:pStyle w:val="BodyText"/>
        <w:rPr>
          <w:b/>
          <w:sz w:val="20"/>
        </w:rPr>
      </w:pPr>
    </w:p>
    <w:p>
      <w:pPr>
        <w:pStyle w:val="ListParagraph"/>
        <w:numPr>
          <w:ilvl w:val="0"/>
          <w:numId w:val="1"/>
        </w:numPr>
        <w:tabs>
          <w:tab w:pos="1549" w:val="left" w:leader="none"/>
          <w:tab w:pos="1550" w:val="left" w:leader="none"/>
        </w:tabs>
        <w:spacing w:line="240" w:lineRule="auto" w:before="90" w:after="0"/>
        <w:ind w:left="1550" w:right="0" w:hanging="720"/>
        <w:jc w:val="left"/>
        <w:rPr>
          <w:sz w:val="24"/>
        </w:rPr>
      </w:pPr>
      <w:r>
        <w:rPr>
          <w:sz w:val="24"/>
        </w:rPr>
        <w:t>This</w:t>
      </w:r>
      <w:r>
        <w:rPr>
          <w:spacing w:val="25"/>
          <w:sz w:val="24"/>
        </w:rPr>
        <w:t> </w:t>
      </w:r>
      <w:r>
        <w:rPr>
          <w:sz w:val="24"/>
        </w:rPr>
        <w:t>case</w:t>
      </w:r>
      <w:r>
        <w:rPr>
          <w:spacing w:val="24"/>
          <w:sz w:val="24"/>
        </w:rPr>
        <w:t> </w:t>
      </w:r>
      <w:r>
        <w:rPr>
          <w:sz w:val="24"/>
        </w:rPr>
        <w:t>stems</w:t>
      </w:r>
      <w:r>
        <w:rPr>
          <w:spacing w:val="27"/>
          <w:sz w:val="24"/>
        </w:rPr>
        <w:t> </w:t>
      </w:r>
      <w:r>
        <w:rPr>
          <w:sz w:val="24"/>
        </w:rPr>
        <w:t>from</w:t>
      </w:r>
      <w:r>
        <w:rPr>
          <w:spacing w:val="23"/>
          <w:sz w:val="24"/>
        </w:rPr>
        <w:t> </w:t>
      </w:r>
      <w:r>
        <w:rPr>
          <w:sz w:val="24"/>
        </w:rPr>
        <w:t>a</w:t>
      </w:r>
      <w:r>
        <w:rPr>
          <w:spacing w:val="26"/>
          <w:sz w:val="24"/>
        </w:rPr>
        <w:t> </w:t>
      </w:r>
      <w:r>
        <w:rPr>
          <w:sz w:val="24"/>
        </w:rPr>
        <w:t>fight</w:t>
      </w:r>
      <w:r>
        <w:rPr>
          <w:spacing w:val="26"/>
          <w:sz w:val="24"/>
        </w:rPr>
        <w:t> </w:t>
      </w:r>
      <w:r>
        <w:rPr>
          <w:sz w:val="24"/>
        </w:rPr>
        <w:t>between</w:t>
      </w:r>
      <w:r>
        <w:rPr>
          <w:spacing w:val="25"/>
          <w:sz w:val="24"/>
        </w:rPr>
        <w:t> </w:t>
      </w:r>
      <w:r>
        <w:rPr>
          <w:sz w:val="24"/>
        </w:rPr>
        <w:t>the</w:t>
      </w:r>
      <w:r>
        <w:rPr>
          <w:spacing w:val="25"/>
          <w:sz w:val="24"/>
        </w:rPr>
        <w:t> </w:t>
      </w:r>
      <w:r>
        <w:rPr>
          <w:sz w:val="24"/>
        </w:rPr>
        <w:t>parties</w:t>
      </w:r>
      <w:r>
        <w:rPr>
          <w:spacing w:val="25"/>
          <w:sz w:val="24"/>
        </w:rPr>
        <w:t> </w:t>
      </w:r>
      <w:r>
        <w:rPr>
          <w:sz w:val="24"/>
        </w:rPr>
        <w:t>that</w:t>
      </w:r>
      <w:r>
        <w:rPr>
          <w:spacing w:val="25"/>
          <w:sz w:val="24"/>
        </w:rPr>
        <w:t> </w:t>
      </w:r>
      <w:r>
        <w:rPr>
          <w:sz w:val="24"/>
        </w:rPr>
        <w:t>occurred</w:t>
      </w:r>
      <w:r>
        <w:rPr>
          <w:spacing w:val="25"/>
          <w:sz w:val="24"/>
        </w:rPr>
        <w:t> </w:t>
      </w:r>
      <w:r>
        <w:rPr>
          <w:sz w:val="24"/>
        </w:rPr>
        <w:t>in</w:t>
      </w:r>
      <w:r>
        <w:rPr>
          <w:spacing w:val="26"/>
          <w:sz w:val="24"/>
        </w:rPr>
        <w:t> </w:t>
      </w:r>
      <w:r>
        <w:rPr>
          <w:sz w:val="24"/>
        </w:rPr>
        <w:t>May</w:t>
      </w:r>
      <w:r>
        <w:rPr>
          <w:spacing w:val="24"/>
          <w:sz w:val="24"/>
        </w:rPr>
        <w:t> </w:t>
      </w:r>
      <w:r>
        <w:rPr>
          <w:sz w:val="24"/>
        </w:rPr>
        <w:t>of</w:t>
      </w:r>
      <w:r>
        <w:rPr>
          <w:spacing w:val="25"/>
          <w:sz w:val="24"/>
        </w:rPr>
        <w:t> </w:t>
      </w:r>
      <w:r>
        <w:rPr>
          <w:sz w:val="24"/>
        </w:rPr>
        <w:t>2015.</w:t>
      </w:r>
    </w:p>
    <w:p>
      <w:pPr>
        <w:pStyle w:val="BodyText"/>
      </w:pPr>
    </w:p>
    <w:p>
      <w:pPr>
        <w:pStyle w:val="BodyText"/>
        <w:spacing w:line="480" w:lineRule="auto"/>
        <w:ind w:left="110" w:right="289"/>
        <w:jc w:val="both"/>
      </w:pPr>
      <w:r>
        <w:rPr/>
        <w:t>Defendant alleges he is the victim of battery and sustained injuries to his shoulder and back in the fight. Plaintiff denies defendant is the victim and asserts defendant followed plaintiff into plaintiff’s parking garage and attacked him from</w:t>
      </w:r>
      <w:r>
        <w:rPr>
          <w:spacing w:val="-3"/>
        </w:rPr>
        <w:t> </w:t>
      </w:r>
      <w:r>
        <w:rPr/>
        <w:t>behind.</w:t>
      </w:r>
    </w:p>
    <w:p>
      <w:pPr>
        <w:pStyle w:val="ListParagraph"/>
        <w:numPr>
          <w:ilvl w:val="0"/>
          <w:numId w:val="1"/>
        </w:numPr>
        <w:tabs>
          <w:tab w:pos="1550" w:val="left" w:leader="none"/>
        </w:tabs>
        <w:spacing w:line="480" w:lineRule="auto" w:before="0" w:after="0"/>
        <w:ind w:left="110" w:right="287" w:firstLine="720"/>
        <w:jc w:val="both"/>
        <w:rPr>
          <w:sz w:val="24"/>
        </w:rPr>
      </w:pPr>
      <w:r>
        <w:rPr>
          <w:sz w:val="24"/>
        </w:rPr>
        <w:t>Plaintiff was defendant’s prior counsel in a case defendant brought against Denver Health in 2012. In that case, defendant alleged he received the exact same back injuries as this case, at the hands of Denver Health and had surgery thereto. Defendant has a long history of back injuries, including at least two prior surgeries before the May 2015 incident. Further, defendant’s current doctor states, “patient has a long history of shoulder pain.” Accordingly, defendant’s pre-existing conditions are relevant to this</w:t>
      </w:r>
      <w:r>
        <w:rPr>
          <w:spacing w:val="-5"/>
          <w:sz w:val="24"/>
        </w:rPr>
        <w:t> </w:t>
      </w:r>
      <w:r>
        <w:rPr>
          <w:sz w:val="24"/>
        </w:rPr>
        <w:t>proceeding.</w:t>
      </w:r>
    </w:p>
    <w:p>
      <w:pPr>
        <w:pStyle w:val="ListParagraph"/>
        <w:numPr>
          <w:ilvl w:val="0"/>
          <w:numId w:val="1"/>
        </w:numPr>
        <w:tabs>
          <w:tab w:pos="1550" w:val="left" w:leader="none"/>
        </w:tabs>
        <w:spacing w:line="480" w:lineRule="auto" w:before="1" w:after="0"/>
        <w:ind w:left="110" w:right="287" w:firstLine="720"/>
        <w:jc w:val="both"/>
        <w:rPr>
          <w:sz w:val="24"/>
        </w:rPr>
      </w:pPr>
      <w:r>
        <w:rPr>
          <w:sz w:val="24"/>
        </w:rPr>
        <w:t>On January 12, 2017, Plaintiffs served their first set of written discovery on Defendant. Defendant’s deadline to answer was February 16, 2017. The non-pattern interrogatories and RFP’s are reasonable and would lead to relevant admissible evidence.  </w:t>
      </w:r>
      <w:r>
        <w:rPr>
          <w:i/>
          <w:sz w:val="24"/>
        </w:rPr>
        <w:t>Exhibit 2. </w:t>
      </w:r>
      <w:r>
        <w:rPr>
          <w:sz w:val="24"/>
        </w:rPr>
        <w:t>To date, Defendant failed to adequately answer said discovery</w:t>
      </w:r>
      <w:r>
        <w:rPr>
          <w:spacing w:val="-8"/>
          <w:sz w:val="24"/>
        </w:rPr>
        <w:t> </w:t>
      </w:r>
      <w:r>
        <w:rPr>
          <w:sz w:val="24"/>
        </w:rPr>
        <w:t>requests.</w:t>
      </w:r>
    </w:p>
    <w:p>
      <w:pPr>
        <w:pStyle w:val="ListParagraph"/>
        <w:numPr>
          <w:ilvl w:val="0"/>
          <w:numId w:val="1"/>
        </w:numPr>
        <w:tabs>
          <w:tab w:pos="1550" w:val="left" w:leader="none"/>
        </w:tabs>
        <w:spacing w:line="480" w:lineRule="auto" w:before="0" w:after="0"/>
        <w:ind w:left="110" w:right="287" w:firstLine="720"/>
        <w:jc w:val="both"/>
        <w:rPr>
          <w:sz w:val="24"/>
        </w:rPr>
      </w:pPr>
      <w:r>
        <w:rPr>
          <w:sz w:val="24"/>
        </w:rPr>
        <w:t>On February 22, 2017, both counsel discussed this issue and opposing counsel assured plaintiffs that 100% of all discovery would be produced by close of business, Friday, February 24, 2017. </w:t>
      </w:r>
      <w:r>
        <w:rPr>
          <w:i/>
          <w:sz w:val="24"/>
        </w:rPr>
        <w:t>Exhibit 1. </w:t>
      </w:r>
      <w:r>
        <w:rPr>
          <w:sz w:val="24"/>
        </w:rPr>
        <w:t>Such has not</w:t>
      </w:r>
      <w:r>
        <w:rPr>
          <w:spacing w:val="-5"/>
          <w:sz w:val="24"/>
        </w:rPr>
        <w:t> </w:t>
      </w:r>
      <w:r>
        <w:rPr>
          <w:sz w:val="24"/>
        </w:rPr>
        <w:t>occurred.</w:t>
      </w:r>
    </w:p>
    <w:p>
      <w:pPr>
        <w:pStyle w:val="ListParagraph"/>
        <w:numPr>
          <w:ilvl w:val="0"/>
          <w:numId w:val="1"/>
        </w:numPr>
        <w:tabs>
          <w:tab w:pos="1550" w:val="left" w:leader="none"/>
        </w:tabs>
        <w:spacing w:line="480" w:lineRule="auto" w:before="0" w:after="0"/>
        <w:ind w:left="110" w:right="289" w:firstLine="720"/>
        <w:jc w:val="both"/>
        <w:rPr>
          <w:sz w:val="24"/>
        </w:rPr>
      </w:pPr>
      <w:r>
        <w:rPr>
          <w:sz w:val="24"/>
        </w:rPr>
        <w:t>On or about February 28, 2017, Plaintiffs sent Defendant’s counsel a letter detailing deficiencies in Defendant’s response and allowed until March 3, 2017 to correct same. </w:t>
      </w:r>
      <w:r>
        <w:rPr>
          <w:i/>
          <w:sz w:val="24"/>
        </w:rPr>
        <w:t>Exhibit 3. </w:t>
      </w:r>
      <w:r>
        <w:rPr>
          <w:sz w:val="24"/>
        </w:rPr>
        <w:t>To date, Plaintiffs have received no response</w:t>
      </w:r>
      <w:r>
        <w:rPr>
          <w:spacing w:val="-4"/>
          <w:sz w:val="24"/>
        </w:rPr>
        <w:t> </w:t>
      </w:r>
      <w:r>
        <w:rPr>
          <w:sz w:val="24"/>
        </w:rPr>
        <w:t>thereto.</w:t>
      </w:r>
    </w:p>
    <w:p>
      <w:pPr>
        <w:pStyle w:val="ListParagraph"/>
        <w:numPr>
          <w:ilvl w:val="0"/>
          <w:numId w:val="1"/>
        </w:numPr>
        <w:tabs>
          <w:tab w:pos="1550" w:val="left" w:leader="none"/>
        </w:tabs>
        <w:spacing w:line="480" w:lineRule="auto" w:before="0" w:after="0"/>
        <w:ind w:left="110" w:right="288" w:firstLine="720"/>
        <w:jc w:val="both"/>
        <w:rPr>
          <w:sz w:val="24"/>
        </w:rPr>
      </w:pPr>
      <w:r>
        <w:rPr>
          <w:sz w:val="24"/>
        </w:rPr>
        <w:t>Plaintiffs respectfully request this Court enter an order compelling Defendant’s production, as well as sanctions, as requested</w:t>
      </w:r>
      <w:r>
        <w:rPr>
          <w:spacing w:val="-6"/>
          <w:sz w:val="24"/>
        </w:rPr>
        <w:t> </w:t>
      </w:r>
      <w:r>
        <w:rPr>
          <w:sz w:val="24"/>
        </w:rPr>
        <w:t>herein.</w:t>
      </w:r>
    </w:p>
    <w:p>
      <w:pPr>
        <w:spacing w:after="0" w:line="480" w:lineRule="auto"/>
        <w:jc w:val="both"/>
        <w:rPr>
          <w:sz w:val="24"/>
        </w:rPr>
        <w:sectPr>
          <w:pgSz w:w="12240" w:h="16350"/>
          <w:pgMar w:header="0" w:footer="1065" w:top="1460" w:bottom="1260" w:left="1420" w:right="1060"/>
        </w:sectPr>
      </w:pPr>
    </w:p>
    <w:p>
      <w:pPr>
        <w:pStyle w:val="Heading1"/>
        <w:spacing w:before="68"/>
        <w:ind w:left="3599"/>
        <w:rPr>
          <w:u w:val="none"/>
        </w:rPr>
      </w:pPr>
      <w:r>
        <w:rPr>
          <w:u w:val="thick"/>
        </w:rPr>
        <w:t>LEGAL AUTHORITY</w:t>
      </w:r>
    </w:p>
    <w:p>
      <w:pPr>
        <w:pStyle w:val="ListParagraph"/>
        <w:numPr>
          <w:ilvl w:val="0"/>
          <w:numId w:val="1"/>
        </w:numPr>
        <w:tabs>
          <w:tab w:pos="1549" w:val="left" w:leader="none"/>
          <w:tab w:pos="1550" w:val="left" w:leader="none"/>
        </w:tabs>
        <w:spacing w:line="480" w:lineRule="auto" w:before="136" w:after="0"/>
        <w:ind w:left="110" w:right="391" w:firstLine="720"/>
        <w:jc w:val="left"/>
        <w:rPr>
          <w:sz w:val="24"/>
        </w:rPr>
      </w:pPr>
      <w:r>
        <w:rPr>
          <w:sz w:val="24"/>
        </w:rPr>
        <w:t>CR.C.P. 37(a)(2)(B) provides that motions to compel are appropriate where a party fails to timely answer discovery and grants the Court its authority to order same.</w:t>
      </w:r>
      <w:r>
        <w:rPr>
          <w:spacing w:val="36"/>
          <w:sz w:val="24"/>
        </w:rPr>
        <w:t> </w:t>
      </w:r>
      <w:r>
        <w:rPr>
          <w:sz w:val="24"/>
        </w:rPr>
        <w:t>“[U]nder</w:t>
      </w:r>
    </w:p>
    <w:p>
      <w:pPr>
        <w:pStyle w:val="BodyText"/>
        <w:ind w:left="110"/>
      </w:pPr>
      <w:r>
        <w:rPr/>
        <w:t>C.R.C.P. 37(c), a trial court has a </w:t>
      </w:r>
      <w:r>
        <w:rPr>
          <w:u w:val="single"/>
        </w:rPr>
        <w:t>duty</w:t>
      </w:r>
      <w:r>
        <w:rPr/>
        <w:t> to sanction a party for failure to comply with certain</w:t>
      </w:r>
    </w:p>
    <w:p>
      <w:pPr>
        <w:pStyle w:val="BodyText"/>
        <w:spacing w:before="2"/>
        <w:rPr>
          <w:sz w:val="16"/>
        </w:rPr>
      </w:pPr>
    </w:p>
    <w:p>
      <w:pPr>
        <w:spacing w:line="480" w:lineRule="auto" w:before="90"/>
        <w:ind w:left="109" w:right="460" w:firstLine="0"/>
        <w:jc w:val="left"/>
        <w:rPr>
          <w:sz w:val="24"/>
        </w:rPr>
      </w:pPr>
      <w:r>
        <w:rPr>
          <w:sz w:val="24"/>
        </w:rPr>
        <w:t>discovery deadlines by precluding evidence or witnesses, </w:t>
      </w:r>
      <w:r>
        <w:rPr>
          <w:i/>
          <w:sz w:val="24"/>
        </w:rPr>
        <w:t>unless </w:t>
      </w:r>
      <w:r>
        <w:rPr>
          <w:sz w:val="24"/>
        </w:rPr>
        <w:t>the party’s failure to comply is </w:t>
      </w:r>
      <w:r>
        <w:rPr>
          <w:i/>
          <w:sz w:val="24"/>
        </w:rPr>
        <w:t>either </w:t>
      </w:r>
      <w:r>
        <w:rPr>
          <w:sz w:val="24"/>
        </w:rPr>
        <w:t>substantially justified </w:t>
      </w:r>
      <w:r>
        <w:rPr>
          <w:i/>
          <w:sz w:val="24"/>
        </w:rPr>
        <w:t>or </w:t>
      </w:r>
      <w:r>
        <w:rPr>
          <w:sz w:val="24"/>
        </w:rPr>
        <w:t>harmless.” </w:t>
      </w:r>
      <w:r>
        <w:rPr>
          <w:i/>
          <w:sz w:val="24"/>
        </w:rPr>
        <w:t>Todd v. Bear Valley Village Apartments, </w:t>
      </w:r>
      <w:r>
        <w:rPr>
          <w:sz w:val="24"/>
        </w:rPr>
        <w:t>980 P.2d 973, 975 (Colo. 1999).</w:t>
      </w:r>
    </w:p>
    <w:p>
      <w:pPr>
        <w:pStyle w:val="ListParagraph"/>
        <w:numPr>
          <w:ilvl w:val="0"/>
          <w:numId w:val="1"/>
        </w:numPr>
        <w:tabs>
          <w:tab w:pos="1550" w:val="left" w:leader="none"/>
        </w:tabs>
        <w:spacing w:line="480" w:lineRule="auto" w:before="0" w:after="0"/>
        <w:ind w:left="110" w:right="288" w:firstLine="720"/>
        <w:jc w:val="both"/>
        <w:rPr>
          <w:sz w:val="24"/>
        </w:rPr>
      </w:pPr>
      <w:r>
        <w:rPr>
          <w:sz w:val="24"/>
        </w:rPr>
        <w:t>C.R.C.P. 37(c) and (d) mandate the Court’s award of reasonable expenses incurred in making the motion to compel, including attorney’s fees, in addition to compelling the discovery.</w:t>
      </w:r>
    </w:p>
    <w:p>
      <w:pPr>
        <w:pStyle w:val="ListParagraph"/>
        <w:numPr>
          <w:ilvl w:val="0"/>
          <w:numId w:val="1"/>
        </w:numPr>
        <w:tabs>
          <w:tab w:pos="1550" w:val="left" w:leader="none"/>
        </w:tabs>
        <w:spacing w:line="480" w:lineRule="auto" w:before="0" w:after="0"/>
        <w:ind w:left="110" w:right="286" w:firstLine="720"/>
        <w:jc w:val="both"/>
        <w:rPr>
          <w:sz w:val="24"/>
        </w:rPr>
      </w:pPr>
      <w:r>
        <w:rPr>
          <w:sz w:val="24"/>
        </w:rPr>
        <w:t>C.R.C.P. 37(d) states that when a party fails to answer discovery, the Court may make any order as is “just,” including ordering that the disobedient party be prohibited from supporting or opposing related claims or defenses, the pleadings or portions thereof be stricken, or the action be dismissed against the disobedient</w:t>
      </w:r>
      <w:r>
        <w:rPr>
          <w:spacing w:val="-5"/>
          <w:sz w:val="24"/>
        </w:rPr>
        <w:t> </w:t>
      </w:r>
      <w:r>
        <w:rPr>
          <w:sz w:val="24"/>
        </w:rPr>
        <w:t>party.</w:t>
      </w:r>
    </w:p>
    <w:p>
      <w:pPr>
        <w:pStyle w:val="ListParagraph"/>
        <w:numPr>
          <w:ilvl w:val="0"/>
          <w:numId w:val="1"/>
        </w:numPr>
        <w:tabs>
          <w:tab w:pos="1550" w:val="left" w:leader="none"/>
        </w:tabs>
        <w:spacing w:line="480" w:lineRule="auto" w:before="0" w:after="0"/>
        <w:ind w:left="110" w:right="287" w:firstLine="720"/>
        <w:jc w:val="both"/>
        <w:rPr>
          <w:sz w:val="24"/>
        </w:rPr>
      </w:pPr>
      <w:r>
        <w:rPr>
          <w:sz w:val="24"/>
        </w:rPr>
        <w:t>C.R.C.P. 6, allows a party to request an extension from the court to expand or contract a Rules deadline. Defendant’s counsel has no such request, regarding discovery, currently pending before the court. As such, his deadline is missed, discovery is not produced and the court should grant remedies under Rule</w:t>
      </w:r>
      <w:r>
        <w:rPr>
          <w:spacing w:val="-3"/>
          <w:sz w:val="24"/>
        </w:rPr>
        <w:t> </w:t>
      </w:r>
      <w:r>
        <w:rPr>
          <w:sz w:val="24"/>
        </w:rPr>
        <w:t>37.</w:t>
      </w:r>
    </w:p>
    <w:p>
      <w:pPr>
        <w:pStyle w:val="Heading1"/>
        <w:spacing w:before="2"/>
        <w:ind w:left="4076"/>
        <w:rPr>
          <w:u w:val="none"/>
        </w:rPr>
      </w:pPr>
      <w:r>
        <w:rPr>
          <w:u w:val="thick"/>
        </w:rPr>
        <w:t>ARGUMENT</w:t>
      </w:r>
    </w:p>
    <w:p>
      <w:pPr>
        <w:pStyle w:val="ListParagraph"/>
        <w:numPr>
          <w:ilvl w:val="0"/>
          <w:numId w:val="1"/>
        </w:numPr>
        <w:tabs>
          <w:tab w:pos="1550" w:val="left" w:leader="none"/>
        </w:tabs>
        <w:spacing w:line="480" w:lineRule="auto" w:before="136" w:after="0"/>
        <w:ind w:left="110" w:right="289" w:firstLine="720"/>
        <w:jc w:val="both"/>
        <w:rPr>
          <w:sz w:val="24"/>
        </w:rPr>
      </w:pPr>
      <w:r>
        <w:rPr>
          <w:sz w:val="24"/>
        </w:rPr>
        <w:t>Defendant’s deadline to answer Plaintiffs’ discovery requests was February 16, 2017. To date, Defendant has failed to answer said discovery</w:t>
      </w:r>
      <w:r>
        <w:rPr>
          <w:spacing w:val="-6"/>
          <w:sz w:val="24"/>
        </w:rPr>
        <w:t> </w:t>
      </w:r>
      <w:r>
        <w:rPr>
          <w:sz w:val="24"/>
        </w:rPr>
        <w:t>requests.</w:t>
      </w:r>
    </w:p>
    <w:p>
      <w:pPr>
        <w:pStyle w:val="ListParagraph"/>
        <w:numPr>
          <w:ilvl w:val="0"/>
          <w:numId w:val="1"/>
        </w:numPr>
        <w:tabs>
          <w:tab w:pos="1610" w:val="left" w:leader="none"/>
        </w:tabs>
        <w:spacing w:line="480" w:lineRule="auto" w:before="0" w:after="0"/>
        <w:ind w:left="110" w:right="287" w:firstLine="720"/>
        <w:jc w:val="both"/>
        <w:rPr>
          <w:sz w:val="24"/>
        </w:rPr>
      </w:pPr>
      <w:r>
        <w:rPr>
          <w:sz w:val="24"/>
        </w:rPr>
        <w:t>Opposing counsel never discussed with plaintiffs, defendant’s discovery would be late, nor inquired of plaintiffs’ position on the matter. Simply, no discovery was timely produced. Plaintiffs believe there is no substantially justified or harmless reason for Defendant’s failure to timely disclose the requested discovery. For these reasons, the Court should exercise</w:t>
      </w:r>
      <w:r>
        <w:rPr>
          <w:spacing w:val="-9"/>
          <w:sz w:val="24"/>
        </w:rPr>
        <w:t> </w:t>
      </w:r>
      <w:r>
        <w:rPr>
          <w:sz w:val="24"/>
        </w:rPr>
        <w:t>its</w:t>
      </w:r>
    </w:p>
    <w:p>
      <w:pPr>
        <w:spacing w:after="0" w:line="480" w:lineRule="auto"/>
        <w:jc w:val="both"/>
        <w:rPr>
          <w:sz w:val="24"/>
        </w:rPr>
        <w:sectPr>
          <w:pgSz w:w="12240" w:h="16350"/>
          <w:pgMar w:header="0" w:footer="1065" w:top="1460" w:bottom="1260" w:left="1420" w:right="1060"/>
        </w:sectPr>
      </w:pPr>
    </w:p>
    <w:p>
      <w:pPr>
        <w:pStyle w:val="BodyText"/>
        <w:spacing w:before="66"/>
        <w:ind w:left="110"/>
      </w:pPr>
      <w:r>
        <w:rPr/>
        <w:t>duty to compel Defendant’s answers and sanction Defendant pursuant to C.R.C.P. 37.</w:t>
      </w:r>
    </w:p>
    <w:p>
      <w:pPr>
        <w:pStyle w:val="BodyText"/>
      </w:pPr>
    </w:p>
    <w:p>
      <w:pPr>
        <w:pStyle w:val="ListParagraph"/>
        <w:numPr>
          <w:ilvl w:val="0"/>
          <w:numId w:val="1"/>
        </w:numPr>
        <w:tabs>
          <w:tab w:pos="1550" w:val="left" w:leader="none"/>
        </w:tabs>
        <w:spacing w:line="480" w:lineRule="auto" w:before="0" w:after="0"/>
        <w:ind w:left="110" w:right="287" w:firstLine="720"/>
        <w:jc w:val="both"/>
        <w:rPr>
          <w:sz w:val="24"/>
        </w:rPr>
      </w:pPr>
      <w:r>
        <w:rPr>
          <w:sz w:val="24"/>
        </w:rPr>
        <w:t>The Court set Plaintiffs’ deadline to obtain and disclose an expert witness for February 28, 2017. </w:t>
      </w:r>
      <w:r>
        <w:rPr>
          <w:i/>
          <w:sz w:val="24"/>
        </w:rPr>
        <w:t>See Court’s Order, filed January 31, 2017. </w:t>
      </w:r>
      <w:r>
        <w:rPr>
          <w:sz w:val="24"/>
        </w:rPr>
        <w:t>However, Plaintiffs’ choice of expert and need therefor is dependent upon the answers to Plaintiffs’ discovery</w:t>
      </w:r>
      <w:r>
        <w:rPr>
          <w:spacing w:val="-12"/>
          <w:sz w:val="24"/>
        </w:rPr>
        <w:t> </w:t>
      </w:r>
      <w:r>
        <w:rPr>
          <w:sz w:val="24"/>
        </w:rPr>
        <w:t>requests.</w:t>
      </w:r>
    </w:p>
    <w:p>
      <w:pPr>
        <w:pStyle w:val="ListParagraph"/>
        <w:numPr>
          <w:ilvl w:val="0"/>
          <w:numId w:val="1"/>
        </w:numPr>
        <w:tabs>
          <w:tab w:pos="1550" w:val="left" w:leader="none"/>
        </w:tabs>
        <w:spacing w:line="480" w:lineRule="auto" w:before="0" w:after="0"/>
        <w:ind w:left="110" w:right="286" w:firstLine="720"/>
        <w:jc w:val="both"/>
        <w:rPr>
          <w:sz w:val="24"/>
        </w:rPr>
      </w:pPr>
      <w:r>
        <w:rPr>
          <w:sz w:val="24"/>
        </w:rPr>
        <w:t>The Court granted Defendant expanded discovery that forced Plaintiffs to serve discovery and potentially the need to disclose an expert. Defendant’s refusal to answer discovery means Plaintiffs are unable to determine whether or what sort of an expert is necessary. Therefore, plaintiffs’ have no medical records of defendant’s pre-existing conditions, from which plaintiffs’ expert could give his opinion. Accordingly plaintiffs are</w:t>
      </w:r>
      <w:r>
        <w:rPr>
          <w:spacing w:val="-7"/>
          <w:sz w:val="24"/>
        </w:rPr>
        <w:t> </w:t>
      </w:r>
      <w:r>
        <w:rPr>
          <w:sz w:val="24"/>
        </w:rPr>
        <w:t>prejudiced.</w:t>
      </w:r>
    </w:p>
    <w:p>
      <w:pPr>
        <w:pStyle w:val="ListParagraph"/>
        <w:numPr>
          <w:ilvl w:val="0"/>
          <w:numId w:val="1"/>
        </w:numPr>
        <w:tabs>
          <w:tab w:pos="1610" w:val="left" w:leader="none"/>
        </w:tabs>
        <w:spacing w:line="480" w:lineRule="auto" w:before="0" w:after="0"/>
        <w:ind w:left="110" w:right="286" w:firstLine="720"/>
        <w:jc w:val="both"/>
        <w:rPr>
          <w:sz w:val="24"/>
        </w:rPr>
      </w:pPr>
      <w:r>
        <w:rPr>
          <w:sz w:val="24"/>
        </w:rPr>
        <w:t>Plaintiffs respectfully request this Court enter an order compelling Defendant’s answers to ALL Plaintiffs’ first set of written discovery within 5 days of its order, extending Plaintiffs’ deadline to disclose an expert until 30 days after said production occurs, and granting sanctions including reasonable attorney’s fees and costs for this Motion to Compel, and for any other relief the Court deems just and proper under the</w:t>
      </w:r>
      <w:r>
        <w:rPr>
          <w:spacing w:val="-3"/>
          <w:sz w:val="24"/>
        </w:rPr>
        <w:t> </w:t>
      </w:r>
      <w:r>
        <w:rPr>
          <w:sz w:val="24"/>
        </w:rPr>
        <w:t>circumstances.</w:t>
      </w:r>
    </w:p>
    <w:p>
      <w:pPr>
        <w:pStyle w:val="BodyText"/>
        <w:spacing w:before="2"/>
      </w:pPr>
    </w:p>
    <w:p>
      <w:pPr>
        <w:pStyle w:val="Heading1"/>
        <w:ind w:left="3767" w:right="3944"/>
        <w:jc w:val="center"/>
        <w:rPr>
          <w:u w:val="none"/>
        </w:rPr>
      </w:pPr>
      <w:r>
        <w:rPr>
          <w:u w:val="thick"/>
        </w:rPr>
        <w:t>CONCLUSION</w:t>
      </w:r>
    </w:p>
    <w:p>
      <w:pPr>
        <w:pStyle w:val="BodyText"/>
        <w:rPr>
          <w:b/>
          <w:sz w:val="16"/>
        </w:rPr>
      </w:pPr>
    </w:p>
    <w:p>
      <w:pPr>
        <w:pStyle w:val="BodyText"/>
        <w:spacing w:line="480" w:lineRule="auto" w:before="90"/>
        <w:ind w:left="109" w:right="519" w:firstLine="720"/>
      </w:pPr>
      <w:r>
        <w:rPr/>
        <w:t>Defendant has a long history of back and shoulder injuries (pre-existing conditions), all of which he failed to disclose in this matter. Plaintiffs, with prior knowledge of these injuries, requested proper discovery from defendant, which has not been answered, nor objected to; accordingly, plaintiffs are prejudiced in this matter and seek relief under C.R.C.P 37.</w:t>
      </w:r>
    </w:p>
    <w:p>
      <w:pPr>
        <w:pStyle w:val="BodyText"/>
        <w:spacing w:line="480" w:lineRule="auto"/>
        <w:ind w:left="109" w:right="288" w:firstLine="720"/>
        <w:jc w:val="both"/>
      </w:pPr>
      <w:r>
        <w:rPr/>
        <w:t>WHEREFORE Plaintiffs respectfully request the Court enter an order compelling Defendant’s answers and for sanctions and/or attorney fees, as pled herein, and for such further relief as the Court deems just and proper.</w:t>
      </w:r>
    </w:p>
    <w:p>
      <w:pPr>
        <w:pStyle w:val="BodyText"/>
      </w:pPr>
    </w:p>
    <w:p>
      <w:pPr>
        <w:pStyle w:val="BodyText"/>
        <w:ind w:left="1549"/>
      </w:pPr>
      <w:r>
        <w:rPr/>
        <w:t>RESPECTFULLY SUBMITTED this 6</w:t>
      </w:r>
      <w:r>
        <w:rPr>
          <w:vertAlign w:val="superscript"/>
        </w:rPr>
        <w:t>th</w:t>
      </w:r>
      <w:r>
        <w:rPr>
          <w:vertAlign w:val="baseline"/>
        </w:rPr>
        <w:t> day of March, 2017.</w:t>
      </w:r>
    </w:p>
    <w:p>
      <w:pPr>
        <w:spacing w:after="0"/>
        <w:sectPr>
          <w:pgSz w:w="12240" w:h="16350"/>
          <w:pgMar w:header="0" w:footer="1065" w:top="1460" w:bottom="1260" w:left="1420" w:right="1060"/>
        </w:sectPr>
      </w:pPr>
    </w:p>
    <w:p>
      <w:pPr>
        <w:pStyle w:val="BodyText"/>
        <w:rPr>
          <w:sz w:val="20"/>
        </w:rPr>
      </w:pPr>
    </w:p>
    <w:p>
      <w:pPr>
        <w:pStyle w:val="BodyText"/>
        <w:spacing w:before="3"/>
        <w:rPr>
          <w:sz w:val="17"/>
        </w:rPr>
      </w:pPr>
    </w:p>
    <w:p>
      <w:pPr>
        <w:pStyle w:val="BodyText"/>
        <w:spacing w:before="90"/>
        <w:ind w:left="5150"/>
      </w:pPr>
      <w:r>
        <w:rPr/>
        <w:t>SILVER LAW FIRM, LLC</w:t>
      </w:r>
    </w:p>
    <w:p>
      <w:pPr>
        <w:pStyle w:val="BodyText"/>
        <w:spacing w:before="1"/>
      </w:pPr>
    </w:p>
    <w:p>
      <w:pPr>
        <w:tabs>
          <w:tab w:pos="8029" w:val="left" w:leader="none"/>
        </w:tabs>
        <w:spacing w:line="275" w:lineRule="exact" w:before="0"/>
        <w:ind w:left="5150" w:right="0" w:firstLine="0"/>
        <w:jc w:val="left"/>
        <w:rPr>
          <w:i/>
          <w:sz w:val="24"/>
        </w:rPr>
      </w:pPr>
      <w:r>
        <w:rPr>
          <w:i/>
          <w:sz w:val="24"/>
          <w:u w:val="single"/>
        </w:rPr>
        <w:t>/s/ Nathan</w:t>
      </w:r>
      <w:r>
        <w:rPr>
          <w:i/>
          <w:spacing w:val="-5"/>
          <w:sz w:val="24"/>
          <w:u w:val="single"/>
        </w:rPr>
        <w:t> </w:t>
      </w:r>
      <w:r>
        <w:rPr>
          <w:i/>
          <w:sz w:val="24"/>
          <w:u w:val="single"/>
        </w:rPr>
        <w:t>Silver</w:t>
        <w:tab/>
      </w:r>
    </w:p>
    <w:p>
      <w:pPr>
        <w:pStyle w:val="BodyText"/>
        <w:spacing w:line="275" w:lineRule="exact"/>
        <w:ind w:left="5150"/>
      </w:pPr>
      <w:r>
        <w:rPr/>
        <w:t>Nathan Silver, Attorney at Law</w:t>
      </w:r>
    </w:p>
    <w:p>
      <w:pPr>
        <w:pStyle w:val="BodyText"/>
        <w:spacing w:before="2"/>
      </w:pPr>
    </w:p>
    <w:p>
      <w:pPr>
        <w:spacing w:before="0"/>
        <w:ind w:left="5150" w:right="483" w:firstLine="0"/>
        <w:jc w:val="left"/>
        <w:rPr>
          <w:i/>
          <w:sz w:val="22"/>
        </w:rPr>
      </w:pPr>
      <w:r>
        <w:rPr>
          <w:i/>
          <w:sz w:val="22"/>
        </w:rPr>
        <w:t>(Original signature on file at Silver Law Firm, </w:t>
      </w:r>
      <w:r>
        <w:rPr>
          <w:i/>
          <w:sz w:val="22"/>
        </w:rPr>
        <w:t>LLC, pursuant to C.R.C.P. 121 § 1-26)</w:t>
      </w:r>
    </w:p>
    <w:p>
      <w:pPr>
        <w:pStyle w:val="BodyText"/>
        <w:rPr>
          <w:i/>
        </w:rPr>
      </w:pPr>
    </w:p>
    <w:p>
      <w:pPr>
        <w:pStyle w:val="BodyText"/>
        <w:rPr>
          <w:i/>
        </w:rPr>
      </w:pPr>
    </w:p>
    <w:p>
      <w:pPr>
        <w:pStyle w:val="BodyText"/>
        <w:rPr>
          <w:i/>
          <w:sz w:val="22"/>
        </w:rPr>
      </w:pPr>
    </w:p>
    <w:p>
      <w:pPr>
        <w:pStyle w:val="Heading1"/>
        <w:rPr>
          <w:u w:val="none"/>
        </w:rPr>
      </w:pPr>
      <w:r>
        <w:rPr>
          <w:u w:val="thick"/>
        </w:rPr>
        <w:t>CERTIFICATE OF SERVICE</w:t>
      </w:r>
    </w:p>
    <w:p>
      <w:pPr>
        <w:pStyle w:val="BodyText"/>
        <w:spacing w:before="9"/>
        <w:rPr>
          <w:b/>
          <w:sz w:val="23"/>
        </w:rPr>
      </w:pPr>
    </w:p>
    <w:p>
      <w:pPr>
        <w:pStyle w:val="BodyText"/>
        <w:ind w:left="109" w:right="108" w:firstLine="720"/>
        <w:jc w:val="both"/>
      </w:pPr>
      <w:r>
        <w:rPr/>
        <w:t>I HEREBY CERTIFY I have this 6</w:t>
      </w:r>
      <w:r>
        <w:rPr>
          <w:vertAlign w:val="superscript"/>
        </w:rPr>
        <w:t>th</w:t>
      </w:r>
      <w:r>
        <w:rPr>
          <w:vertAlign w:val="baseline"/>
        </w:rPr>
        <w:t> day of March, 2017, via ICCES, served a true and correct and correct copy of the foregoing PLAINTIFFS’ MOTION TO COMPEL DISCOVERY PURSUANT TO C.R.C.P. 37 upon:</w:t>
      </w:r>
    </w:p>
    <w:p>
      <w:pPr>
        <w:pStyle w:val="BodyText"/>
      </w:pPr>
    </w:p>
    <w:p>
      <w:pPr>
        <w:pStyle w:val="BodyText"/>
        <w:ind w:left="128"/>
      </w:pPr>
      <w:r>
        <w:rPr/>
        <w:t>Wadi Muhaisen</w:t>
      </w:r>
    </w:p>
    <w:p>
      <w:pPr>
        <w:pStyle w:val="BodyText"/>
        <w:ind w:left="128" w:right="6645"/>
      </w:pPr>
      <w:r>
        <w:rPr/>
        <w:t>Muhaisen &amp; Muhaisen, LLC 1435 Larimer Street, Suite 203</w:t>
      </w:r>
    </w:p>
    <w:p>
      <w:pPr>
        <w:pStyle w:val="BodyText"/>
        <w:ind w:left="128"/>
      </w:pPr>
      <w:r>
        <w:rPr/>
        <w:t>Denver, Colorado 80202</w:t>
      </w:r>
    </w:p>
    <w:p>
      <w:pPr>
        <w:spacing w:before="1"/>
        <w:ind w:left="128" w:right="0" w:firstLine="0"/>
        <w:jc w:val="left"/>
        <w:rPr>
          <w:i/>
          <w:sz w:val="24"/>
        </w:rPr>
      </w:pPr>
      <w:r>
        <w:rPr>
          <w:i/>
          <w:sz w:val="24"/>
        </w:rPr>
        <w:t>Attorney for Defendant</w:t>
      </w:r>
    </w:p>
    <w:p>
      <w:pPr>
        <w:pStyle w:val="BodyText"/>
        <w:rPr>
          <w:i/>
          <w:sz w:val="26"/>
        </w:rPr>
      </w:pPr>
    </w:p>
    <w:p>
      <w:pPr>
        <w:tabs>
          <w:tab w:pos="9469" w:val="left" w:leader="none"/>
        </w:tabs>
        <w:spacing w:line="275" w:lineRule="exact" w:before="211"/>
        <w:ind w:left="5150" w:right="0" w:firstLine="0"/>
        <w:jc w:val="left"/>
        <w:rPr>
          <w:i/>
          <w:sz w:val="24"/>
        </w:rPr>
      </w:pPr>
      <w:r>
        <w:rPr>
          <w:i/>
          <w:sz w:val="24"/>
          <w:u w:val="single"/>
        </w:rPr>
        <w:t>/s/ Michael A.</w:t>
      </w:r>
      <w:r>
        <w:rPr>
          <w:i/>
          <w:spacing w:val="-6"/>
          <w:sz w:val="24"/>
          <w:u w:val="single"/>
        </w:rPr>
        <w:t> </w:t>
      </w:r>
      <w:r>
        <w:rPr>
          <w:i/>
          <w:sz w:val="24"/>
          <w:u w:val="single"/>
        </w:rPr>
        <w:t>Gubiotti</w:t>
        <w:tab/>
      </w:r>
    </w:p>
    <w:p>
      <w:pPr>
        <w:pStyle w:val="BodyText"/>
        <w:spacing w:line="275" w:lineRule="exact"/>
        <w:ind w:left="5150"/>
      </w:pPr>
      <w:r>
        <w:rPr/>
        <w:t>Michael A. Gubiotti, Law Clerk</w:t>
      </w:r>
    </w:p>
    <w:p>
      <w:pPr>
        <w:pStyle w:val="BodyText"/>
        <w:spacing w:before="2"/>
      </w:pPr>
    </w:p>
    <w:p>
      <w:pPr>
        <w:spacing w:before="0"/>
        <w:ind w:left="5150" w:right="446" w:firstLine="0"/>
        <w:jc w:val="left"/>
        <w:rPr>
          <w:i/>
          <w:sz w:val="22"/>
        </w:rPr>
      </w:pPr>
      <w:r>
        <w:rPr>
          <w:i/>
          <w:sz w:val="22"/>
        </w:rPr>
        <w:t>(Original signature on file at Abrams &amp; Assoc. </w:t>
      </w:r>
      <w:r>
        <w:rPr>
          <w:i/>
          <w:sz w:val="22"/>
        </w:rPr>
        <w:t>LLC pursuant to C.R.C.P. 121 § 1-26)</w:t>
      </w:r>
    </w:p>
    <w:sectPr>
      <w:pgSz w:w="12240" w:h="16350"/>
      <w:pgMar w:header="0" w:footer="1065" w:top="1560" w:bottom="1260" w:left="1420" w:right="10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5.5pt;margin-top:752.766663pt;width:10pt;height:15.3pt;mso-position-horizontal-relative:page;mso-position-vertical-relative:page;z-index:-7288" type="#_x0000_t202" filled="false" stroked="false">
          <v:textbox inset="0,0,0,0">
            <w:txbxContent>
              <w:p>
                <w:pPr>
                  <w:pStyle w:val="BodyText"/>
                  <w:spacing w:before="10"/>
                  <w:ind w:left="40"/>
                </w:pPr>
                <w:r>
                  <w:rPr/>
                  <w:fldChar w:fldCharType="begin"/>
                </w:r>
                <w:r>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50" w:hanging="72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2380" w:hanging="720"/>
      </w:pPr>
      <w:rPr>
        <w:rFonts w:hint="default"/>
      </w:rPr>
    </w:lvl>
    <w:lvl w:ilvl="2">
      <w:start w:val="0"/>
      <w:numFmt w:val="bullet"/>
      <w:lvlText w:val="•"/>
      <w:lvlJc w:val="left"/>
      <w:pPr>
        <w:ind w:left="3200" w:hanging="720"/>
      </w:pPr>
      <w:rPr>
        <w:rFonts w:hint="default"/>
      </w:rPr>
    </w:lvl>
    <w:lvl w:ilvl="3">
      <w:start w:val="0"/>
      <w:numFmt w:val="bullet"/>
      <w:lvlText w:val="•"/>
      <w:lvlJc w:val="left"/>
      <w:pPr>
        <w:ind w:left="4020" w:hanging="720"/>
      </w:pPr>
      <w:rPr>
        <w:rFonts w:hint="default"/>
      </w:rPr>
    </w:lvl>
    <w:lvl w:ilvl="4">
      <w:start w:val="0"/>
      <w:numFmt w:val="bullet"/>
      <w:lvlText w:val="•"/>
      <w:lvlJc w:val="left"/>
      <w:pPr>
        <w:ind w:left="4840" w:hanging="720"/>
      </w:pPr>
      <w:rPr>
        <w:rFonts w:hint="default"/>
      </w:rPr>
    </w:lvl>
    <w:lvl w:ilvl="5">
      <w:start w:val="0"/>
      <w:numFmt w:val="bullet"/>
      <w:lvlText w:val="•"/>
      <w:lvlJc w:val="left"/>
      <w:pPr>
        <w:ind w:left="5660" w:hanging="720"/>
      </w:pPr>
      <w:rPr>
        <w:rFonts w:hint="default"/>
      </w:rPr>
    </w:lvl>
    <w:lvl w:ilvl="6">
      <w:start w:val="0"/>
      <w:numFmt w:val="bullet"/>
      <w:lvlText w:val="•"/>
      <w:lvlJc w:val="left"/>
      <w:pPr>
        <w:ind w:left="6480" w:hanging="720"/>
      </w:pPr>
      <w:rPr>
        <w:rFonts w:hint="default"/>
      </w:rPr>
    </w:lvl>
    <w:lvl w:ilvl="7">
      <w:start w:val="0"/>
      <w:numFmt w:val="bullet"/>
      <w:lvlText w:val="•"/>
      <w:lvlJc w:val="left"/>
      <w:pPr>
        <w:ind w:left="7300" w:hanging="720"/>
      </w:pPr>
      <w:rPr>
        <w:rFonts w:hint="default"/>
      </w:rPr>
    </w:lvl>
    <w:lvl w:ilvl="8">
      <w:start w:val="0"/>
      <w:numFmt w:val="bullet"/>
      <w:lvlText w:val="•"/>
      <w:lvlJc w:val="left"/>
      <w:pPr>
        <w:ind w:left="812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3196"/>
      <w:outlineLvl w:val="1"/>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ind w:left="110" w:right="287" w:firstLine="720"/>
      <w:jc w:val="both"/>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nathan@silverlawdenver.com" TargetMode="External"/><Relationship Id="rId7" Type="http://schemas.openxmlformats.org/officeDocument/2006/relationships/hyperlink" Target="mailto:Robert@AbramsLaw.net"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2019-03-18T21:32:44Z</dcterms:created>
  <dcterms:modified xsi:type="dcterms:W3CDTF">2019-03-18T21:32:44Z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2019-03-18T00:00:00Z</vt:filetime>
  </property>
</Properties>
</file>