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2993"/>
        <w:gridCol w:w="429"/>
      </w:tblGrid>
      <w:tr>
        <w:trPr>
          <w:trHeight w:val="4726" w:hRule="atLeast"/>
        </w:trPr>
        <w:tc>
          <w:tcPr>
            <w:tcW w:w="5920" w:type="dxa"/>
          </w:tcPr>
          <w:p>
            <w:pPr>
              <w:pStyle w:val="TableParagraph"/>
              <w:spacing w:before="8"/>
              <w:rPr>
                <w:sz w:val="23"/>
              </w:rPr>
            </w:pPr>
          </w:p>
          <w:p>
            <w:pPr>
              <w:pStyle w:val="TableParagraph"/>
              <w:ind w:left="107"/>
              <w:jc w:val="both"/>
              <w:rPr>
                <w:sz w:val="24"/>
              </w:rPr>
            </w:pPr>
            <w:r>
              <w:rPr>
                <w:sz w:val="24"/>
              </w:rPr>
              <w:t>DISTRICT COURT, DENVER COUNTY, COLORADO</w:t>
            </w:r>
          </w:p>
          <w:p>
            <w:pPr>
              <w:pStyle w:val="TableParagraph"/>
              <w:rPr>
                <w:sz w:val="24"/>
              </w:rPr>
            </w:pPr>
          </w:p>
          <w:p>
            <w:pPr>
              <w:pStyle w:val="TableParagraph"/>
              <w:ind w:left="107"/>
              <w:jc w:val="both"/>
              <w:rPr>
                <w:sz w:val="24"/>
              </w:rPr>
            </w:pPr>
            <w:r>
              <w:rPr>
                <w:sz w:val="24"/>
              </w:rPr>
              <w:t>Court Address: Denver County Court</w:t>
            </w:r>
          </w:p>
          <w:p>
            <w:pPr>
              <w:pStyle w:val="TableParagraph"/>
              <w:ind w:left="1727"/>
              <w:rPr>
                <w:sz w:val="24"/>
              </w:rPr>
            </w:pPr>
            <w:r>
              <w:rPr>
                <w:sz w:val="24"/>
              </w:rPr>
              <w:t>1437 Bannock St., Room 256</w:t>
            </w:r>
          </w:p>
          <w:p>
            <w:pPr>
              <w:pStyle w:val="TableParagraph"/>
              <w:ind w:left="1727"/>
              <w:rPr>
                <w:sz w:val="24"/>
              </w:rPr>
            </w:pPr>
            <w:r>
              <w:rPr>
                <w:sz w:val="24"/>
              </w:rPr>
              <w:t>Denver, CO</w:t>
            </w:r>
            <w:r>
              <w:rPr>
                <w:spacing w:val="58"/>
                <w:sz w:val="24"/>
              </w:rPr>
              <w:t> </w:t>
            </w:r>
            <w:r>
              <w:rPr>
                <w:sz w:val="24"/>
              </w:rPr>
              <w:t>80202</w:t>
            </w:r>
          </w:p>
          <w:p>
            <w:pPr>
              <w:pStyle w:val="TableParagraph"/>
              <w:ind w:left="1727"/>
              <w:rPr>
                <w:sz w:val="24"/>
              </w:rPr>
            </w:pPr>
            <w:r>
              <w:rPr>
                <w:sz w:val="24"/>
              </w:rPr>
              <w:t>(720) 865-8301</w:t>
            </w:r>
          </w:p>
          <w:p>
            <w:pPr>
              <w:pStyle w:val="TableParagraph"/>
              <w:rPr>
                <w:sz w:val="26"/>
              </w:rPr>
            </w:pPr>
          </w:p>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rPr>
                <w:sz w:val="23"/>
              </w:rPr>
            </w:pPr>
          </w:p>
          <w:p>
            <w:pPr>
              <w:pStyle w:val="TableParagraph"/>
              <w:ind w:left="107" w:right="1046"/>
              <w:jc w:val="both"/>
              <w:rPr>
                <w:sz w:val="24"/>
              </w:rPr>
            </w:pPr>
            <w:r>
              <w:rPr>
                <w:sz w:val="24"/>
              </w:rPr>
              <w:t>Plaintiffs: ROBERT ABRAMS and ABRAMS &amp; ASSOCIATES, LLC, a Colorado limited liability company;</w:t>
            </w:r>
          </w:p>
          <w:p>
            <w:pPr>
              <w:pStyle w:val="TableParagraph"/>
              <w:rPr>
                <w:sz w:val="24"/>
              </w:rPr>
            </w:pPr>
          </w:p>
          <w:p>
            <w:pPr>
              <w:pStyle w:val="TableParagraph"/>
              <w:ind w:left="107"/>
              <w:jc w:val="both"/>
              <w:rPr>
                <w:sz w:val="24"/>
              </w:rPr>
            </w:pPr>
            <w:r>
              <w:rPr>
                <w:sz w:val="24"/>
              </w:rPr>
              <w:t>v.</w:t>
            </w:r>
          </w:p>
          <w:p>
            <w:pPr>
              <w:pStyle w:val="TableParagraph"/>
              <w:rPr>
                <w:sz w:val="24"/>
              </w:rPr>
            </w:pPr>
          </w:p>
          <w:p>
            <w:pPr>
              <w:pStyle w:val="TableParagraph"/>
              <w:ind w:left="107"/>
              <w:jc w:val="both"/>
              <w:rPr>
                <w:sz w:val="24"/>
              </w:rPr>
            </w:pPr>
            <w:r>
              <w:rPr>
                <w:sz w:val="24"/>
              </w:rPr>
              <w:t>Defendants: SHAWN BEESON</w:t>
            </w:r>
          </w:p>
        </w:tc>
        <w:tc>
          <w:tcPr>
            <w:tcW w:w="2993" w:type="dxa"/>
            <w:tcBorders>
              <w:right w:val="nil"/>
            </w:tcBorders>
          </w:tcPr>
          <w:p>
            <w:pPr>
              <w:pStyle w:val="TableParagraph"/>
              <w:rPr>
                <w:sz w:val="22"/>
              </w:rPr>
            </w:pPr>
          </w:p>
          <w:p>
            <w:pPr>
              <w:pStyle w:val="TableParagraph"/>
              <w:rPr>
                <w:sz w:val="22"/>
              </w:rPr>
            </w:pPr>
          </w:p>
          <w:p>
            <w:pPr>
              <w:pStyle w:val="TableParagraph"/>
              <w:spacing w:line="225" w:lineRule="auto" w:before="132"/>
              <w:ind w:left="90"/>
              <w:rPr>
                <w:sz w:val="20"/>
              </w:rPr>
            </w:pPr>
            <w:r>
              <w:rPr>
                <w:color w:val="0000FF"/>
                <w:sz w:val="20"/>
              </w:rPr>
              <w:t>DATE FILED: June 1, 2017 4:06 FILING ID: CD2DF22E908E3 CASE NUMBER: 2015CV31709</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left="635"/>
              <w:rPr>
                <w:b/>
                <w:sz w:val="24"/>
              </w:rPr>
            </w:pPr>
            <w:r>
              <w:rPr>
                <w:b/>
                <w:sz w:val="24"/>
              </w:rPr>
              <w:t>COURT USE ONLY</w:t>
            </w:r>
          </w:p>
        </w:tc>
        <w:tc>
          <w:tcPr>
            <w:tcW w:w="429" w:type="dxa"/>
            <w:tcBorders>
              <w:left w:val="nil"/>
            </w:tcBorders>
          </w:tcPr>
          <w:p>
            <w:pPr>
              <w:pStyle w:val="TableParagraph"/>
              <w:rPr>
                <w:sz w:val="22"/>
              </w:rPr>
            </w:pPr>
          </w:p>
          <w:p>
            <w:pPr>
              <w:pStyle w:val="TableParagraph"/>
              <w:spacing w:before="6"/>
              <w:rPr>
                <w:sz w:val="32"/>
              </w:rPr>
            </w:pPr>
          </w:p>
          <w:p>
            <w:pPr>
              <w:pStyle w:val="TableParagraph"/>
              <w:ind w:left="34"/>
              <w:rPr>
                <w:sz w:val="20"/>
              </w:rPr>
            </w:pPr>
            <w:r>
              <w:rPr>
                <w:color w:val="0000FF"/>
                <w:sz w:val="20"/>
              </w:rPr>
              <w:t>PM</w:t>
            </w:r>
          </w:p>
        </w:tc>
      </w:tr>
      <w:tr>
        <w:trPr>
          <w:trHeight w:val="278" w:hRule="atLeast"/>
        </w:trPr>
        <w:tc>
          <w:tcPr>
            <w:tcW w:w="5920" w:type="dxa"/>
            <w:tcBorders>
              <w:bottom w:val="nil"/>
            </w:tcBorders>
          </w:tcPr>
          <w:p>
            <w:pPr>
              <w:pStyle w:val="TableParagraph"/>
              <w:spacing w:line="258" w:lineRule="exact"/>
              <w:ind w:left="107"/>
              <w:rPr>
                <w:sz w:val="24"/>
              </w:rPr>
            </w:pPr>
            <w:r>
              <w:rPr>
                <w:sz w:val="24"/>
              </w:rPr>
              <w:t>Attorneys for Plaintiffs:</w:t>
            </w:r>
          </w:p>
        </w:tc>
        <w:tc>
          <w:tcPr>
            <w:tcW w:w="3422" w:type="dxa"/>
            <w:gridSpan w:val="2"/>
            <w:tcBorders>
              <w:bottom w:val="nil"/>
            </w:tcBorders>
          </w:tcPr>
          <w:p>
            <w:pPr>
              <w:pStyle w:val="TableParagraph"/>
              <w:rPr>
                <w:sz w:val="20"/>
              </w:rPr>
            </w:pPr>
          </w:p>
        </w:tc>
      </w:tr>
      <w:tr>
        <w:trPr>
          <w:trHeight w:val="275" w:hRule="atLeast"/>
        </w:trPr>
        <w:tc>
          <w:tcPr>
            <w:tcW w:w="5920" w:type="dxa"/>
            <w:tcBorders>
              <w:top w:val="nil"/>
              <w:bottom w:val="nil"/>
            </w:tcBorders>
          </w:tcPr>
          <w:p>
            <w:pPr>
              <w:pStyle w:val="TableParagraph"/>
              <w:rPr>
                <w:sz w:val="20"/>
              </w:rPr>
            </w:pPr>
          </w:p>
        </w:tc>
        <w:tc>
          <w:tcPr>
            <w:tcW w:w="3422" w:type="dxa"/>
            <w:gridSpan w:val="2"/>
            <w:tcBorders>
              <w:top w:val="nil"/>
              <w:bottom w:val="nil"/>
            </w:tcBorders>
          </w:tcPr>
          <w:p>
            <w:pPr>
              <w:pStyle w:val="TableParagraph"/>
              <w:spacing w:line="255" w:lineRule="exact"/>
              <w:ind w:left="107"/>
              <w:rPr>
                <w:sz w:val="24"/>
              </w:rPr>
            </w:pPr>
            <w:r>
              <w:rPr>
                <w:sz w:val="24"/>
              </w:rPr>
              <w:t>Case Number: 2015CV31709</w:t>
            </w:r>
          </w:p>
        </w:tc>
      </w:tr>
      <w:tr>
        <w:trPr>
          <w:trHeight w:val="2069" w:hRule="atLeast"/>
        </w:trPr>
        <w:tc>
          <w:tcPr>
            <w:tcW w:w="5920" w:type="dxa"/>
            <w:tcBorders>
              <w:top w:val="nil"/>
              <w:bottom w:val="nil"/>
            </w:tcBorders>
          </w:tcPr>
          <w:p>
            <w:pPr>
              <w:pStyle w:val="TableParagraph"/>
              <w:spacing w:line="271" w:lineRule="exact"/>
              <w:ind w:left="107"/>
              <w:rPr>
                <w:sz w:val="24"/>
              </w:rPr>
            </w:pPr>
            <w:r>
              <w:rPr>
                <w:sz w:val="24"/>
              </w:rPr>
              <w:t>Nathan Silver</w:t>
            </w:r>
          </w:p>
          <w:p>
            <w:pPr>
              <w:pStyle w:val="TableParagraph"/>
              <w:ind w:left="107" w:right="3348"/>
              <w:rPr>
                <w:sz w:val="24"/>
              </w:rPr>
            </w:pPr>
            <w:r>
              <w:rPr>
                <w:sz w:val="24"/>
              </w:rPr>
              <w:t>Silver Law Firm, LLC 700 17</w:t>
            </w:r>
            <w:r>
              <w:rPr>
                <w:sz w:val="24"/>
                <w:vertAlign w:val="superscript"/>
              </w:rPr>
              <w:t>th</w:t>
            </w:r>
            <w:r>
              <w:rPr>
                <w:sz w:val="24"/>
                <w:vertAlign w:val="baseline"/>
              </w:rPr>
              <w:t> Street, Suite 650</w:t>
            </w:r>
          </w:p>
          <w:p>
            <w:pPr>
              <w:pStyle w:val="TableParagraph"/>
              <w:ind w:left="107"/>
              <w:rPr>
                <w:sz w:val="24"/>
              </w:rPr>
            </w:pPr>
            <w:r>
              <w:rPr>
                <w:sz w:val="24"/>
              </w:rPr>
              <w:t>Denver, Colorado 80202</w:t>
            </w:r>
          </w:p>
          <w:p>
            <w:pPr>
              <w:pStyle w:val="TableParagraph"/>
              <w:ind w:left="107"/>
              <w:rPr>
                <w:sz w:val="24"/>
              </w:rPr>
            </w:pPr>
            <w:r>
              <w:rPr>
                <w:sz w:val="24"/>
              </w:rPr>
              <w:t>Phone: (303) 328-8510</w:t>
            </w:r>
          </w:p>
          <w:p>
            <w:pPr>
              <w:pStyle w:val="TableParagraph"/>
              <w:ind w:left="107" w:right="2136"/>
              <w:rPr>
                <w:sz w:val="24"/>
              </w:rPr>
            </w:pPr>
            <w:r>
              <w:rPr>
                <w:sz w:val="24"/>
              </w:rPr>
              <w:t>E-m</w:t>
            </w:r>
            <w:hyperlink r:id="rId6">
              <w:r>
                <w:rPr>
                  <w:sz w:val="24"/>
                </w:rPr>
                <w:t>ail: nathan@silverlawdenver.com</w:t>
              </w:r>
            </w:hyperlink>
            <w:r>
              <w:rPr>
                <w:sz w:val="24"/>
              </w:rPr>
              <w:t> Atty. Reg. # 28836</w:t>
            </w:r>
          </w:p>
        </w:tc>
        <w:tc>
          <w:tcPr>
            <w:tcW w:w="3422" w:type="dxa"/>
            <w:gridSpan w:val="2"/>
            <w:tcBorders>
              <w:top w:val="nil"/>
              <w:bottom w:val="nil"/>
            </w:tcBorders>
          </w:tcPr>
          <w:p>
            <w:pPr>
              <w:pStyle w:val="TableParagraph"/>
              <w:spacing w:before="6"/>
              <w:rPr>
                <w:sz w:val="23"/>
              </w:rPr>
            </w:pPr>
          </w:p>
          <w:p>
            <w:pPr>
              <w:pStyle w:val="TableParagraph"/>
              <w:ind w:left="107"/>
              <w:rPr>
                <w:sz w:val="24"/>
              </w:rPr>
            </w:pPr>
            <w:r>
              <w:rPr>
                <w:sz w:val="24"/>
              </w:rPr>
              <w:t>Division: 275</w:t>
            </w:r>
          </w:p>
        </w:tc>
      </w:tr>
      <w:tr>
        <w:trPr>
          <w:trHeight w:val="2619" w:hRule="atLeast"/>
        </w:trPr>
        <w:tc>
          <w:tcPr>
            <w:tcW w:w="5920" w:type="dxa"/>
            <w:tcBorders>
              <w:top w:val="nil"/>
            </w:tcBorders>
          </w:tcPr>
          <w:p>
            <w:pPr>
              <w:pStyle w:val="TableParagraph"/>
              <w:spacing w:before="133"/>
              <w:ind w:left="107"/>
              <w:rPr>
                <w:sz w:val="24"/>
              </w:rPr>
            </w:pPr>
            <w:r>
              <w:rPr>
                <w:sz w:val="24"/>
              </w:rPr>
              <w:t>ABRAMS &amp; ASSOCIATES,</w:t>
            </w:r>
            <w:r>
              <w:rPr>
                <w:spacing w:val="-13"/>
                <w:sz w:val="24"/>
              </w:rPr>
              <w:t> </w:t>
            </w:r>
            <w:r>
              <w:rPr>
                <w:sz w:val="24"/>
              </w:rPr>
              <w:t>LLC</w:t>
            </w:r>
          </w:p>
          <w:p>
            <w:pPr>
              <w:pStyle w:val="TableParagraph"/>
              <w:ind w:left="107"/>
              <w:rPr>
                <w:sz w:val="24"/>
              </w:rPr>
            </w:pPr>
            <w:r>
              <w:rPr>
                <w:sz w:val="24"/>
              </w:rPr>
              <w:t>Robert Abrams, Atty Reg. #</w:t>
            </w:r>
            <w:r>
              <w:rPr>
                <w:spacing w:val="-7"/>
                <w:sz w:val="24"/>
              </w:rPr>
              <w:t> </w:t>
            </w:r>
            <w:r>
              <w:rPr>
                <w:sz w:val="24"/>
              </w:rPr>
              <w:t>37950</w:t>
            </w:r>
          </w:p>
          <w:p>
            <w:pPr>
              <w:pStyle w:val="TableParagraph"/>
              <w:ind w:left="107" w:right="1936"/>
              <w:rPr>
                <w:sz w:val="24"/>
              </w:rPr>
            </w:pPr>
            <w:r>
              <w:rPr>
                <w:sz w:val="24"/>
              </w:rPr>
              <w:t>Neil S. Sullenberger, Atty Reg. # 48698 700 17</w:t>
            </w:r>
            <w:r>
              <w:rPr>
                <w:sz w:val="24"/>
                <w:vertAlign w:val="superscript"/>
              </w:rPr>
              <w:t>th</w:t>
            </w:r>
            <w:r>
              <w:rPr>
                <w:sz w:val="24"/>
                <w:vertAlign w:val="baseline"/>
              </w:rPr>
              <w:t> St., Suite 650</w:t>
            </w:r>
          </w:p>
          <w:p>
            <w:pPr>
              <w:pStyle w:val="TableParagraph"/>
              <w:ind w:left="107"/>
              <w:rPr>
                <w:sz w:val="24"/>
              </w:rPr>
            </w:pPr>
            <w:r>
              <w:rPr>
                <w:sz w:val="24"/>
              </w:rPr>
              <w:t>Denver, CO 80202</w:t>
            </w:r>
          </w:p>
          <w:p>
            <w:pPr>
              <w:pStyle w:val="TableParagraph"/>
              <w:ind w:left="107"/>
              <w:rPr>
                <w:sz w:val="24"/>
              </w:rPr>
            </w:pPr>
            <w:r>
              <w:rPr>
                <w:sz w:val="24"/>
              </w:rPr>
              <w:t>Phone #: (303) 322-4115</w:t>
            </w:r>
          </w:p>
          <w:p>
            <w:pPr>
              <w:pStyle w:val="TableParagraph"/>
              <w:ind w:left="107"/>
              <w:rPr>
                <w:sz w:val="24"/>
              </w:rPr>
            </w:pPr>
            <w:r>
              <w:rPr>
                <w:sz w:val="24"/>
              </w:rPr>
              <w:t>Fax #: (303) 333-0708</w:t>
            </w:r>
          </w:p>
          <w:p>
            <w:pPr>
              <w:pStyle w:val="TableParagraph"/>
              <w:ind w:left="107"/>
              <w:rPr>
                <w:sz w:val="24"/>
              </w:rPr>
            </w:pPr>
            <w:r>
              <w:rPr>
                <w:sz w:val="24"/>
              </w:rPr>
              <w:t>E-m</w:t>
            </w:r>
            <w:hyperlink r:id="rId7">
              <w:r>
                <w:rPr>
                  <w:sz w:val="24"/>
                </w:rPr>
                <w:t>ail: Robert@AbramsLaw.net</w:t>
              </w:r>
            </w:hyperlink>
          </w:p>
        </w:tc>
        <w:tc>
          <w:tcPr>
            <w:tcW w:w="3422" w:type="dxa"/>
            <w:gridSpan w:val="2"/>
            <w:tcBorders>
              <w:top w:val="nil"/>
            </w:tcBorders>
          </w:tcPr>
          <w:p>
            <w:pPr>
              <w:pStyle w:val="TableParagraph"/>
              <w:rPr>
                <w:sz w:val="22"/>
              </w:rPr>
            </w:pPr>
          </w:p>
        </w:tc>
      </w:tr>
      <w:tr>
        <w:trPr>
          <w:trHeight w:val="1057" w:hRule="atLeast"/>
        </w:trPr>
        <w:tc>
          <w:tcPr>
            <w:tcW w:w="9342" w:type="dxa"/>
            <w:gridSpan w:val="3"/>
          </w:tcPr>
          <w:p>
            <w:pPr>
              <w:pStyle w:val="TableParagraph"/>
              <w:spacing w:before="229"/>
              <w:ind w:left="913" w:right="751" w:hanging="134"/>
              <w:rPr>
                <w:b/>
                <w:sz w:val="24"/>
              </w:rPr>
            </w:pPr>
            <w:r>
              <w:rPr>
                <w:b/>
                <w:sz w:val="24"/>
              </w:rPr>
              <w:t>PLAINTIFFS’ REPLY TO DEFENDANT’S RESPONSE TO MOTION TO RECONSIDER COST APPORTIONMENT AND AMEND JUDGMENT</w:t>
            </w:r>
          </w:p>
        </w:tc>
      </w:tr>
    </w:tbl>
    <w:p>
      <w:pPr>
        <w:pStyle w:val="BodyText"/>
        <w:spacing w:before="10"/>
        <w:ind w:left="0"/>
        <w:rPr>
          <w:sz w:val="15"/>
        </w:rPr>
      </w:pPr>
      <w:r>
        <w:rPr/>
        <w:pict>
          <v:shape style="position:absolute;margin-left:379.050293pt;margin-top:265.383392pt;width:10pt;height:10pt;mso-position-horizontal-relative:page;mso-position-vertical-relative:page;z-index:-5944" coordorigin="7581,5308" coordsize="200,200" path="m7681,5308l7581,5508,7781,5508,7681,5308xe" filled="true" fillcolor="#000000" stroked="false">
            <v:path arrowok="t"/>
            <v:fill type="solid"/>
            <w10:wrap type="none"/>
          </v:shape>
        </w:pict>
      </w:r>
      <w:r>
        <w:rPr/>
        <w:pict>
          <v:shape style="position:absolute;margin-left:513.800171pt;margin-top:265.383392pt;width:10pt;height:10pt;mso-position-horizontal-relative:page;mso-position-vertical-relative:page;z-index:-5920" coordorigin="10276,5308" coordsize="200,200" path="m10376,5308l10276,5508,10476,5508,10376,5308xe" filled="true" fillcolor="#000000" stroked="false">
            <v:path arrowok="t"/>
            <v:fill type="solid"/>
            <w10:wrap type="none"/>
          </v:shape>
        </w:pict>
      </w:r>
    </w:p>
    <w:p>
      <w:pPr>
        <w:pStyle w:val="BodyText"/>
        <w:spacing w:before="90"/>
        <w:ind w:right="197" w:firstLine="720"/>
        <w:jc w:val="both"/>
      </w:pPr>
      <w:r>
        <w:rPr/>
        <w:t>COMES NOW, Plaintiffs Robert Abrams and Abrams &amp; Associates, LLC, by their attorneys at Abrams &amp; Associates, LLC, and hereby file their Reply to Defendant’s Response to Motion to Reconsider Cost Apportionment and Amend Judgment. In support thereof, Plaintiffs state and allege as follows:</w:t>
      </w:r>
    </w:p>
    <w:p>
      <w:pPr>
        <w:spacing w:after="0"/>
        <w:jc w:val="both"/>
        <w:sectPr>
          <w:footerReference w:type="default" r:id="rId5"/>
          <w:type w:val="continuous"/>
          <w:pgSz w:w="12240" w:h="15840"/>
          <w:pgMar w:footer="1065" w:top="1440" w:bottom="1260" w:left="1320" w:right="1240"/>
          <w:pgNumType w:start="1"/>
        </w:sectPr>
      </w:pPr>
    </w:p>
    <w:p>
      <w:pPr>
        <w:pStyle w:val="Heading1"/>
        <w:spacing w:before="79"/>
        <w:ind w:left="3569" w:right="3647" w:firstLine="0"/>
        <w:jc w:val="center"/>
        <w:rPr>
          <w:u w:val="none"/>
        </w:rPr>
      </w:pPr>
      <w:r>
        <w:rPr>
          <w:u w:val="thick"/>
        </w:rPr>
        <w:t>INTRODUCTION</w:t>
      </w:r>
    </w:p>
    <w:p>
      <w:pPr>
        <w:pStyle w:val="BodyText"/>
        <w:spacing w:before="4"/>
        <w:ind w:left="0"/>
        <w:rPr>
          <w:b/>
          <w:sz w:val="26"/>
        </w:rPr>
      </w:pPr>
    </w:p>
    <w:p>
      <w:pPr>
        <w:pStyle w:val="ListParagraph"/>
        <w:numPr>
          <w:ilvl w:val="0"/>
          <w:numId w:val="1"/>
        </w:numPr>
        <w:tabs>
          <w:tab w:pos="1469" w:val="left" w:leader="none"/>
          <w:tab w:pos="1470" w:val="left" w:leader="none"/>
        </w:tabs>
        <w:spacing w:line="240" w:lineRule="auto" w:before="90" w:after="0"/>
        <w:ind w:left="1470" w:right="0" w:hanging="630"/>
        <w:jc w:val="left"/>
        <w:rPr>
          <w:sz w:val="24"/>
        </w:rPr>
      </w:pPr>
      <w:r>
        <w:rPr>
          <w:sz w:val="24"/>
        </w:rPr>
        <w:t>Plaintiffs</w:t>
      </w:r>
      <w:r>
        <w:rPr>
          <w:spacing w:val="21"/>
          <w:sz w:val="24"/>
        </w:rPr>
        <w:t> </w:t>
      </w:r>
      <w:r>
        <w:rPr>
          <w:sz w:val="24"/>
        </w:rPr>
        <w:t>concede</w:t>
      </w:r>
      <w:r>
        <w:rPr>
          <w:spacing w:val="22"/>
          <w:sz w:val="24"/>
        </w:rPr>
        <w:t> </w:t>
      </w:r>
      <w:r>
        <w:rPr>
          <w:sz w:val="24"/>
        </w:rPr>
        <w:t>Defendant</w:t>
      </w:r>
      <w:r>
        <w:rPr>
          <w:spacing w:val="21"/>
          <w:sz w:val="24"/>
        </w:rPr>
        <w:t> </w:t>
      </w:r>
      <w:r>
        <w:rPr>
          <w:sz w:val="24"/>
        </w:rPr>
        <w:t>prevailed</w:t>
      </w:r>
      <w:r>
        <w:rPr>
          <w:spacing w:val="21"/>
          <w:sz w:val="24"/>
        </w:rPr>
        <w:t> </w:t>
      </w:r>
      <w:r>
        <w:rPr>
          <w:sz w:val="24"/>
        </w:rPr>
        <w:t>on</w:t>
      </w:r>
      <w:r>
        <w:rPr>
          <w:spacing w:val="20"/>
          <w:sz w:val="24"/>
        </w:rPr>
        <w:t> </w:t>
      </w:r>
      <w:r>
        <w:rPr>
          <w:sz w:val="24"/>
          <w:u w:val="single"/>
        </w:rPr>
        <w:t>a</w:t>
      </w:r>
      <w:r>
        <w:rPr>
          <w:spacing w:val="22"/>
          <w:sz w:val="24"/>
        </w:rPr>
        <w:t> </w:t>
      </w:r>
      <w:r>
        <w:rPr>
          <w:sz w:val="24"/>
        </w:rPr>
        <w:t>significant</w:t>
      </w:r>
      <w:r>
        <w:rPr>
          <w:spacing w:val="21"/>
          <w:sz w:val="24"/>
        </w:rPr>
        <w:t> </w:t>
      </w:r>
      <w:r>
        <w:rPr>
          <w:sz w:val="24"/>
        </w:rPr>
        <w:t>issue</w:t>
      </w:r>
      <w:r>
        <w:rPr>
          <w:spacing w:val="21"/>
          <w:sz w:val="24"/>
        </w:rPr>
        <w:t> </w:t>
      </w:r>
      <w:r>
        <w:rPr>
          <w:sz w:val="24"/>
        </w:rPr>
        <w:t>in</w:t>
      </w:r>
      <w:r>
        <w:rPr>
          <w:spacing w:val="21"/>
          <w:sz w:val="24"/>
        </w:rPr>
        <w:t> </w:t>
      </w:r>
      <w:r>
        <w:rPr>
          <w:sz w:val="24"/>
        </w:rPr>
        <w:t>the</w:t>
      </w:r>
      <w:r>
        <w:rPr>
          <w:spacing w:val="21"/>
          <w:sz w:val="24"/>
        </w:rPr>
        <w:t> </w:t>
      </w:r>
      <w:r>
        <w:rPr>
          <w:sz w:val="24"/>
        </w:rPr>
        <w:t>litigation,</w:t>
      </w:r>
      <w:r>
        <w:rPr>
          <w:spacing w:val="21"/>
          <w:sz w:val="24"/>
        </w:rPr>
        <w:t> </w:t>
      </w:r>
      <w:r>
        <w:rPr>
          <w:sz w:val="24"/>
        </w:rPr>
        <w:t>the</w:t>
      </w:r>
    </w:p>
    <w:p>
      <w:pPr>
        <w:pStyle w:val="BodyText"/>
        <w:spacing w:before="3"/>
        <w:ind w:left="0"/>
        <w:rPr>
          <w:sz w:val="16"/>
        </w:rPr>
      </w:pPr>
    </w:p>
    <w:p>
      <w:pPr>
        <w:pStyle w:val="BodyText"/>
        <w:spacing w:line="480" w:lineRule="auto" w:before="90"/>
        <w:ind w:right="302"/>
      </w:pPr>
      <w:r>
        <w:rPr/>
        <w:t>breach of contract claim. Defendant apparently refuses to concede that Plaintiffs also prevailed on multiple significant issues in the litigation, such as civil theft and</w:t>
      </w:r>
      <w:r>
        <w:rPr>
          <w:spacing w:val="-9"/>
        </w:rPr>
        <w:t> </w:t>
      </w:r>
      <w:r>
        <w:rPr/>
        <w:t>battery.</w:t>
      </w:r>
    </w:p>
    <w:p>
      <w:pPr>
        <w:pStyle w:val="ListParagraph"/>
        <w:numPr>
          <w:ilvl w:val="0"/>
          <w:numId w:val="1"/>
        </w:numPr>
        <w:tabs>
          <w:tab w:pos="1470" w:val="left" w:leader="none"/>
        </w:tabs>
        <w:spacing w:line="480" w:lineRule="auto" w:before="0" w:after="0"/>
        <w:ind w:left="120" w:right="198" w:firstLine="720"/>
        <w:jc w:val="both"/>
        <w:rPr>
          <w:sz w:val="24"/>
        </w:rPr>
      </w:pPr>
      <w:r>
        <w:rPr>
          <w:sz w:val="24"/>
        </w:rPr>
        <w:t>As a point of clarity, Defendant’s assertion that “Robert Abrams chose to illegally hold” settlement funds is a false statement. </w:t>
      </w:r>
      <w:r>
        <w:rPr>
          <w:i/>
          <w:sz w:val="24"/>
        </w:rPr>
        <w:t>Defendant’s Response, </w:t>
      </w:r>
      <w:r>
        <w:rPr>
          <w:sz w:val="24"/>
        </w:rPr>
        <w:t>¶ 1. The jury found for Plaintiffs on the claim of civil</w:t>
      </w:r>
      <w:r>
        <w:rPr>
          <w:spacing w:val="-3"/>
          <w:sz w:val="24"/>
        </w:rPr>
        <w:t> </w:t>
      </w:r>
      <w:r>
        <w:rPr>
          <w:sz w:val="24"/>
        </w:rPr>
        <w:t>theft.</w:t>
      </w:r>
    </w:p>
    <w:p>
      <w:pPr>
        <w:pStyle w:val="ListParagraph"/>
        <w:numPr>
          <w:ilvl w:val="0"/>
          <w:numId w:val="1"/>
        </w:numPr>
        <w:tabs>
          <w:tab w:pos="1470" w:val="left" w:leader="none"/>
        </w:tabs>
        <w:spacing w:line="480" w:lineRule="auto" w:before="0" w:after="0"/>
        <w:ind w:left="120" w:right="198" w:firstLine="720"/>
        <w:jc w:val="both"/>
        <w:rPr>
          <w:sz w:val="24"/>
        </w:rPr>
      </w:pPr>
      <w:r>
        <w:rPr>
          <w:sz w:val="24"/>
        </w:rPr>
        <w:t>While Defendant attacks Plaintiffs’ Motion on the basis of insufficient legal authority, all of which was presented in a section entitled same, Defendant’s response fails to address with his own authority how the jury’s verdict for Plaintiffs on multiple issues should be disregarded to treat Defendant as prevailing party</w:t>
      </w:r>
      <w:r>
        <w:rPr>
          <w:spacing w:val="-5"/>
          <w:sz w:val="24"/>
        </w:rPr>
        <w:t> </w:t>
      </w:r>
      <w:r>
        <w:rPr>
          <w:sz w:val="24"/>
        </w:rPr>
        <w:t>overall.</w:t>
      </w:r>
    </w:p>
    <w:p>
      <w:pPr>
        <w:pStyle w:val="ListParagraph"/>
        <w:numPr>
          <w:ilvl w:val="0"/>
          <w:numId w:val="1"/>
        </w:numPr>
        <w:tabs>
          <w:tab w:pos="1470" w:val="left" w:leader="none"/>
        </w:tabs>
        <w:spacing w:line="480" w:lineRule="auto" w:before="0" w:after="0"/>
        <w:ind w:left="120" w:right="198" w:firstLine="720"/>
        <w:jc w:val="both"/>
        <w:rPr>
          <w:sz w:val="24"/>
        </w:rPr>
      </w:pPr>
      <w:r>
        <w:rPr>
          <w:sz w:val="24"/>
        </w:rPr>
        <w:t>Likewise, Defendant fails to provide legal authority stating why Plaintiffs are not “eligible for an award of costs under C.R.S. § 13-16-104,” the same section under which Defendant claims his entitlement to</w:t>
      </w:r>
      <w:r>
        <w:rPr>
          <w:spacing w:val="-1"/>
          <w:sz w:val="24"/>
        </w:rPr>
        <w:t> </w:t>
      </w:r>
      <w:r>
        <w:rPr>
          <w:sz w:val="24"/>
        </w:rPr>
        <w:t>costs.</w:t>
      </w:r>
    </w:p>
    <w:p>
      <w:pPr>
        <w:pStyle w:val="Heading1"/>
        <w:ind w:left="3569" w:right="3649" w:firstLine="0"/>
        <w:jc w:val="center"/>
        <w:rPr>
          <w:u w:val="none"/>
        </w:rPr>
      </w:pPr>
      <w:r>
        <w:rPr>
          <w:u w:val="thick"/>
        </w:rPr>
        <w:t>II. LEGAL ANALYSIS</w:t>
      </w:r>
    </w:p>
    <w:p>
      <w:pPr>
        <w:pStyle w:val="BodyText"/>
        <w:spacing w:before="2"/>
        <w:ind w:left="0"/>
        <w:rPr>
          <w:b/>
          <w:sz w:val="16"/>
        </w:rPr>
      </w:pPr>
    </w:p>
    <w:p>
      <w:pPr>
        <w:pStyle w:val="ListParagraph"/>
        <w:numPr>
          <w:ilvl w:val="0"/>
          <w:numId w:val="2"/>
        </w:numPr>
        <w:tabs>
          <w:tab w:pos="840" w:val="left" w:leader="none"/>
        </w:tabs>
        <w:spacing w:line="240" w:lineRule="auto" w:before="90" w:after="0"/>
        <w:ind w:left="840" w:right="433" w:hanging="360"/>
        <w:jc w:val="left"/>
        <w:rPr>
          <w:b/>
          <w:sz w:val="24"/>
        </w:rPr>
      </w:pPr>
      <w:r>
        <w:rPr>
          <w:b/>
          <w:sz w:val="24"/>
          <w:u w:val="thick"/>
        </w:rPr>
        <w:t>Defendant’s conclusory statement that Defendant is prevailing party in this case</w:t>
      </w:r>
      <w:r>
        <w:rPr>
          <w:b/>
          <w:spacing w:val="-29"/>
          <w:sz w:val="24"/>
          <w:u w:val="thick"/>
        </w:rPr>
        <w:t> </w:t>
      </w:r>
      <w:r>
        <w:rPr>
          <w:b/>
          <w:sz w:val="24"/>
          <w:u w:val="thick"/>
        </w:rPr>
        <w:t>is not supported by the jury’s</w:t>
      </w:r>
      <w:r>
        <w:rPr>
          <w:b/>
          <w:spacing w:val="-2"/>
          <w:sz w:val="24"/>
          <w:u w:val="thick"/>
        </w:rPr>
        <w:t> </w:t>
      </w:r>
      <w:r>
        <w:rPr>
          <w:b/>
          <w:sz w:val="24"/>
          <w:u w:val="thick"/>
        </w:rPr>
        <w:t>verdict.</w:t>
      </w:r>
    </w:p>
    <w:p>
      <w:pPr>
        <w:pStyle w:val="BodyText"/>
        <w:ind w:left="0"/>
        <w:rPr>
          <w:b/>
          <w:sz w:val="16"/>
        </w:rPr>
      </w:pPr>
    </w:p>
    <w:p>
      <w:pPr>
        <w:pStyle w:val="ListParagraph"/>
        <w:numPr>
          <w:ilvl w:val="0"/>
          <w:numId w:val="1"/>
        </w:numPr>
        <w:tabs>
          <w:tab w:pos="1469" w:val="left" w:leader="none"/>
          <w:tab w:pos="1470" w:val="left" w:leader="none"/>
        </w:tabs>
        <w:spacing w:line="480" w:lineRule="auto" w:before="90" w:after="0"/>
        <w:ind w:left="120" w:right="594" w:firstLine="720"/>
        <w:jc w:val="left"/>
        <w:rPr>
          <w:sz w:val="24"/>
        </w:rPr>
      </w:pPr>
      <w:r>
        <w:rPr>
          <w:sz w:val="24"/>
        </w:rPr>
        <w:t>Defendant’s citation to </w:t>
      </w:r>
      <w:r>
        <w:rPr>
          <w:i/>
          <w:sz w:val="24"/>
        </w:rPr>
        <w:t>Dennis I. Spencer Contractor, Inc. </w:t>
      </w:r>
      <w:r>
        <w:rPr>
          <w:sz w:val="24"/>
        </w:rPr>
        <w:t>supports Plaintiffs’ position and argument that no party deserves the title of prevailing party, as there can be only one and all meet the definition. 884 P.2d 326 (Colo.</w:t>
      </w:r>
      <w:r>
        <w:rPr>
          <w:spacing w:val="-5"/>
          <w:sz w:val="24"/>
        </w:rPr>
        <w:t> </w:t>
      </w:r>
      <w:r>
        <w:rPr>
          <w:sz w:val="24"/>
        </w:rPr>
        <w:t>1994).</w:t>
      </w:r>
    </w:p>
    <w:p>
      <w:pPr>
        <w:pStyle w:val="ListParagraph"/>
        <w:numPr>
          <w:ilvl w:val="0"/>
          <w:numId w:val="1"/>
        </w:numPr>
        <w:tabs>
          <w:tab w:pos="1469" w:val="left" w:leader="none"/>
          <w:tab w:pos="1470" w:val="left" w:leader="none"/>
        </w:tabs>
        <w:spacing w:line="480" w:lineRule="auto" w:before="0" w:after="0"/>
        <w:ind w:left="120" w:right="351" w:firstLine="720"/>
        <w:jc w:val="left"/>
        <w:rPr>
          <w:sz w:val="24"/>
        </w:rPr>
      </w:pPr>
      <w:r>
        <w:rPr>
          <w:sz w:val="24"/>
        </w:rPr>
        <w:t>In his haste to cite </w:t>
      </w:r>
      <w:r>
        <w:rPr>
          <w:i/>
          <w:sz w:val="24"/>
        </w:rPr>
        <w:t>Overland Development </w:t>
      </w:r>
      <w:r>
        <w:rPr>
          <w:sz w:val="24"/>
        </w:rPr>
        <w:t>for the definition of a prevailing party, Defendant conspicuously fails to address the basis for his axiomatic argument that Plaintiffs did not “succeed upon a significant issue presented by the litigation” or “achieve some of the benefits sought in the lawsuit.” 773 P.2d 1112 (Colo. App.</w:t>
      </w:r>
      <w:r>
        <w:rPr>
          <w:spacing w:val="-4"/>
          <w:sz w:val="24"/>
        </w:rPr>
        <w:t> </w:t>
      </w:r>
      <w:r>
        <w:rPr>
          <w:sz w:val="24"/>
        </w:rPr>
        <w:t>1989).</w:t>
      </w:r>
    </w:p>
    <w:p>
      <w:pPr>
        <w:spacing w:after="0" w:line="480" w:lineRule="auto"/>
        <w:jc w:val="left"/>
        <w:rPr>
          <w:sz w:val="24"/>
        </w:rPr>
        <w:sectPr>
          <w:pgSz w:w="12240" w:h="15840"/>
          <w:pgMar w:header="0" w:footer="1065" w:top="1360" w:bottom="1260" w:left="1320" w:right="1240"/>
        </w:sectPr>
      </w:pPr>
    </w:p>
    <w:p>
      <w:pPr>
        <w:pStyle w:val="ListParagraph"/>
        <w:numPr>
          <w:ilvl w:val="0"/>
          <w:numId w:val="1"/>
        </w:numPr>
        <w:tabs>
          <w:tab w:pos="1469" w:val="left" w:leader="none"/>
          <w:tab w:pos="1470" w:val="left" w:leader="none"/>
        </w:tabs>
        <w:spacing w:line="480" w:lineRule="auto" w:before="76" w:after="0"/>
        <w:ind w:left="120" w:right="246" w:firstLine="720"/>
        <w:jc w:val="left"/>
        <w:rPr>
          <w:sz w:val="24"/>
        </w:rPr>
      </w:pPr>
      <w:r>
        <w:rPr>
          <w:sz w:val="24"/>
        </w:rPr>
        <w:t>Further, Defendant’s Alaskan legal authority is plainly distinguishable from this case. Plaintiffs did not prevail on a claim for mere setoff. Plaintiffs prevailed on independent and substantial claims, most notably the claim that carried the most significant potential damages in the entire litigation – civil</w:t>
      </w:r>
      <w:r>
        <w:rPr>
          <w:spacing w:val="-2"/>
          <w:sz w:val="24"/>
        </w:rPr>
        <w:t> </w:t>
      </w:r>
      <w:r>
        <w:rPr>
          <w:sz w:val="24"/>
        </w:rPr>
        <w:t>theft.</w:t>
      </w:r>
    </w:p>
    <w:p>
      <w:pPr>
        <w:pStyle w:val="ListParagraph"/>
        <w:numPr>
          <w:ilvl w:val="0"/>
          <w:numId w:val="1"/>
        </w:numPr>
        <w:tabs>
          <w:tab w:pos="1469" w:val="left" w:leader="none"/>
          <w:tab w:pos="1470" w:val="left" w:leader="none"/>
        </w:tabs>
        <w:spacing w:line="480" w:lineRule="auto" w:before="1" w:after="0"/>
        <w:ind w:left="120" w:right="227" w:firstLine="720"/>
        <w:jc w:val="left"/>
        <w:rPr>
          <w:sz w:val="24"/>
        </w:rPr>
      </w:pPr>
      <w:r>
        <w:rPr>
          <w:sz w:val="24"/>
        </w:rPr>
        <w:t>Defendant correctly acknowledges Plaintiffs’ citation to </w:t>
      </w:r>
      <w:r>
        <w:rPr>
          <w:i/>
          <w:sz w:val="24"/>
        </w:rPr>
        <w:t>Archer</w:t>
      </w:r>
      <w:r>
        <w:rPr>
          <w:sz w:val="24"/>
        </w:rPr>
        <w:t>, 90 P.3d 228 (Colo. 2004), for the proposition that the award of costs is within the court’s discretion.</w:t>
      </w:r>
      <w:r>
        <w:rPr>
          <w:spacing w:val="-26"/>
          <w:sz w:val="24"/>
        </w:rPr>
        <w:t> </w:t>
      </w:r>
      <w:r>
        <w:rPr>
          <w:sz w:val="24"/>
        </w:rPr>
        <w:t>Plaintiffs are well aware of such a fact and merely request the Court reevaluate its determination of the prevailing party based upon all parties’ ability to fit within such a</w:t>
      </w:r>
      <w:r>
        <w:rPr>
          <w:spacing w:val="-7"/>
          <w:sz w:val="24"/>
        </w:rPr>
        <w:t> </w:t>
      </w:r>
      <w:r>
        <w:rPr>
          <w:sz w:val="24"/>
        </w:rPr>
        <w:t>definition.</w:t>
      </w:r>
    </w:p>
    <w:p>
      <w:pPr>
        <w:pStyle w:val="Heading1"/>
        <w:numPr>
          <w:ilvl w:val="0"/>
          <w:numId w:val="2"/>
        </w:numPr>
        <w:tabs>
          <w:tab w:pos="840" w:val="left" w:leader="none"/>
        </w:tabs>
        <w:spacing w:line="240" w:lineRule="auto" w:before="2" w:after="0"/>
        <w:ind w:left="840" w:right="1045" w:hanging="360"/>
        <w:jc w:val="left"/>
        <w:rPr>
          <w:u w:val="none"/>
        </w:rPr>
      </w:pPr>
      <w:r>
        <w:rPr>
          <w:u w:val="thick"/>
        </w:rPr>
        <w:t>Plaintiffs are at a loss as to Defendant’s assertion that Plaintiffs failed to cite legal</w:t>
      </w:r>
      <w:r>
        <w:rPr>
          <w:spacing w:val="-1"/>
          <w:u w:val="thick"/>
        </w:rPr>
        <w:t> </w:t>
      </w:r>
      <w:r>
        <w:rPr>
          <w:u w:val="thick"/>
        </w:rPr>
        <w:t>authority.</w:t>
      </w:r>
    </w:p>
    <w:p>
      <w:pPr>
        <w:pStyle w:val="BodyText"/>
        <w:ind w:left="0"/>
        <w:rPr>
          <w:b/>
          <w:sz w:val="16"/>
        </w:rPr>
      </w:pPr>
    </w:p>
    <w:p>
      <w:pPr>
        <w:pStyle w:val="ListParagraph"/>
        <w:numPr>
          <w:ilvl w:val="0"/>
          <w:numId w:val="1"/>
        </w:numPr>
        <w:tabs>
          <w:tab w:pos="1470" w:val="left" w:leader="none"/>
        </w:tabs>
        <w:spacing w:line="480" w:lineRule="auto" w:before="90" w:after="0"/>
        <w:ind w:left="120" w:right="110" w:firstLine="720"/>
        <w:jc w:val="both"/>
        <w:rPr>
          <w:sz w:val="24"/>
        </w:rPr>
      </w:pPr>
      <w:r>
        <w:rPr>
          <w:sz w:val="24"/>
        </w:rPr>
        <w:t>Plaintiffs, in typical fashion, drafted their Motion with a separate section entitled “Legal Authority,” wherein they cited all applicable case law in support of their</w:t>
      </w:r>
      <w:r>
        <w:rPr>
          <w:spacing w:val="-14"/>
          <w:sz w:val="24"/>
        </w:rPr>
        <w:t> </w:t>
      </w:r>
      <w:r>
        <w:rPr>
          <w:sz w:val="24"/>
        </w:rPr>
        <w:t>position.</w:t>
      </w:r>
    </w:p>
    <w:p>
      <w:pPr>
        <w:pStyle w:val="ListParagraph"/>
        <w:numPr>
          <w:ilvl w:val="0"/>
          <w:numId w:val="1"/>
        </w:numPr>
        <w:tabs>
          <w:tab w:pos="1470" w:val="left" w:leader="none"/>
        </w:tabs>
        <w:spacing w:line="480" w:lineRule="auto" w:before="0" w:after="0"/>
        <w:ind w:left="120" w:right="107" w:firstLine="720"/>
        <w:jc w:val="both"/>
        <w:rPr>
          <w:sz w:val="24"/>
        </w:rPr>
      </w:pPr>
      <w:r>
        <w:rPr>
          <w:sz w:val="24"/>
        </w:rPr>
        <w:t>Plaintiffs’ Motion in fact included case law defining a prevailing party, upon which they base their argument in paragraphs 16-17 of the Motion, that each party could be considered to have prevailed in the litigation. Claiming that the failure to reiterate the legal authority in each sentence is “fatal” to Plaintiffs’ argument is</w:t>
      </w:r>
      <w:r>
        <w:rPr>
          <w:spacing w:val="-2"/>
          <w:sz w:val="24"/>
        </w:rPr>
        <w:t> </w:t>
      </w:r>
      <w:r>
        <w:rPr>
          <w:sz w:val="24"/>
        </w:rPr>
        <w:t>nonsensical.</w:t>
      </w:r>
    </w:p>
    <w:p>
      <w:pPr>
        <w:pStyle w:val="Heading1"/>
        <w:numPr>
          <w:ilvl w:val="0"/>
          <w:numId w:val="2"/>
        </w:numPr>
        <w:tabs>
          <w:tab w:pos="840" w:val="left" w:leader="none"/>
        </w:tabs>
        <w:spacing w:line="276" w:lineRule="auto" w:before="3" w:after="0"/>
        <w:ind w:left="840" w:right="107" w:hanging="360"/>
        <w:jc w:val="left"/>
        <w:rPr>
          <w:u w:val="none"/>
        </w:rPr>
      </w:pPr>
      <w:r>
        <w:rPr>
          <w:u w:val="thick"/>
        </w:rPr>
        <w:t>Defendant’s reiteration of legal authority fails to address the fundamental issue of why Defendant is the sole party that fits the definition of “prevailing</w:t>
      </w:r>
      <w:r>
        <w:rPr>
          <w:spacing w:val="-13"/>
          <w:u w:val="thick"/>
        </w:rPr>
        <w:t> </w:t>
      </w:r>
      <w:r>
        <w:rPr>
          <w:u w:val="thick"/>
        </w:rPr>
        <w:t>party.”</w:t>
      </w:r>
    </w:p>
    <w:p>
      <w:pPr>
        <w:pStyle w:val="BodyText"/>
        <w:spacing w:before="6"/>
        <w:ind w:left="0"/>
        <w:rPr>
          <w:b/>
          <w:sz w:val="19"/>
        </w:rPr>
      </w:pPr>
    </w:p>
    <w:p>
      <w:pPr>
        <w:pStyle w:val="ListParagraph"/>
        <w:numPr>
          <w:ilvl w:val="0"/>
          <w:numId w:val="1"/>
        </w:numPr>
        <w:tabs>
          <w:tab w:pos="1470" w:val="left" w:leader="none"/>
        </w:tabs>
        <w:spacing w:line="480" w:lineRule="auto" w:before="90" w:after="0"/>
        <w:ind w:left="120" w:right="107" w:firstLine="720"/>
        <w:jc w:val="both"/>
        <w:rPr>
          <w:sz w:val="24"/>
        </w:rPr>
      </w:pPr>
      <w:r>
        <w:rPr>
          <w:sz w:val="24"/>
        </w:rPr>
        <w:t>Defendant correctly states the law as reflected in </w:t>
      </w:r>
      <w:r>
        <w:rPr>
          <w:i/>
          <w:sz w:val="24"/>
        </w:rPr>
        <w:t>Archer</w:t>
      </w:r>
      <w:r>
        <w:rPr>
          <w:sz w:val="24"/>
        </w:rPr>
        <w:t>. </w:t>
      </w:r>
      <w:r>
        <w:rPr>
          <w:i/>
          <w:sz w:val="24"/>
        </w:rPr>
        <w:t>See Defendant’s </w:t>
      </w:r>
      <w:r>
        <w:rPr>
          <w:i/>
          <w:sz w:val="24"/>
        </w:rPr>
        <w:t>Response</w:t>
      </w:r>
      <w:r>
        <w:rPr>
          <w:sz w:val="24"/>
        </w:rPr>
        <w:t>, ¶ 11. Defendant attacks Plaintiffs for misrepresentations as to “law and facts” in </w:t>
      </w:r>
      <w:r>
        <w:rPr>
          <w:i/>
          <w:sz w:val="24"/>
        </w:rPr>
        <w:t>Anderson v. Purcell</w:t>
      </w:r>
      <w:r>
        <w:rPr>
          <w:sz w:val="24"/>
        </w:rPr>
        <w:t>, 244 P.3d 1188 (Colo. 2010). Ironically, Defendant misrepresents that Plaintiffs cited the case for the proposition that “a party cannot be the prevailing party if it didn’t prevail on some claims in the litigation.” </w:t>
      </w:r>
      <w:r>
        <w:rPr>
          <w:i/>
          <w:sz w:val="24"/>
        </w:rPr>
        <w:t>Defendant’s Response</w:t>
      </w:r>
      <w:r>
        <w:rPr>
          <w:sz w:val="24"/>
        </w:rPr>
        <w:t>, ¶ 13. Rather, Plaintiffs merely cited</w:t>
      </w:r>
      <w:r>
        <w:rPr>
          <w:spacing w:val="26"/>
          <w:sz w:val="24"/>
        </w:rPr>
        <w:t> </w:t>
      </w:r>
      <w:r>
        <w:rPr>
          <w:sz w:val="24"/>
        </w:rPr>
        <w:t>the</w:t>
      </w:r>
      <w:r>
        <w:rPr>
          <w:spacing w:val="29"/>
          <w:sz w:val="24"/>
        </w:rPr>
        <w:t> </w:t>
      </w:r>
      <w:r>
        <w:rPr>
          <w:sz w:val="24"/>
        </w:rPr>
        <w:t>case</w:t>
      </w:r>
      <w:r>
        <w:rPr>
          <w:spacing w:val="28"/>
          <w:sz w:val="24"/>
        </w:rPr>
        <w:t> </w:t>
      </w:r>
      <w:r>
        <w:rPr>
          <w:sz w:val="24"/>
        </w:rPr>
        <w:t>for</w:t>
      </w:r>
      <w:r>
        <w:rPr>
          <w:spacing w:val="29"/>
          <w:sz w:val="24"/>
        </w:rPr>
        <w:t> </w:t>
      </w:r>
      <w:r>
        <w:rPr>
          <w:sz w:val="24"/>
        </w:rPr>
        <w:t>the</w:t>
      </w:r>
      <w:r>
        <w:rPr>
          <w:spacing w:val="28"/>
          <w:sz w:val="24"/>
        </w:rPr>
        <w:t> </w:t>
      </w:r>
      <w:r>
        <w:rPr>
          <w:sz w:val="24"/>
        </w:rPr>
        <w:t>definitional</w:t>
      </w:r>
      <w:r>
        <w:rPr>
          <w:spacing w:val="28"/>
          <w:sz w:val="24"/>
        </w:rPr>
        <w:t> </w:t>
      </w:r>
      <w:r>
        <w:rPr>
          <w:sz w:val="24"/>
        </w:rPr>
        <w:t>language</w:t>
      </w:r>
      <w:r>
        <w:rPr>
          <w:spacing w:val="28"/>
          <w:sz w:val="24"/>
        </w:rPr>
        <w:t> </w:t>
      </w:r>
      <w:r>
        <w:rPr>
          <w:sz w:val="24"/>
        </w:rPr>
        <w:t>of</w:t>
      </w:r>
      <w:r>
        <w:rPr>
          <w:spacing w:val="28"/>
          <w:sz w:val="24"/>
        </w:rPr>
        <w:t> </w:t>
      </w:r>
      <w:r>
        <w:rPr>
          <w:sz w:val="24"/>
        </w:rPr>
        <w:t>a</w:t>
      </w:r>
      <w:r>
        <w:rPr>
          <w:spacing w:val="28"/>
          <w:sz w:val="24"/>
        </w:rPr>
        <w:t> </w:t>
      </w:r>
      <w:r>
        <w:rPr>
          <w:sz w:val="24"/>
        </w:rPr>
        <w:t>prevailing</w:t>
      </w:r>
      <w:r>
        <w:rPr>
          <w:spacing w:val="27"/>
          <w:sz w:val="24"/>
        </w:rPr>
        <w:t> </w:t>
      </w:r>
      <w:r>
        <w:rPr>
          <w:sz w:val="24"/>
        </w:rPr>
        <w:t>party.</w:t>
      </w:r>
      <w:r>
        <w:rPr>
          <w:spacing w:val="28"/>
          <w:sz w:val="24"/>
        </w:rPr>
        <w:t> </w:t>
      </w:r>
      <w:r>
        <w:rPr>
          <w:sz w:val="24"/>
        </w:rPr>
        <w:t>Nothing</w:t>
      </w:r>
      <w:r>
        <w:rPr>
          <w:spacing w:val="29"/>
          <w:sz w:val="24"/>
        </w:rPr>
        <w:t> </w:t>
      </w:r>
      <w:r>
        <w:rPr>
          <w:sz w:val="24"/>
        </w:rPr>
        <w:t>in</w:t>
      </w:r>
      <w:r>
        <w:rPr>
          <w:spacing w:val="28"/>
          <w:sz w:val="24"/>
        </w:rPr>
        <w:t> </w:t>
      </w:r>
      <w:r>
        <w:rPr>
          <w:sz w:val="24"/>
        </w:rPr>
        <w:t>Plaintiffs’</w:t>
      </w:r>
      <w:r>
        <w:rPr>
          <w:spacing w:val="29"/>
          <w:sz w:val="24"/>
        </w:rPr>
        <w:t> </w:t>
      </w:r>
      <w:r>
        <w:rPr>
          <w:sz w:val="24"/>
        </w:rPr>
        <w:t>Motion</w:t>
      </w:r>
    </w:p>
    <w:p>
      <w:pPr>
        <w:spacing w:after="0" w:line="480" w:lineRule="auto"/>
        <w:jc w:val="both"/>
        <w:rPr>
          <w:sz w:val="24"/>
        </w:rPr>
        <w:sectPr>
          <w:pgSz w:w="12240" w:h="15840"/>
          <w:pgMar w:header="0" w:footer="1065" w:top="1360" w:bottom="1260" w:left="1320" w:right="1240"/>
        </w:sectPr>
      </w:pPr>
    </w:p>
    <w:p>
      <w:pPr>
        <w:pStyle w:val="BodyText"/>
        <w:spacing w:line="480" w:lineRule="auto" w:before="76"/>
        <w:ind w:right="107"/>
        <w:jc w:val="both"/>
      </w:pPr>
      <w:r>
        <w:rPr/>
        <w:t>represents that the case stood for the finding of two prevailing parties. Rather, Plaintiffs argued, and continue to argue, that “[i]t is thus inequitable to declare Defendant prevailing party and award his costs associated with all claims” where multiple parties meet the definition of a prevailing party. </w:t>
      </w:r>
      <w:r>
        <w:rPr>
          <w:i/>
        </w:rPr>
        <w:t>Plaintiff’s Motion, </w:t>
      </w:r>
      <w:r>
        <w:rPr/>
        <w:t>¶ 21.</w:t>
      </w:r>
    </w:p>
    <w:p>
      <w:pPr>
        <w:pStyle w:val="ListParagraph"/>
        <w:numPr>
          <w:ilvl w:val="0"/>
          <w:numId w:val="1"/>
        </w:numPr>
        <w:tabs>
          <w:tab w:pos="1470" w:val="left" w:leader="none"/>
        </w:tabs>
        <w:spacing w:line="480" w:lineRule="auto" w:before="1" w:after="0"/>
        <w:ind w:left="120" w:right="108" w:firstLine="720"/>
        <w:jc w:val="both"/>
        <w:rPr>
          <w:sz w:val="24"/>
        </w:rPr>
      </w:pPr>
      <w:r>
        <w:rPr>
          <w:sz w:val="24"/>
        </w:rPr>
        <w:t>Plaintiffs request the Court reconsider and amend its judgment to reflect that both sides prevailed, pursuant to the definition of such term, and that no party should be awarded costs under these facts and circumstances to correct its error and avoid the resultant manifest</w:t>
      </w:r>
      <w:r>
        <w:rPr>
          <w:spacing w:val="-18"/>
          <w:sz w:val="24"/>
        </w:rPr>
        <w:t> </w:t>
      </w:r>
      <w:r>
        <w:rPr>
          <w:sz w:val="24"/>
        </w:rPr>
        <w:t>injustice.</w:t>
      </w:r>
    </w:p>
    <w:p>
      <w:pPr>
        <w:pStyle w:val="Heading1"/>
        <w:numPr>
          <w:ilvl w:val="0"/>
          <w:numId w:val="2"/>
        </w:numPr>
        <w:tabs>
          <w:tab w:pos="840" w:val="left" w:leader="none"/>
        </w:tabs>
        <w:spacing w:line="240" w:lineRule="auto" w:before="2" w:after="0"/>
        <w:ind w:left="840" w:right="0" w:hanging="360"/>
        <w:jc w:val="left"/>
        <w:rPr>
          <w:u w:val="none"/>
        </w:rPr>
      </w:pPr>
      <w:r>
        <w:rPr>
          <w:u w:val="thick"/>
        </w:rPr>
        <w:t>Alternatively, the Court should limit Defendant’s</w:t>
      </w:r>
      <w:r>
        <w:rPr>
          <w:spacing w:val="-3"/>
          <w:u w:val="thick"/>
        </w:rPr>
        <w:t> </w:t>
      </w:r>
      <w:r>
        <w:rPr>
          <w:u w:val="thick"/>
        </w:rPr>
        <w:t>costs.</w:t>
      </w:r>
    </w:p>
    <w:p>
      <w:pPr>
        <w:pStyle w:val="BodyText"/>
        <w:ind w:left="0"/>
        <w:rPr>
          <w:b/>
          <w:sz w:val="16"/>
        </w:rPr>
      </w:pPr>
    </w:p>
    <w:p>
      <w:pPr>
        <w:pStyle w:val="ListParagraph"/>
        <w:numPr>
          <w:ilvl w:val="0"/>
          <w:numId w:val="1"/>
        </w:numPr>
        <w:tabs>
          <w:tab w:pos="1560" w:val="left" w:leader="none"/>
        </w:tabs>
        <w:spacing w:line="480" w:lineRule="auto" w:before="90" w:after="0"/>
        <w:ind w:left="120" w:right="106" w:firstLine="720"/>
        <w:jc w:val="both"/>
        <w:rPr>
          <w:sz w:val="24"/>
        </w:rPr>
      </w:pPr>
      <w:r>
        <w:rPr>
          <w:sz w:val="24"/>
        </w:rPr>
        <w:t>District courts are vested with discretion in awarding or disallowing costs to successful litigants. </w:t>
      </w:r>
      <w:r>
        <w:rPr>
          <w:i/>
          <w:sz w:val="24"/>
        </w:rPr>
        <w:t>Cleverock Energy Corp. v. Trepel</w:t>
      </w:r>
      <w:r>
        <w:rPr>
          <w:sz w:val="24"/>
        </w:rPr>
        <w:t>, 609 F.2d 1358, 1363 (10th Cir.1979), cert. denied, 446 U.S. 909, 100 S.Ct. 1836, 64 L.Ed.2d 261 (1980); </w:t>
      </w:r>
      <w:r>
        <w:rPr>
          <w:i/>
          <w:sz w:val="24"/>
        </w:rPr>
        <w:t>Mikel v. Kerr</w:t>
      </w:r>
      <w:r>
        <w:rPr>
          <w:sz w:val="24"/>
        </w:rPr>
        <w:t>, 499 F.2d 1178, 1183 (10th Cir. 1974). As noted in Plaintiffs’ Motion, trial in this matter was initially scheduled for May 2, 2016. Over Plaintiffs’ objections and two related motions thereto, the Court continued the matter on the sole question of Defendant’s future damages as to his shoulder</w:t>
      </w:r>
      <w:r>
        <w:rPr>
          <w:spacing w:val="-9"/>
          <w:sz w:val="24"/>
        </w:rPr>
        <w:t> </w:t>
      </w:r>
      <w:r>
        <w:rPr>
          <w:sz w:val="24"/>
        </w:rPr>
        <w:t>injury.</w:t>
      </w:r>
    </w:p>
    <w:p>
      <w:pPr>
        <w:pStyle w:val="ListParagraph"/>
        <w:numPr>
          <w:ilvl w:val="0"/>
          <w:numId w:val="1"/>
        </w:numPr>
        <w:tabs>
          <w:tab w:pos="1560" w:val="left" w:leader="none"/>
        </w:tabs>
        <w:spacing w:line="480" w:lineRule="auto" w:before="0" w:after="0"/>
        <w:ind w:left="120" w:right="106" w:firstLine="630"/>
        <w:jc w:val="both"/>
        <w:rPr>
          <w:sz w:val="24"/>
        </w:rPr>
      </w:pPr>
      <w:r>
        <w:rPr>
          <w:sz w:val="24"/>
        </w:rPr>
        <w:t>In May of 2016, Plaintiffs wanted to litigate the issue on the evidence in hand, which would have prevented the motions practice for which Defendant blames Plaintiffs in his Reply. </w:t>
      </w:r>
      <w:r>
        <w:rPr>
          <w:i/>
          <w:sz w:val="24"/>
        </w:rPr>
        <w:t>Defendant’s Response</w:t>
      </w:r>
      <w:r>
        <w:rPr>
          <w:sz w:val="24"/>
        </w:rPr>
        <w:t>, ¶ 16. Defendant then argues that he is entitled to costs from the evidentiary hearing for the permanent protection order in this case. Rather than stay present, Defendant takes the “slippery slope” approach and extends a rational argument to a “logical extreme.” </w:t>
      </w:r>
      <w:r>
        <w:rPr>
          <w:i/>
          <w:sz w:val="24"/>
        </w:rPr>
        <w:t>Defendant’s Response, </w:t>
      </w:r>
      <w:r>
        <w:rPr>
          <w:sz w:val="24"/>
        </w:rPr>
        <w:t>¶ 18. Plaintiffs do not assert that counsel must submit a bill of costs after every motion, as Plaintiffs agree with Defendant that such an interpretation would in fact be “ludicrous.” However, to compare a permanent protection order hearing to every other motion is a logical fallacy, not a logical</w:t>
      </w:r>
      <w:r>
        <w:rPr>
          <w:spacing w:val="-3"/>
          <w:sz w:val="24"/>
        </w:rPr>
        <w:t> </w:t>
      </w:r>
      <w:r>
        <w:rPr>
          <w:sz w:val="24"/>
        </w:rPr>
        <w:t>extreme.</w:t>
      </w:r>
    </w:p>
    <w:p>
      <w:pPr>
        <w:spacing w:after="0" w:line="480" w:lineRule="auto"/>
        <w:jc w:val="both"/>
        <w:rPr>
          <w:sz w:val="24"/>
        </w:rPr>
        <w:sectPr>
          <w:pgSz w:w="12240" w:h="15840"/>
          <w:pgMar w:header="0" w:footer="1065" w:top="1360" w:bottom="1260" w:left="1320" w:right="1240"/>
        </w:sectPr>
      </w:pPr>
    </w:p>
    <w:p>
      <w:pPr>
        <w:pStyle w:val="ListParagraph"/>
        <w:numPr>
          <w:ilvl w:val="0"/>
          <w:numId w:val="1"/>
        </w:numPr>
        <w:tabs>
          <w:tab w:pos="1560" w:val="left" w:leader="none"/>
        </w:tabs>
        <w:spacing w:line="480" w:lineRule="auto" w:before="76" w:after="0"/>
        <w:ind w:left="120" w:right="197" w:firstLine="630"/>
        <w:jc w:val="both"/>
        <w:rPr>
          <w:sz w:val="24"/>
        </w:rPr>
      </w:pPr>
      <w:r>
        <w:rPr>
          <w:sz w:val="24"/>
        </w:rPr>
        <w:t>C.R.S. § 13-14-109 governs the award of fees and costs for protection order hearings, so Defendant’s logical extension is unnecessary. Nowhere in the statute is a respondent, here Defendant, entitled to costs for “prevailing” where a court does not award a permanent protection</w:t>
      </w:r>
      <w:r>
        <w:rPr>
          <w:spacing w:val="-1"/>
          <w:sz w:val="24"/>
        </w:rPr>
        <w:t> </w:t>
      </w:r>
      <w:r>
        <w:rPr>
          <w:sz w:val="24"/>
        </w:rPr>
        <w:t>order.</w:t>
      </w:r>
    </w:p>
    <w:p>
      <w:pPr>
        <w:pStyle w:val="ListParagraph"/>
        <w:numPr>
          <w:ilvl w:val="0"/>
          <w:numId w:val="1"/>
        </w:numPr>
        <w:tabs>
          <w:tab w:pos="1560" w:val="left" w:leader="none"/>
        </w:tabs>
        <w:spacing w:line="480" w:lineRule="auto" w:before="1" w:after="0"/>
        <w:ind w:left="120" w:right="197" w:firstLine="630"/>
        <w:jc w:val="both"/>
        <w:rPr>
          <w:sz w:val="24"/>
        </w:rPr>
      </w:pPr>
      <w:r>
        <w:rPr>
          <w:sz w:val="24"/>
        </w:rPr>
        <w:t>Rather, C.R.S. § 13-14-109(3) states, “At the permanent protection order hearing, the</w:t>
      </w:r>
      <w:r>
        <w:rPr>
          <w:spacing w:val="34"/>
          <w:sz w:val="24"/>
        </w:rPr>
        <w:t> </w:t>
      </w:r>
      <w:r>
        <w:rPr>
          <w:sz w:val="24"/>
          <w:u w:val="single"/>
        </w:rPr>
        <w:t>court</w:t>
      </w:r>
      <w:r>
        <w:rPr>
          <w:spacing w:val="36"/>
          <w:sz w:val="24"/>
          <w:u w:val="single"/>
        </w:rPr>
        <w:t> </w:t>
      </w:r>
      <w:r>
        <w:rPr>
          <w:sz w:val="24"/>
          <w:u w:val="single"/>
        </w:rPr>
        <w:t>may</w:t>
      </w:r>
      <w:r>
        <w:rPr>
          <w:spacing w:val="35"/>
          <w:sz w:val="24"/>
          <w:u w:val="single"/>
        </w:rPr>
        <w:t> </w:t>
      </w:r>
      <w:r>
        <w:rPr>
          <w:sz w:val="24"/>
          <w:u w:val="single"/>
        </w:rPr>
        <w:t>require</w:t>
      </w:r>
      <w:r>
        <w:rPr>
          <w:spacing w:val="35"/>
          <w:sz w:val="24"/>
          <w:u w:val="single"/>
        </w:rPr>
        <w:t> </w:t>
      </w:r>
      <w:r>
        <w:rPr>
          <w:sz w:val="24"/>
          <w:u w:val="single"/>
        </w:rPr>
        <w:t>the</w:t>
      </w:r>
      <w:r>
        <w:rPr>
          <w:spacing w:val="36"/>
          <w:sz w:val="24"/>
          <w:u w:val="single"/>
        </w:rPr>
        <w:t> </w:t>
      </w:r>
      <w:r>
        <w:rPr>
          <w:sz w:val="24"/>
          <w:u w:val="single"/>
        </w:rPr>
        <w:t>respondent</w:t>
      </w:r>
      <w:r>
        <w:rPr>
          <w:spacing w:val="35"/>
          <w:sz w:val="24"/>
          <w:u w:val="single"/>
        </w:rPr>
        <w:t> </w:t>
      </w:r>
      <w:r>
        <w:rPr>
          <w:sz w:val="24"/>
          <w:u w:val="single"/>
        </w:rPr>
        <w:t>to</w:t>
      </w:r>
      <w:r>
        <w:rPr>
          <w:spacing w:val="36"/>
          <w:sz w:val="24"/>
          <w:u w:val="single"/>
        </w:rPr>
        <w:t> </w:t>
      </w:r>
      <w:r>
        <w:rPr>
          <w:sz w:val="24"/>
          <w:u w:val="single"/>
        </w:rPr>
        <w:t>pay</w:t>
      </w:r>
      <w:r>
        <w:rPr>
          <w:spacing w:val="35"/>
          <w:sz w:val="24"/>
        </w:rPr>
        <w:t> </w:t>
      </w:r>
      <w:r>
        <w:rPr>
          <w:sz w:val="24"/>
        </w:rPr>
        <w:t>the</w:t>
      </w:r>
      <w:r>
        <w:rPr>
          <w:spacing w:val="35"/>
          <w:sz w:val="24"/>
        </w:rPr>
        <w:t> </w:t>
      </w:r>
      <w:r>
        <w:rPr>
          <w:sz w:val="24"/>
        </w:rPr>
        <w:t>filing</w:t>
      </w:r>
      <w:r>
        <w:rPr>
          <w:spacing w:val="36"/>
          <w:sz w:val="24"/>
        </w:rPr>
        <w:t> </w:t>
      </w:r>
      <w:r>
        <w:rPr>
          <w:sz w:val="24"/>
        </w:rPr>
        <w:t>fee</w:t>
      </w:r>
      <w:r>
        <w:rPr>
          <w:spacing w:val="34"/>
          <w:sz w:val="24"/>
        </w:rPr>
        <w:t> </w:t>
      </w:r>
      <w:r>
        <w:rPr>
          <w:sz w:val="24"/>
        </w:rPr>
        <w:t>and</w:t>
      </w:r>
      <w:r>
        <w:rPr>
          <w:spacing w:val="35"/>
          <w:sz w:val="24"/>
        </w:rPr>
        <w:t> </w:t>
      </w:r>
      <w:r>
        <w:rPr>
          <w:sz w:val="24"/>
        </w:rPr>
        <w:t>service-of-process</w:t>
      </w:r>
      <w:r>
        <w:rPr>
          <w:spacing w:val="36"/>
          <w:sz w:val="24"/>
        </w:rPr>
        <w:t> </w:t>
      </w:r>
      <w:r>
        <w:rPr>
          <w:sz w:val="24"/>
        </w:rPr>
        <w:t>fees…,</w:t>
      </w:r>
      <w:r>
        <w:rPr>
          <w:spacing w:val="36"/>
          <w:sz w:val="24"/>
        </w:rPr>
        <w:t> </w:t>
      </w:r>
      <w:r>
        <w:rPr>
          <w:sz w:val="24"/>
        </w:rPr>
        <w:t>and</w:t>
      </w:r>
    </w:p>
    <w:p>
      <w:pPr>
        <w:pStyle w:val="BodyText"/>
      </w:pPr>
      <w:r>
        <w:rPr/>
        <w:t>to </w:t>
      </w:r>
      <w:r>
        <w:rPr>
          <w:u w:val="single"/>
        </w:rPr>
        <w:t>reimburse the petitioner for costs</w:t>
      </w:r>
      <w:r>
        <w:rPr/>
        <w:t> incurred in bringing the action.” The statute is one-sided, in</w:t>
      </w:r>
    </w:p>
    <w:p>
      <w:pPr>
        <w:pStyle w:val="BodyText"/>
        <w:spacing w:before="2"/>
        <w:ind w:left="0"/>
        <w:rPr>
          <w:sz w:val="16"/>
        </w:rPr>
      </w:pPr>
    </w:p>
    <w:p>
      <w:pPr>
        <w:pStyle w:val="BodyText"/>
        <w:spacing w:line="480" w:lineRule="auto" w:before="90"/>
        <w:ind w:right="198"/>
        <w:jc w:val="both"/>
      </w:pPr>
      <w:r>
        <w:rPr/>
        <w:t>that it does not provide for a discretionary award of costs to a respondent under any circumstances. Further, the Court already determined upon Defendant’s subsequent motion for attorney’s fees that fees and costs were not awardable under C.R.S. § 13-17-102, as Plaintiffs’ petition for such protection order did not lack substantial justification. The court, on December 14, 2015, denied defendant’s motion and closed this issue.</w:t>
      </w:r>
    </w:p>
    <w:p>
      <w:pPr>
        <w:pStyle w:val="ListParagraph"/>
        <w:numPr>
          <w:ilvl w:val="0"/>
          <w:numId w:val="1"/>
        </w:numPr>
        <w:tabs>
          <w:tab w:pos="1560" w:val="left" w:leader="none"/>
        </w:tabs>
        <w:spacing w:line="480" w:lineRule="auto" w:before="0" w:after="0"/>
        <w:ind w:left="120" w:right="196" w:firstLine="630"/>
        <w:jc w:val="both"/>
        <w:rPr>
          <w:sz w:val="24"/>
        </w:rPr>
      </w:pPr>
      <w:r>
        <w:rPr>
          <w:sz w:val="24"/>
        </w:rPr>
        <w:t>Finally, Plaintiffs note Defendant’s argument for the award of costs incident to the permanent orders hearing lacks any legal authority and Plaintiffs do not find any section of the Response indicating that supportive authority exists. For the foregoing reasons and those stated in Plaintiffs’ Motion and Plaintiffs’ Objection to Defendant’s Bill of Costs, filed contemporaneously herewith, Defendant’s argument on this issue should be</w:t>
      </w:r>
      <w:r>
        <w:rPr>
          <w:spacing w:val="-7"/>
          <w:sz w:val="24"/>
        </w:rPr>
        <w:t> </w:t>
      </w:r>
      <w:r>
        <w:rPr>
          <w:sz w:val="24"/>
        </w:rPr>
        <w:t>foreclosed.</w:t>
      </w:r>
    </w:p>
    <w:p>
      <w:pPr>
        <w:pStyle w:val="Heading1"/>
        <w:ind w:left="3569" w:right="3646" w:firstLine="0"/>
        <w:jc w:val="center"/>
        <w:rPr>
          <w:u w:val="none"/>
        </w:rPr>
      </w:pPr>
      <w:r>
        <w:rPr>
          <w:u w:val="thick"/>
        </w:rPr>
        <w:t>CONCLUSION</w:t>
      </w:r>
    </w:p>
    <w:p>
      <w:pPr>
        <w:pStyle w:val="BodyText"/>
        <w:ind w:left="0"/>
        <w:rPr>
          <w:b/>
          <w:sz w:val="16"/>
        </w:rPr>
      </w:pPr>
    </w:p>
    <w:p>
      <w:pPr>
        <w:pStyle w:val="BodyText"/>
        <w:spacing w:line="480" w:lineRule="auto" w:before="90"/>
        <w:ind w:left="119" w:right="197" w:firstLine="720"/>
        <w:jc w:val="both"/>
      </w:pPr>
      <w:r>
        <w:rPr/>
        <w:t>WHEREFORE, Plaintiffs respectfully request the Court reconsider its finding that Defendant was the prevailing party at trial and amend its judgment to reflect that no party is entitled to costs on that basis. Alternatively, Plaintiffs request the Court declare that Defendant’s costs are limited in scope to the period of time after judgment entered in the permanent protection</w:t>
      </w:r>
      <w:r>
        <w:rPr>
          <w:spacing w:val="6"/>
        </w:rPr>
        <w:t> </w:t>
      </w:r>
      <w:r>
        <w:rPr/>
        <w:t>hearing,</w:t>
      </w:r>
      <w:r>
        <w:rPr>
          <w:spacing w:val="6"/>
        </w:rPr>
        <w:t> </w:t>
      </w:r>
      <w:r>
        <w:rPr/>
        <w:t>including</w:t>
      </w:r>
      <w:r>
        <w:rPr>
          <w:spacing w:val="7"/>
        </w:rPr>
        <w:t> </w:t>
      </w:r>
      <w:r>
        <w:rPr/>
        <w:t>post-hearing</w:t>
      </w:r>
      <w:r>
        <w:rPr>
          <w:spacing w:val="7"/>
        </w:rPr>
        <w:t> </w:t>
      </w:r>
      <w:r>
        <w:rPr/>
        <w:t>filings</w:t>
      </w:r>
      <w:r>
        <w:rPr>
          <w:spacing w:val="7"/>
        </w:rPr>
        <w:t> </w:t>
      </w:r>
      <w:r>
        <w:rPr/>
        <w:t>thereto,</w:t>
      </w:r>
      <w:r>
        <w:rPr>
          <w:spacing w:val="6"/>
        </w:rPr>
        <w:t> </w:t>
      </w:r>
      <w:r>
        <w:rPr/>
        <w:t>ending</w:t>
      </w:r>
      <w:r>
        <w:rPr>
          <w:spacing w:val="7"/>
        </w:rPr>
        <w:t> </w:t>
      </w:r>
      <w:r>
        <w:rPr/>
        <w:t>with</w:t>
      </w:r>
      <w:r>
        <w:rPr>
          <w:spacing w:val="7"/>
        </w:rPr>
        <w:t> </w:t>
      </w:r>
      <w:r>
        <w:rPr/>
        <w:t>the</w:t>
      </w:r>
      <w:r>
        <w:rPr>
          <w:spacing w:val="7"/>
        </w:rPr>
        <w:t> </w:t>
      </w:r>
      <w:r>
        <w:rPr/>
        <w:t>court’s</w:t>
      </w:r>
      <w:r>
        <w:rPr>
          <w:spacing w:val="7"/>
        </w:rPr>
        <w:t> </w:t>
      </w:r>
      <w:r>
        <w:rPr/>
        <w:t>order</w:t>
      </w:r>
      <w:r>
        <w:rPr>
          <w:spacing w:val="7"/>
        </w:rPr>
        <w:t> </w:t>
      </w:r>
      <w:r>
        <w:rPr/>
        <w:t>of</w:t>
      </w:r>
    </w:p>
    <w:p>
      <w:pPr>
        <w:spacing w:after="0" w:line="480" w:lineRule="auto"/>
        <w:jc w:val="both"/>
        <w:sectPr>
          <w:pgSz w:w="12240" w:h="15840"/>
          <w:pgMar w:header="0" w:footer="1065" w:top="1360" w:bottom="1260" w:left="1320" w:right="1240"/>
        </w:sectPr>
      </w:pPr>
    </w:p>
    <w:p>
      <w:pPr>
        <w:pStyle w:val="BodyText"/>
        <w:spacing w:line="480" w:lineRule="auto" w:before="76"/>
        <w:ind w:left="119" w:right="196"/>
        <w:jc w:val="both"/>
      </w:pPr>
      <w:r>
        <w:rPr/>
        <w:t>December 14, 2015, until the Court’s April 29, 2016 order, continuing trial on the sole issue of Defendant’s future shoulder damages, which this Court reaffirmed in its December 2016 order. Independently of the prevailing party issue, Plaintiffs request the Court award Plaintiffs their costs from the Court’s April 29, 2016, order continuing the trial, which extended discovery until the May 2017 trial, pursuant to C.R.S. § 13-16-105, as Defendant released (nonsuited) all claims for those injuries after the parties litigated the issue for one full year. As such, plaintiffs expended costs for nothing as defendant neither presented any evidence as to future shoulder injury claims and lost the issue as each party prevailed and was awarded one</w:t>
      </w:r>
      <w:r>
        <w:rPr>
          <w:spacing w:val="-12"/>
        </w:rPr>
        <w:t> </w:t>
      </w:r>
      <w:r>
        <w:rPr/>
        <w:t>dollar.</w:t>
      </w:r>
    </w:p>
    <w:p>
      <w:pPr>
        <w:pStyle w:val="BodyText"/>
        <w:spacing w:before="1"/>
        <w:ind w:left="839"/>
      </w:pPr>
      <w:r>
        <w:rPr/>
        <w:t>RESPECTFULLY SUBMITTED this 1</w:t>
      </w:r>
      <w:r>
        <w:rPr>
          <w:vertAlign w:val="superscript"/>
        </w:rPr>
        <w:t>st</w:t>
      </w:r>
      <w:r>
        <w:rPr>
          <w:vertAlign w:val="baseline"/>
        </w:rPr>
        <w:t> day of June, 2017.</w:t>
      </w:r>
    </w:p>
    <w:p>
      <w:pPr>
        <w:pStyle w:val="BodyText"/>
        <w:ind w:left="0"/>
      </w:pPr>
    </w:p>
    <w:p>
      <w:pPr>
        <w:pStyle w:val="BodyText"/>
        <w:ind w:left="5160"/>
      </w:pPr>
      <w:r>
        <w:rPr/>
        <w:t>ABRAMS &amp; ASSOCIATES, LLC</w:t>
      </w:r>
    </w:p>
    <w:p>
      <w:pPr>
        <w:pStyle w:val="BodyText"/>
        <w:spacing w:before="1"/>
        <w:ind w:left="0"/>
      </w:pPr>
    </w:p>
    <w:p>
      <w:pPr>
        <w:tabs>
          <w:tab w:pos="9479" w:val="left" w:leader="none"/>
        </w:tabs>
        <w:spacing w:line="275" w:lineRule="exact" w:before="0"/>
        <w:ind w:left="5160" w:right="0" w:firstLine="0"/>
        <w:jc w:val="left"/>
        <w:rPr>
          <w:i/>
          <w:sz w:val="24"/>
        </w:rPr>
      </w:pPr>
      <w:r>
        <w:rPr>
          <w:i/>
          <w:sz w:val="24"/>
          <w:u w:val="single"/>
        </w:rPr>
        <w:t>/s/ Neil S.</w:t>
      </w:r>
      <w:r>
        <w:rPr>
          <w:i/>
          <w:spacing w:val="-6"/>
          <w:sz w:val="24"/>
          <w:u w:val="single"/>
        </w:rPr>
        <w:t> </w:t>
      </w:r>
      <w:r>
        <w:rPr>
          <w:i/>
          <w:sz w:val="24"/>
          <w:u w:val="single"/>
        </w:rPr>
        <w:t>Sullenberger</w:t>
        <w:tab/>
      </w:r>
    </w:p>
    <w:p>
      <w:pPr>
        <w:pStyle w:val="BodyText"/>
        <w:spacing w:line="275" w:lineRule="exact"/>
        <w:ind w:left="5160"/>
      </w:pPr>
      <w:r>
        <w:rPr/>
        <w:t>Neil S. Sullenberger, Attorney for Plaintiffs</w:t>
      </w:r>
    </w:p>
    <w:p>
      <w:pPr>
        <w:pStyle w:val="BodyText"/>
        <w:spacing w:before="2"/>
        <w:ind w:left="0"/>
      </w:pPr>
    </w:p>
    <w:p>
      <w:pPr>
        <w:spacing w:before="0"/>
        <w:ind w:left="5159" w:right="302" w:firstLine="0"/>
        <w:jc w:val="left"/>
        <w:rPr>
          <w:i/>
          <w:sz w:val="22"/>
        </w:rPr>
      </w:pPr>
      <w:r>
        <w:rPr>
          <w:i/>
          <w:sz w:val="22"/>
        </w:rPr>
        <w:t>(Original signature on file at Abrams &amp; Assoc., </w:t>
      </w:r>
      <w:r>
        <w:rPr>
          <w:i/>
          <w:sz w:val="22"/>
        </w:rPr>
        <w:t>LLC, pursuant to C.R.C.P. 121 § 1-26)</w:t>
      </w:r>
    </w:p>
    <w:p>
      <w:pPr>
        <w:spacing w:after="0"/>
        <w:jc w:val="left"/>
        <w:rPr>
          <w:sz w:val="22"/>
        </w:rPr>
        <w:sectPr>
          <w:pgSz w:w="12240" w:h="15840"/>
          <w:pgMar w:header="0" w:footer="1065" w:top="1360" w:bottom="1260" w:left="1320" w:right="1240"/>
        </w:sectPr>
      </w:pPr>
    </w:p>
    <w:p>
      <w:pPr>
        <w:pStyle w:val="Heading1"/>
        <w:spacing w:before="79"/>
        <w:ind w:left="3206" w:firstLine="0"/>
        <w:rPr>
          <w:u w:val="none"/>
        </w:rPr>
      </w:pPr>
      <w:r>
        <w:rPr>
          <w:u w:val="thick"/>
        </w:rPr>
        <w:t>CERTIFICATE OF SERVICE</w:t>
      </w:r>
    </w:p>
    <w:p>
      <w:pPr>
        <w:pStyle w:val="BodyText"/>
        <w:spacing w:before="9"/>
        <w:ind w:left="0"/>
        <w:rPr>
          <w:b/>
          <w:sz w:val="23"/>
        </w:rPr>
      </w:pPr>
    </w:p>
    <w:p>
      <w:pPr>
        <w:pStyle w:val="BodyText"/>
        <w:ind w:right="197" w:firstLine="720"/>
        <w:jc w:val="both"/>
      </w:pPr>
      <w:r>
        <w:rPr/>
        <w:t>I HEREBY CERTIFY I have this 1</w:t>
      </w:r>
      <w:r>
        <w:rPr>
          <w:vertAlign w:val="superscript"/>
        </w:rPr>
        <w:t>st</w:t>
      </w:r>
      <w:r>
        <w:rPr>
          <w:vertAlign w:val="baseline"/>
        </w:rPr>
        <w:t> day of June, 2017, via ICCES, served a true copy of the foregoing PLAINTIFFS’ REPLY TO DEFENDANT’S RESPONSE TO MOTION TO RECONSIDER COST APPORTIONMENT AND AMEND JUDGMENT upon:</w:t>
      </w:r>
    </w:p>
    <w:p>
      <w:pPr>
        <w:pStyle w:val="BodyText"/>
        <w:ind w:left="0"/>
      </w:pPr>
    </w:p>
    <w:p>
      <w:pPr>
        <w:pStyle w:val="BodyText"/>
        <w:ind w:left="138" w:right="7969"/>
      </w:pPr>
      <w:r>
        <w:rPr/>
        <w:t>Wadi Muhaisen Amanda Becker</w:t>
      </w:r>
    </w:p>
    <w:p>
      <w:pPr>
        <w:pStyle w:val="BodyText"/>
        <w:ind w:left="138" w:right="6555"/>
      </w:pPr>
      <w:r>
        <w:rPr/>
        <w:t>Muhaisen &amp; Muhaisen, LLC 1435 Larimer Street, Suite 203</w:t>
      </w:r>
    </w:p>
    <w:p>
      <w:pPr>
        <w:pStyle w:val="BodyText"/>
        <w:ind w:left="138"/>
      </w:pPr>
      <w:r>
        <w:rPr/>
        <w:t>Denver, Colorado 80202</w:t>
      </w:r>
    </w:p>
    <w:p>
      <w:pPr>
        <w:spacing w:before="1"/>
        <w:ind w:left="138" w:right="0" w:firstLine="0"/>
        <w:jc w:val="left"/>
        <w:rPr>
          <w:i/>
          <w:sz w:val="24"/>
        </w:rPr>
      </w:pPr>
      <w:r>
        <w:rPr>
          <w:i/>
          <w:sz w:val="24"/>
        </w:rPr>
        <w:t>Attorney for Defendant</w:t>
      </w:r>
    </w:p>
    <w:p>
      <w:pPr>
        <w:pStyle w:val="BodyText"/>
        <w:ind w:left="0"/>
        <w:rPr>
          <w:i/>
          <w:sz w:val="26"/>
        </w:rPr>
      </w:pPr>
    </w:p>
    <w:p>
      <w:pPr>
        <w:tabs>
          <w:tab w:pos="9479" w:val="left" w:leader="none"/>
        </w:tabs>
        <w:spacing w:line="275" w:lineRule="exact" w:before="211"/>
        <w:ind w:left="5160" w:right="0" w:firstLine="0"/>
        <w:jc w:val="left"/>
        <w:rPr>
          <w:i/>
          <w:sz w:val="24"/>
        </w:rPr>
      </w:pPr>
      <w:r>
        <w:rPr>
          <w:i/>
          <w:sz w:val="24"/>
          <w:u w:val="single"/>
        </w:rPr>
        <w:t>/s/ Michael A.</w:t>
      </w:r>
      <w:r>
        <w:rPr>
          <w:i/>
          <w:spacing w:val="-6"/>
          <w:sz w:val="24"/>
          <w:u w:val="single"/>
        </w:rPr>
        <w:t> </w:t>
      </w:r>
      <w:r>
        <w:rPr>
          <w:i/>
          <w:sz w:val="24"/>
          <w:u w:val="single"/>
        </w:rPr>
        <w:t>Gubiotti</w:t>
        <w:tab/>
      </w:r>
    </w:p>
    <w:p>
      <w:pPr>
        <w:pStyle w:val="BodyText"/>
        <w:spacing w:line="275" w:lineRule="exact"/>
        <w:ind w:left="5160"/>
      </w:pPr>
      <w:r>
        <w:rPr/>
        <w:t>Michael A. Gubiotti</w:t>
      </w:r>
    </w:p>
    <w:p>
      <w:pPr>
        <w:pStyle w:val="BodyText"/>
        <w:spacing w:before="2"/>
        <w:ind w:left="0"/>
      </w:pPr>
    </w:p>
    <w:p>
      <w:pPr>
        <w:spacing w:before="0"/>
        <w:ind w:left="5160" w:right="356" w:firstLine="0"/>
        <w:jc w:val="left"/>
        <w:rPr>
          <w:i/>
          <w:sz w:val="22"/>
        </w:rPr>
      </w:pPr>
      <w:r>
        <w:rPr>
          <w:i/>
          <w:sz w:val="22"/>
        </w:rPr>
        <w:t>(Original signature on file at Abrams &amp; Assoc. </w:t>
      </w:r>
      <w:r>
        <w:rPr>
          <w:i/>
          <w:sz w:val="22"/>
        </w:rPr>
        <w:t>LLC pursuant to C.R.C.P. 121 § 1-26)</w:t>
      </w:r>
    </w:p>
    <w:sectPr>
      <w:pgSz w:w="12240" w:h="15840"/>
      <w:pgMar w:header="0" w:footer="1065" w:top="1360" w:bottom="126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pt;margin-top:727.746643pt;width:10pt;height:15.3pt;mso-position-horizontal-relative:page;mso-position-vertical-relative:page;z-index:-5968"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72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492" w:hanging="360"/>
      </w:pPr>
      <w:rPr>
        <w:rFonts w:hint="default"/>
      </w:rPr>
    </w:lvl>
    <w:lvl w:ilvl="4">
      <w:start w:val="0"/>
      <w:numFmt w:val="bullet"/>
      <w:lvlText w:val="•"/>
      <w:lvlJc w:val="left"/>
      <w:pPr>
        <w:ind w:left="4376" w:hanging="360"/>
      </w:pPr>
      <w:rPr>
        <w:rFonts w:hint="default"/>
      </w:rPr>
    </w:lvl>
    <w:lvl w:ilvl="5">
      <w:start w:val="0"/>
      <w:numFmt w:val="bullet"/>
      <w:lvlText w:val="•"/>
      <w:lvlJc w:val="left"/>
      <w:pPr>
        <w:ind w:left="5260" w:hanging="360"/>
      </w:pPr>
      <w:rPr>
        <w:rFonts w:hint="default"/>
      </w:rPr>
    </w:lvl>
    <w:lvl w:ilvl="6">
      <w:start w:val="0"/>
      <w:numFmt w:val="bullet"/>
      <w:lvlText w:val="•"/>
      <w:lvlJc w:val="left"/>
      <w:pPr>
        <w:ind w:left="6144" w:hanging="360"/>
      </w:pPr>
      <w:rPr>
        <w:rFonts w:hint="default"/>
      </w:rPr>
    </w:lvl>
    <w:lvl w:ilvl="7">
      <w:start w:val="0"/>
      <w:numFmt w:val="bullet"/>
      <w:lvlText w:val="•"/>
      <w:lvlJc w:val="left"/>
      <w:pPr>
        <w:ind w:left="7028" w:hanging="360"/>
      </w:pPr>
      <w:rPr>
        <w:rFonts w:hint="default"/>
      </w:rPr>
    </w:lvl>
    <w:lvl w:ilvl="8">
      <w:start w:val="0"/>
      <w:numFmt w:val="bullet"/>
      <w:lvlText w:val="•"/>
      <w:lvlJc w:val="left"/>
      <w:pPr>
        <w:ind w:left="7912" w:hanging="360"/>
      </w:pPr>
      <w:rPr>
        <w:rFonts w:hint="default"/>
      </w:rPr>
    </w:lvl>
  </w:abstractNum>
  <w:abstractNum w:abstractNumId="0">
    <w:multiLevelType w:val="hybridMultilevel"/>
    <w:lvl w:ilvl="0">
      <w:start w:val="1"/>
      <w:numFmt w:val="decimal"/>
      <w:lvlText w:val="%1."/>
      <w:lvlJc w:val="left"/>
      <w:pPr>
        <w:ind w:left="1470" w:hanging="630"/>
        <w:jc w:val="right"/>
      </w:pPr>
      <w:rPr>
        <w:rFonts w:hint="default" w:ascii="Times New Roman" w:hAnsi="Times New Roman" w:eastAsia="Times New Roman" w:cs="Times New Roman"/>
        <w:spacing w:val="-2"/>
        <w:w w:val="99"/>
        <w:sz w:val="24"/>
        <w:szCs w:val="24"/>
      </w:rPr>
    </w:lvl>
    <w:lvl w:ilvl="1">
      <w:start w:val="0"/>
      <w:numFmt w:val="bullet"/>
      <w:lvlText w:val="•"/>
      <w:lvlJc w:val="left"/>
      <w:pPr>
        <w:ind w:left="1480" w:hanging="630"/>
      </w:pPr>
      <w:rPr>
        <w:rFonts w:hint="default"/>
      </w:rPr>
    </w:lvl>
    <w:lvl w:ilvl="2">
      <w:start w:val="0"/>
      <w:numFmt w:val="bullet"/>
      <w:lvlText w:val="•"/>
      <w:lvlJc w:val="left"/>
      <w:pPr>
        <w:ind w:left="3900" w:hanging="630"/>
      </w:pPr>
      <w:rPr>
        <w:rFonts w:hint="default"/>
      </w:rPr>
    </w:lvl>
    <w:lvl w:ilvl="3">
      <w:start w:val="0"/>
      <w:numFmt w:val="bullet"/>
      <w:lvlText w:val="•"/>
      <w:lvlJc w:val="left"/>
      <w:pPr>
        <w:ind w:left="4622" w:hanging="630"/>
      </w:pPr>
      <w:rPr>
        <w:rFonts w:hint="default"/>
      </w:rPr>
    </w:lvl>
    <w:lvl w:ilvl="4">
      <w:start w:val="0"/>
      <w:numFmt w:val="bullet"/>
      <w:lvlText w:val="•"/>
      <w:lvlJc w:val="left"/>
      <w:pPr>
        <w:ind w:left="5345" w:hanging="630"/>
      </w:pPr>
      <w:rPr>
        <w:rFonts w:hint="default"/>
      </w:rPr>
    </w:lvl>
    <w:lvl w:ilvl="5">
      <w:start w:val="0"/>
      <w:numFmt w:val="bullet"/>
      <w:lvlText w:val="•"/>
      <w:lvlJc w:val="left"/>
      <w:pPr>
        <w:ind w:left="6067" w:hanging="630"/>
      </w:pPr>
      <w:rPr>
        <w:rFonts w:hint="default"/>
      </w:rPr>
    </w:lvl>
    <w:lvl w:ilvl="6">
      <w:start w:val="0"/>
      <w:numFmt w:val="bullet"/>
      <w:lvlText w:val="•"/>
      <w:lvlJc w:val="left"/>
      <w:pPr>
        <w:ind w:left="6790" w:hanging="630"/>
      </w:pPr>
      <w:rPr>
        <w:rFonts w:hint="default"/>
      </w:rPr>
    </w:lvl>
    <w:lvl w:ilvl="7">
      <w:start w:val="0"/>
      <w:numFmt w:val="bullet"/>
      <w:lvlText w:val="•"/>
      <w:lvlJc w:val="left"/>
      <w:pPr>
        <w:ind w:left="7512" w:hanging="630"/>
      </w:pPr>
      <w:rPr>
        <w:rFonts w:hint="default"/>
      </w:rPr>
    </w:lvl>
    <w:lvl w:ilvl="8">
      <w:start w:val="0"/>
      <w:numFmt w:val="bullet"/>
      <w:lvlText w:val="•"/>
      <w:lvlJc w:val="left"/>
      <w:pPr>
        <w:ind w:left="8235" w:hanging="63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840" w:hanging="3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right="107"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2019-03-18T21:33:39Z</dcterms:created>
  <dcterms:modified xsi:type="dcterms:W3CDTF">2019-03-18T21:33:39Z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