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spacing w:before="107"/>
        <w:ind w:left="0" w:right="108" w:firstLine="0"/>
        <w:jc w:val="right"/>
        <w:rPr>
          <w:rFonts w:ascii="Minion Pro"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5.839996pt;margin-top:-21.317068pt;width:460.95pt;height:346.2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006"/>
                    <w:gridCol w:w="4183"/>
                  </w:tblGrid>
                  <w:tr>
                    <w:trPr>
                      <w:trHeight w:val="1172" w:hRule="atLeast"/>
                    </w:trPr>
                    <w:tc>
                      <w:tcPr>
                        <w:tcW w:w="5006" w:type="dxa"/>
                      </w:tcPr>
                      <w:p>
                        <w:pPr>
                          <w:pStyle w:val="TableParagraph"/>
                          <w:spacing w:line="257" w:lineRule="exact" w:before="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COUNTY COURT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GILPIN COUNTY, COLORADO</w:t>
                        </w:r>
                      </w:p>
                      <w:p>
                        <w:pPr>
                          <w:pStyle w:val="TableParagraph"/>
                          <w:spacing w:line="211" w:lineRule="auto" w:before="8"/>
                          <w:ind w:right="5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2960 Dory Hill Road, Suite 200 Black Hawk, CO 80422</w:t>
                        </w:r>
                      </w:p>
                    </w:tc>
                    <w:tc>
                      <w:tcPr>
                        <w:tcW w:w="4183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auto"/>
                          <w:ind w:left="1449" w:right="7"/>
                          <w:rPr>
                            <w:rFonts w:ascii="Minion Pro"/>
                            <w:sz w:val="19"/>
                          </w:rPr>
                        </w:pPr>
                        <w:r>
                          <w:rPr>
                            <w:rFonts w:ascii="Minion Pro"/>
                            <w:color w:val="0000FF"/>
                            <w:spacing w:val="-6"/>
                            <w:w w:val="105"/>
                            <w:sz w:val="19"/>
                          </w:rPr>
                          <w:t>DATE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FILED: December 20, </w:t>
                        </w:r>
                        <w:r>
                          <w:rPr>
                            <w:rFonts w:ascii="Minion Pro"/>
                            <w:color w:val="0000FF"/>
                            <w:spacing w:val="-4"/>
                            <w:w w:val="105"/>
                            <w:sz w:val="19"/>
                          </w:rPr>
                          <w:t>2016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FILING ID: 6FCEB68E28819 CASE NUMBER: 2016T169</w:t>
                        </w: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50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183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500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Plaintiff(s):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PEOPLE OF THE STATE OF COLORADO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22" w:hRule="atLeast"/>
                    </w:trPr>
                    <w:tc>
                      <w:tcPr>
                        <w:tcW w:w="50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7" w:lineRule="exact" w:before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Defendant(s):</w:t>
                        </w:r>
                      </w:p>
                      <w:p>
                        <w:pPr>
                          <w:pStyle w:val="TableParagraph"/>
                          <w:spacing w:line="25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ROBERT FRIEDLANDER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18" w:lineRule="exact" w:before="1"/>
                          <w:ind w:left="6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COURT USE ONLY</w:t>
                        </w:r>
                      </w:p>
                    </w:tc>
                  </w:tr>
                  <w:tr>
                    <w:trPr>
                      <w:trHeight w:val="1439" w:hRule="atLeast"/>
                    </w:trPr>
                    <w:tc>
                      <w:tcPr>
                        <w:tcW w:w="500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4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ATTORNEYS FOR THE DEFENDANT</w:t>
                        </w:r>
                      </w:p>
                      <w:p>
                        <w:pPr>
                          <w:pStyle w:val="TableParagraph"/>
                          <w:spacing w:line="211" w:lineRule="auto" w:before="233"/>
                          <w:ind w:right="15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FIFE LUNEAU, P.C. CHARLES L. FIFE, #17799 DANNY LUNEAU, #43639</w:t>
                        </w:r>
                      </w:p>
                    </w:tc>
                    <w:tc>
                      <w:tcPr>
                        <w:tcW w:w="418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223"/>
                          <w:ind w:left="2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Case Number: 16 T 169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154"/>
                          <w:ind w:left="2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Division: 1</w:t>
                        </w:r>
                      </w:p>
                    </w:tc>
                  </w:tr>
                  <w:tr>
                    <w:trPr>
                      <w:trHeight w:val="1413" w:hRule="atLeast"/>
                    </w:trPr>
                    <w:tc>
                      <w:tcPr>
                        <w:tcW w:w="500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56" w:lineRule="exact" w:before="22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1873 S. BELLAIRE, SUITE 200</w:t>
                        </w:r>
                      </w:p>
                      <w:p>
                        <w:pPr>
                          <w:pStyle w:val="TableParagraph"/>
                          <w:spacing w:line="211" w:lineRule="auto" w:before="8"/>
                          <w:ind w:right="23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DENVER, CO 80222 Ph:(303)757-2200 FAX: (303)756-6160</w:t>
                        </w:r>
                      </w:p>
                    </w:tc>
                    <w:tc>
                      <w:tcPr>
                        <w:tcW w:w="4183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1088" w:hRule="atLeast"/>
                    </w:trPr>
                    <w:tc>
                      <w:tcPr>
                        <w:tcW w:w="9189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11" w:lineRule="auto"/>
                          <w:ind w:left="1209" w:right="450" w:hanging="7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MOTION FOR JUDICIAL DETERMINATION OF THE ADMISSIBILITY OF DEFENDANT’S PRIVATE PORTABLE BREATH TEST RESULT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inion Pro"/>
          <w:color w:val="0000FF"/>
          <w:w w:val="105"/>
          <w:sz w:val="19"/>
        </w:rPr>
        <w:t>3:39 PM</w:t>
      </w: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spacing w:before="8"/>
        <w:rPr>
          <w:rFonts w:ascii="Minion Pro"/>
          <w:sz w:val="20"/>
        </w:rPr>
      </w:pPr>
    </w:p>
    <w:p>
      <w:pPr>
        <w:pStyle w:val="BodyText"/>
        <w:spacing w:line="211" w:lineRule="auto"/>
        <w:ind w:left="100" w:right="678" w:firstLine="720"/>
      </w:pPr>
      <w:r>
        <w:rPr/>
        <w:t>COMES NOW, the Defendant, above named, by and through his undersigned attorneys, Fife Luneau, P.C., and request a</w:t>
      </w:r>
      <w:r>
        <w:rPr>
          <w:spacing w:val="-55"/>
        </w:rPr>
        <w:t> </w:t>
      </w:r>
      <w:r>
        <w:rPr/>
        <w:t>judicial determination of the admissibility of Defendant’s private portable breath test result. As grounds, Defendant states as follows: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19" w:val="left" w:leader="none"/>
        </w:tabs>
        <w:ind w:left="100"/>
      </w:pPr>
      <w:r>
        <w:rPr/>
        <w:t>1.</w:t>
        <w:tab/>
        <w:t>C.R.S. §</w:t>
      </w:r>
      <w:r>
        <w:rPr>
          <w:spacing w:val="-2"/>
        </w:rPr>
        <w:t> </w:t>
      </w:r>
      <w:r>
        <w:rPr/>
        <w:t>42–4–1301(6)states: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11" w:lineRule="auto" w:before="0" w:after="0"/>
        <w:ind w:left="100" w:right="659" w:firstLine="0"/>
        <w:jc w:val="left"/>
        <w:rPr>
          <w:sz w:val="24"/>
        </w:rPr>
      </w:pPr>
      <w:r>
        <w:rPr>
          <w:sz w:val="24"/>
        </w:rPr>
        <w:t>The results of this preliminary screening test may be used by a law enforcement officer in determining whether probable cause exists to believe such person was driving a motor vehicle or vehicle in violation of this section and whether to</w:t>
      </w:r>
      <w:r>
        <w:rPr>
          <w:spacing w:val="-12"/>
          <w:sz w:val="24"/>
        </w:rPr>
        <w:t> </w:t>
      </w:r>
      <w:r>
        <w:rPr>
          <w:sz w:val="24"/>
        </w:rPr>
        <w:t>administer a test pursuant to section</w:t>
      </w:r>
      <w:r>
        <w:rPr>
          <w:spacing w:val="-6"/>
          <w:sz w:val="24"/>
        </w:rPr>
        <w:t> </w:t>
      </w:r>
      <w:r>
        <w:rPr>
          <w:sz w:val="24"/>
        </w:rPr>
        <w:t>42-4-1301.1(2).</w:t>
      </w:r>
    </w:p>
    <w:p>
      <w:pPr>
        <w:pStyle w:val="ListParagraph"/>
        <w:numPr>
          <w:ilvl w:val="0"/>
          <w:numId w:val="1"/>
        </w:numPr>
        <w:tabs>
          <w:tab w:pos="964" w:val="left" w:leader="none"/>
        </w:tabs>
        <w:spacing w:line="211" w:lineRule="auto" w:before="3" w:after="0"/>
        <w:ind w:left="100" w:right="659" w:firstLine="0"/>
        <w:jc w:val="left"/>
        <w:rPr>
          <w:sz w:val="24"/>
        </w:rPr>
      </w:pPr>
      <w:r>
        <w:rPr>
          <w:sz w:val="24"/>
        </w:rPr>
        <w:t>Neither the results of such preliminary screening test nor the fact that the person refused such test shall be used in any court action except in a hearing outside of the presence of a jury, when such hearing is held to determine if a law</w:t>
      </w:r>
      <w:r>
        <w:rPr>
          <w:spacing w:val="-13"/>
          <w:sz w:val="24"/>
        </w:rPr>
        <w:t> </w:t>
      </w:r>
      <w:r>
        <w:rPr>
          <w:sz w:val="24"/>
        </w:rPr>
        <w:t>enforcement officer had probable cause to believe that the driver committed</w:t>
      </w:r>
      <w:r>
        <w:rPr>
          <w:spacing w:val="-12"/>
          <w:sz w:val="24"/>
        </w:rPr>
        <w:t> </w:t>
      </w:r>
      <w:r>
        <w:rPr>
          <w:sz w:val="24"/>
        </w:rPr>
        <w:t>a violation of this section. The results of such preliminary screening test shall be made available to the driver or the driver's attorney on</w:t>
      </w:r>
      <w:r>
        <w:rPr>
          <w:spacing w:val="-4"/>
          <w:sz w:val="24"/>
        </w:rPr>
        <w:t> </w:t>
      </w:r>
      <w:r>
        <w:rPr>
          <w:sz w:val="24"/>
        </w:rPr>
        <w:t>request.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963" w:val="left" w:leader="none"/>
          <w:tab w:pos="964" w:val="left" w:leader="none"/>
        </w:tabs>
        <w:spacing w:line="240" w:lineRule="auto" w:before="0" w:after="0"/>
        <w:ind w:left="964" w:right="0" w:hanging="864"/>
        <w:jc w:val="left"/>
        <w:rPr>
          <w:sz w:val="24"/>
        </w:rPr>
      </w:pPr>
      <w:r>
        <w:rPr>
          <w:sz w:val="24"/>
        </w:rPr>
        <w:t>It is clear that under C.R.S. § 42–4–1301(6), a</w:t>
      </w:r>
      <w:r>
        <w:rPr>
          <w:spacing w:val="-11"/>
          <w:sz w:val="24"/>
        </w:rPr>
        <w:t> </w:t>
      </w:r>
      <w:r>
        <w:rPr>
          <w:sz w:val="24"/>
        </w:rPr>
        <w:t>law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500" w:bottom="280" w:left="1340" w:right="780"/>
        </w:sectPr>
      </w:pPr>
    </w:p>
    <w:p>
      <w:pPr>
        <w:pStyle w:val="BodyText"/>
        <w:spacing w:line="211" w:lineRule="auto" w:before="92"/>
        <w:ind w:left="100" w:right="678"/>
      </w:pPr>
      <w:r>
        <w:rPr/>
        <w:t>enforcement officer’s portable breath test (PBT) is not admissible in a jury trial. Moreover, the Colorado Supreme Court in </w:t>
      </w:r>
      <w:r>
        <w:rPr>
          <w:i/>
        </w:rPr>
        <w:t>People v. Cain</w:t>
      </w:r>
      <w:r>
        <w:rPr/>
        <w:t>, 327 P.3d 249 (Colo. 2014), clarified that a law enforcement officer’s PBT is not admissible under any circumstances, including impeachment or the “opening the door” exception.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63" w:val="left" w:leader="none"/>
          <w:tab w:pos="964" w:val="left" w:leader="none"/>
        </w:tabs>
        <w:spacing w:line="211" w:lineRule="auto" w:before="0" w:after="0"/>
        <w:ind w:left="100" w:right="659" w:firstLine="0"/>
        <w:jc w:val="left"/>
        <w:rPr>
          <w:sz w:val="24"/>
        </w:rPr>
      </w:pPr>
      <w:r>
        <w:rPr>
          <w:sz w:val="24"/>
        </w:rPr>
        <w:t>In this case, Mr. Friedlander owned his own (PBT) that he used prior to arrest in this case. Mr. Friedlander’s PBT</w:t>
      </w:r>
      <w:r>
        <w:rPr>
          <w:spacing w:val="-12"/>
          <w:sz w:val="24"/>
        </w:rPr>
        <w:t> </w:t>
      </w:r>
      <w:r>
        <w:rPr>
          <w:sz w:val="24"/>
        </w:rPr>
        <w:t>recorded a blood alchol content (BAC) under</w:t>
      </w:r>
      <w:r>
        <w:rPr>
          <w:spacing w:val="-7"/>
          <w:sz w:val="24"/>
        </w:rPr>
        <w:t> </w:t>
      </w:r>
      <w:r>
        <w:rPr>
          <w:sz w:val="24"/>
        </w:rPr>
        <w:t>.05.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  <w:tab w:pos="3411" w:val="left" w:leader="none"/>
        </w:tabs>
        <w:spacing w:line="223" w:lineRule="auto" w:before="1" w:after="0"/>
        <w:ind w:left="100" w:right="659" w:firstLine="0"/>
        <w:jc w:val="left"/>
        <w:rPr>
          <w:sz w:val="24"/>
        </w:rPr>
      </w:pPr>
      <w:r>
        <w:rPr>
          <w:sz w:val="24"/>
        </w:rPr>
        <w:t>C.R.S. § 42–4–1301(6)and </w:t>
      </w:r>
      <w:r>
        <w:rPr>
          <w:i/>
          <w:sz w:val="24"/>
        </w:rPr>
        <w:t>Cain </w:t>
      </w:r>
      <w:r>
        <w:rPr>
          <w:sz w:val="24"/>
        </w:rPr>
        <w:t>do not address or prohibit</w:t>
      </w:r>
      <w:r>
        <w:rPr>
          <w:spacing w:val="-15"/>
          <w:sz w:val="24"/>
        </w:rPr>
        <w:t> </w:t>
      </w:r>
      <w:r>
        <w:rPr>
          <w:sz w:val="24"/>
        </w:rPr>
        <w:t>the use of a</w:t>
      </w:r>
      <w:r>
        <w:rPr>
          <w:spacing w:val="-4"/>
          <w:sz w:val="24"/>
        </w:rPr>
        <w:t> </w:t>
      </w:r>
      <w:r>
        <w:rPr>
          <w:sz w:val="24"/>
        </w:rPr>
        <w:t>private</w:t>
      </w:r>
      <w:r>
        <w:rPr>
          <w:spacing w:val="-1"/>
          <w:sz w:val="24"/>
        </w:rPr>
        <w:t> </w:t>
      </w:r>
      <w:r>
        <w:rPr>
          <w:sz w:val="24"/>
        </w:rPr>
        <w:t>PBT.</w:t>
        <w:tab/>
        <w:t>Mr. Friedlander wishes to use this PBT result during his</w:t>
      </w:r>
      <w:r>
        <w:rPr>
          <w:spacing w:val="-4"/>
          <w:sz w:val="24"/>
        </w:rPr>
        <w:t> </w:t>
      </w:r>
      <w:r>
        <w:rPr>
          <w:sz w:val="24"/>
        </w:rPr>
        <w:t>trial.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  <w:tab w:pos="1683" w:val="left" w:leader="none"/>
          <w:tab w:pos="8306" w:val="left" w:leader="none"/>
        </w:tabs>
        <w:spacing w:line="211" w:lineRule="auto" w:before="0" w:after="0"/>
        <w:ind w:left="100" w:right="659" w:firstLine="0"/>
        <w:jc w:val="left"/>
        <w:rPr>
          <w:sz w:val="24"/>
        </w:rPr>
      </w:pPr>
      <w:r>
        <w:rPr>
          <w:sz w:val="24"/>
        </w:rPr>
        <w:t>A defendant’s right to present a defense pursuant to the</w:t>
      </w:r>
      <w:r>
        <w:rPr>
          <w:spacing w:val="-50"/>
          <w:sz w:val="24"/>
        </w:rPr>
        <w:t> </w:t>
      </w:r>
      <w:r>
        <w:rPr>
          <w:sz w:val="24"/>
        </w:rPr>
        <w:t>Due Process Clauses of the Colorado and United States Constitution cannot be unreasonably restricted by a statute</w:t>
      </w:r>
      <w:r>
        <w:rPr>
          <w:spacing w:val="-38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rule.</w:t>
        <w:tab/>
        <w:t>Courts have repeatedly held that where a defendant seeks to introduce reliable exculpatory evidence it is a violation of his Due Process rights for that evidence to be excluded based upon a</w:t>
      </w:r>
      <w:r>
        <w:rPr>
          <w:spacing w:val="-54"/>
          <w:sz w:val="24"/>
        </w:rPr>
        <w:t> </w:t>
      </w:r>
      <w:r>
        <w:rPr>
          <w:sz w:val="24"/>
        </w:rPr>
        <w:t>rule or statute that would otherwise prohibit the admission of such evidence.</w:t>
        <w:tab/>
      </w:r>
      <w:r>
        <w:rPr>
          <w:i/>
          <w:sz w:val="24"/>
        </w:rPr>
        <w:t>Holmes v. South Carolina, </w:t>
      </w:r>
      <w:r>
        <w:rPr>
          <w:sz w:val="24"/>
        </w:rPr>
        <w:t>126 S.Ct. 1727 (2006)(State rule that prohibited admission of evidence of third party guilt unless it raised a reasonable inference of the defendant’s guilt violated defendant’s due process rights), </w:t>
      </w:r>
      <w:r>
        <w:rPr>
          <w:i/>
          <w:sz w:val="24"/>
        </w:rPr>
        <w:t>Rock v. Arkansas,</w:t>
      </w:r>
      <w:r>
        <w:rPr>
          <w:i/>
          <w:spacing w:val="-44"/>
          <w:sz w:val="24"/>
        </w:rPr>
        <w:t> </w:t>
      </w:r>
      <w:r>
        <w:rPr>
          <w:sz w:val="24"/>
        </w:rPr>
        <w:t>483</w:t>
      </w:r>
    </w:p>
    <w:p>
      <w:pPr>
        <w:pStyle w:val="BodyText"/>
        <w:tabs>
          <w:tab w:pos="5139" w:val="left" w:leader="none"/>
        </w:tabs>
        <w:spacing w:line="211" w:lineRule="auto" w:before="8"/>
        <w:ind w:left="100" w:right="803"/>
      </w:pPr>
      <w:r>
        <w:rPr/>
        <w:t>U.S. 44, 107 S.Ct. 2704 (1987)(state rule prohibiting admission of hypnotically refreshed testimony violated defendants right</w:t>
      </w:r>
      <w:r>
        <w:rPr>
          <w:spacing w:val="-56"/>
        </w:rPr>
        <w:t> </w:t>
      </w:r>
      <w:r>
        <w:rPr/>
        <w:t>to present a defense under the Due Process clause), </w:t>
      </w:r>
      <w:r>
        <w:rPr>
          <w:i/>
        </w:rPr>
        <w:t>Crane v. </w:t>
      </w:r>
      <w:r>
        <w:rPr>
          <w:i/>
        </w:rPr>
        <w:t>Kentucky, </w:t>
      </w:r>
      <w:r>
        <w:rPr/>
        <w:t>476 U.S. 683, 106 S.Ct. 2142 (1986)(exclusion of testimony regarding circumstances of defendant’s confession on the grounds that the issue of voluntariness was resolved</w:t>
      </w:r>
      <w:r>
        <w:rPr>
          <w:spacing w:val="-55"/>
        </w:rPr>
        <w:t> </w:t>
      </w:r>
      <w:r>
        <w:rPr/>
        <w:t>against the defendant at the pretrial hearing denied the defendant his right to Due Process of law</w:t>
      </w:r>
      <w:r>
        <w:rPr>
          <w:spacing w:val="-20"/>
        </w:rPr>
        <w:t> </w:t>
      </w:r>
      <w:r>
        <w:rPr/>
        <w:t>and</w:t>
      </w:r>
      <w:r>
        <w:rPr>
          <w:spacing w:val="-4"/>
        </w:rPr>
        <w:t> </w:t>
      </w:r>
      <w:r>
        <w:rPr/>
        <w:t>a</w:t>
        <w:tab/>
        <w:t>fair trial ), </w:t>
      </w:r>
      <w:r>
        <w:rPr>
          <w:i/>
        </w:rPr>
        <w:t>Chambers v. </w:t>
      </w:r>
      <w:r>
        <w:rPr>
          <w:i/>
        </w:rPr>
        <w:t>Mississippi, </w:t>
      </w:r>
      <w:r>
        <w:rPr/>
        <w:t>410 U.S. 284, 93 S.Ct. 1038 (1973)(exclusion of hearsay statements where third party confessed violated defendant’s right to Due Process of</w:t>
      </w:r>
      <w:r>
        <w:rPr>
          <w:spacing w:val="-12"/>
        </w:rPr>
        <w:t> </w:t>
      </w:r>
      <w:r>
        <w:rPr/>
        <w:t>law.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819" w:val="left" w:leader="none"/>
          <w:tab w:pos="820" w:val="left" w:leader="none"/>
          <w:tab w:pos="2547" w:val="left" w:leader="none"/>
        </w:tabs>
        <w:spacing w:line="211" w:lineRule="auto" w:before="0" w:after="0"/>
        <w:ind w:left="100" w:right="803" w:firstLine="0"/>
        <w:jc w:val="left"/>
        <w:rPr>
          <w:sz w:val="24"/>
        </w:rPr>
      </w:pPr>
      <w:r>
        <w:rPr>
          <w:sz w:val="24"/>
        </w:rPr>
        <w:t>Other states that have evaluated this question have held that even where the results are not admissible by the prosecution, if the results are exculpatory they may be</w:t>
      </w:r>
      <w:r>
        <w:rPr>
          <w:spacing w:val="-55"/>
          <w:sz w:val="24"/>
        </w:rPr>
        <w:t> </w:t>
      </w:r>
      <w:r>
        <w:rPr>
          <w:sz w:val="24"/>
        </w:rPr>
        <w:t>admitted by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defense.</w:t>
        <w:tab/>
      </w:r>
      <w:r>
        <w:rPr>
          <w:i/>
          <w:sz w:val="24"/>
        </w:rPr>
        <w:t>Patrick v. State, </w:t>
      </w:r>
      <w:r>
        <w:rPr>
          <w:sz w:val="24"/>
        </w:rPr>
        <w:t>750 S.W.2d 391 (1988)(where PBT is admissible for purpose of determining probable cause</w:t>
      </w:r>
      <w:r>
        <w:rPr>
          <w:spacing w:val="-55"/>
          <w:sz w:val="24"/>
        </w:rPr>
        <w:t> </w:t>
      </w:r>
      <w:r>
        <w:rPr>
          <w:sz w:val="24"/>
        </w:rPr>
        <w:t>they should be considered reliable enough to be admitted as exculpatory</w:t>
      </w:r>
      <w:r>
        <w:rPr>
          <w:spacing w:val="-2"/>
          <w:sz w:val="24"/>
        </w:rPr>
        <w:t> </w:t>
      </w:r>
      <w:r>
        <w:rPr>
          <w:sz w:val="24"/>
        </w:rPr>
        <w:t>evidence).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963" w:val="left" w:leader="none"/>
          <w:tab w:pos="964" w:val="left" w:leader="none"/>
          <w:tab w:pos="6002" w:val="left" w:leader="none"/>
          <w:tab w:pos="8738" w:val="left" w:leader="none"/>
        </w:tabs>
        <w:spacing w:line="216" w:lineRule="auto" w:before="0" w:after="0"/>
        <w:ind w:left="100" w:right="659" w:firstLine="0"/>
        <w:jc w:val="left"/>
        <w:rPr>
          <w:sz w:val="24"/>
        </w:rPr>
      </w:pPr>
      <w:r>
        <w:rPr>
          <w:sz w:val="24"/>
        </w:rPr>
        <w:t>The probative value of this evidence is very high as it confirms that Mr. Friedlander was not under the influence or driving while ability impaired at the time he</w:t>
      </w:r>
      <w:r>
        <w:rPr>
          <w:spacing w:val="-41"/>
          <w:sz w:val="24"/>
        </w:rPr>
        <w:t> </w:t>
      </w: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driving.</w:t>
        <w:tab/>
      </w:r>
      <w:r>
        <w:rPr>
          <w:spacing w:val="-4"/>
          <w:sz w:val="24"/>
        </w:rPr>
        <w:t>Given </w:t>
      </w:r>
      <w:r>
        <w:rPr>
          <w:sz w:val="24"/>
        </w:rPr>
        <w:t>that there is minimal chance that the PBT result was falsely lower than actual BrAC, there is no unfair prejudice to the prosecution in admitting</w:t>
      </w:r>
      <w:r>
        <w:rPr>
          <w:spacing w:val="-22"/>
          <w:sz w:val="24"/>
        </w:rPr>
        <w:t> </w:t>
      </w:r>
      <w:r>
        <w:rPr>
          <w:sz w:val="24"/>
        </w:rPr>
        <w:t>this</w:t>
      </w:r>
      <w:r>
        <w:rPr>
          <w:spacing w:val="-7"/>
          <w:sz w:val="24"/>
        </w:rPr>
        <w:t> </w:t>
      </w:r>
      <w:r>
        <w:rPr>
          <w:sz w:val="24"/>
        </w:rPr>
        <w:t>evidence.</w:t>
        <w:tab/>
        <w:t>To the extent that the PBT may have read lower than the actual BrAC, the prosecution</w:t>
      </w:r>
      <w:r>
        <w:rPr>
          <w:spacing w:val="-54"/>
          <w:sz w:val="24"/>
        </w:rPr>
        <w:t> </w:t>
      </w:r>
      <w:r>
        <w:rPr>
          <w:sz w:val="24"/>
        </w:rPr>
        <w:t>can</w:t>
      </w:r>
    </w:p>
    <w:p>
      <w:pPr>
        <w:spacing w:after="0" w:line="216" w:lineRule="auto"/>
        <w:jc w:val="left"/>
        <w:rPr>
          <w:sz w:val="24"/>
        </w:rPr>
        <w:sectPr>
          <w:pgSz w:w="12240" w:h="15840"/>
          <w:pgMar w:top="1360" w:bottom="280" w:left="1340" w:right="780"/>
        </w:sectPr>
      </w:pPr>
    </w:p>
    <w:p>
      <w:pPr>
        <w:pStyle w:val="BodyText"/>
        <w:spacing w:line="211" w:lineRule="auto" w:before="105"/>
        <w:ind w:left="100" w:right="678"/>
      </w:pPr>
      <w:r>
        <w:rPr/>
        <w:t>elicit this information either through cross examination or</w:t>
      </w:r>
      <w:r>
        <w:rPr>
          <w:spacing w:val="-52"/>
        </w:rPr>
        <w:t> </w:t>
      </w:r>
      <w:r>
        <w:rPr/>
        <w:t>a rebuttal witnesses.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35" w:lineRule="auto"/>
        <w:ind w:left="100" w:right="246" w:firstLine="720"/>
      </w:pPr>
      <w:r>
        <w:rPr/>
        <w:t>WHEREFORE, Defendant requests a judicial determination as to the admissibility of his PBT during trial.</w:t>
      </w:r>
    </w:p>
    <w:p>
      <w:pPr>
        <w:pStyle w:val="BodyText"/>
      </w:pPr>
    </w:p>
    <w:p>
      <w:pPr>
        <w:pStyle w:val="BodyText"/>
        <w:spacing w:before="179"/>
        <w:ind w:left="5140"/>
      </w:pPr>
      <w:r>
        <w:rPr/>
        <w:t>Respectfully submitted,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11" w:lineRule="auto" w:before="168"/>
        <w:ind w:left="5140" w:right="2819"/>
        <w:jc w:val="both"/>
      </w:pPr>
      <w:r>
        <w:rPr>
          <w:u w:val="single"/>
        </w:rPr>
        <w:t>/s/Danny Luneau</w:t>
      </w:r>
      <w:r>
        <w:rPr/>
        <w:t> Charles L. Fife Danny Luneau</w:t>
      </w:r>
    </w:p>
    <w:p>
      <w:pPr>
        <w:pStyle w:val="BodyText"/>
        <w:spacing w:line="250" w:lineRule="exact"/>
        <w:ind w:left="5140"/>
      </w:pPr>
      <w:r>
        <w:rPr/>
        <w:t>ATTORNEYS FOR DEFENDANT</w:t>
      </w:r>
    </w:p>
    <w:p>
      <w:pPr>
        <w:pStyle w:val="BodyText"/>
      </w:pPr>
    </w:p>
    <w:p>
      <w:pPr>
        <w:pStyle w:val="BodyText"/>
        <w:spacing w:before="176"/>
        <w:ind w:left="3196"/>
      </w:pPr>
      <w:r>
        <w:rPr>
          <w:u w:val="single"/>
        </w:rPr>
        <w:t>CERTIFICATE OF MAILING</w:t>
      </w:r>
    </w:p>
    <w:p>
      <w:pPr>
        <w:pStyle w:val="BodyText"/>
        <w:spacing w:before="6"/>
        <w:rPr>
          <w:sz w:val="20"/>
        </w:rPr>
      </w:pPr>
    </w:p>
    <w:p>
      <w:pPr>
        <w:spacing w:line="211" w:lineRule="auto" w:before="0"/>
        <w:ind w:left="100" w:right="678" w:firstLine="720"/>
        <w:jc w:val="left"/>
        <w:rPr>
          <w:sz w:val="24"/>
        </w:rPr>
      </w:pPr>
      <w:r>
        <w:rPr>
          <w:sz w:val="24"/>
        </w:rPr>
        <w:t>I do hereby state and affirm that a copy of the foregoing </w:t>
      </w:r>
      <w:r>
        <w:rPr>
          <w:b/>
          <w:sz w:val="24"/>
        </w:rPr>
        <w:t>MOTION FOR JUDICIAL DETERMINATION OF THE ADMISSIBILITY OF DEFENDANT’S PRIVATE PORTABLE BREATH TEST RESULT </w:t>
      </w:r>
      <w:r>
        <w:rPr>
          <w:sz w:val="24"/>
        </w:rPr>
        <w:t>was served, via</w:t>
      </w:r>
    </w:p>
    <w:p>
      <w:pPr>
        <w:pStyle w:val="BodyText"/>
        <w:spacing w:line="251" w:lineRule="exact"/>
        <w:ind w:left="100"/>
      </w:pPr>
      <w:r>
        <w:rPr/>
        <w:t>ICCESS, this 20th day of December, 2016: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11" w:lineRule="auto"/>
        <w:ind w:left="100" w:right="5535"/>
      </w:pPr>
      <w:r>
        <w:rPr/>
        <w:t>Office of the District Attorney County of Gilpin</w:t>
      </w:r>
    </w:p>
    <w:p>
      <w:pPr>
        <w:pStyle w:val="BodyText"/>
        <w:rPr>
          <w:sz w:val="11"/>
        </w:rPr>
      </w:pPr>
    </w:p>
    <w:p>
      <w:pPr>
        <w:pStyle w:val="BodyText"/>
        <w:spacing w:before="93"/>
        <w:ind w:left="6580"/>
      </w:pPr>
      <w:r>
        <w:rPr>
          <w:u w:val="single"/>
        </w:rPr>
        <w:t>/s/Danny Luneau</w:t>
      </w:r>
    </w:p>
    <w:sectPr>
      <w:pgSz w:w="12240" w:h="15840"/>
      <w:pgMar w:top="1320" w:bottom="280" w:left="13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964" w:hanging="864"/>
        <w:jc w:val="left"/>
      </w:pPr>
      <w:rPr>
        <w:rFonts w:hint="default" w:ascii="Courier New" w:hAnsi="Courier New" w:eastAsia="Courier New" w:cs="Courier New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960" w:hanging="8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7" w:hanging="8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5" w:hanging="8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3" w:hanging="8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1" w:hanging="8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8" w:hanging="8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6" w:hanging="8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4" w:hanging="864"/>
      </w:pPr>
      <w:rPr>
        <w:rFonts w:hint="default"/>
      </w:rPr>
    </w:lvl>
  </w:abstractNum>
  <w:abstractNum w:abstractNumId="0">
    <w:multiLevelType w:val="hybridMultilevel"/>
    <w:lvl w:ilvl="0">
      <w:start w:val="2"/>
      <w:numFmt w:val="upperRoman"/>
      <w:lvlText w:val="(%1)"/>
      <w:lvlJc w:val="left"/>
      <w:pPr>
        <w:ind w:left="100" w:hanging="720"/>
        <w:jc w:val="left"/>
      </w:pPr>
      <w:rPr>
        <w:rFonts w:hint="default" w:ascii="Courier New" w:hAnsi="Courier New" w:eastAsia="Courier New" w:cs="Courier New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02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04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8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2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14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16" w:hanging="7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00" w:right="659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>
      <w:ind w:left="57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livecycle-pdfg3-sa</dc:creator>
  <dcterms:created xsi:type="dcterms:W3CDTF">2019-03-20T17:57:20Z</dcterms:created>
  <dcterms:modified xsi:type="dcterms:W3CDTF">2019-03-20T17:57:20Z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2019-03-20T00:00:00Z</vt:filetime>
  </property>
</Properties>
</file>