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90.024002pt;margin-top:72pt;width:469.55pt;height:523.5500pt;mso-position-horizontal-relative:page;mso-position-vertical-relative:page;z-index:1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18"/>
                  </w:tblGrid>
                  <w:tr>
                    <w:trPr>
                      <w:trHeight w:val="1334" w:hRule="atLeast"/>
                    </w:trPr>
                    <w:tc>
                      <w:tcPr>
                        <w:tcW w:w="5958" w:type="dxa"/>
                      </w:tcPr>
                      <w:p>
                        <w:pPr>
                          <w:pStyle w:val="TableParagraph"/>
                          <w:spacing w:line="311" w:lineRule="exact"/>
                          <w:ind w:left="107"/>
                          <w:rPr>
                            <w:sz w:val="28"/>
                          </w:rPr>
                        </w:pPr>
                        <w:r>
                          <w:rPr>
                            <w:sz w:val="28"/>
                          </w:rPr>
                          <w:t>DISTRICT COURT</w:t>
                        </w:r>
                      </w:p>
                      <w:p>
                        <w:pPr>
                          <w:pStyle w:val="TableParagraph"/>
                          <w:spacing w:line="307" w:lineRule="exact" w:before="18"/>
                          <w:ind w:left="107"/>
                          <w:rPr>
                            <w:sz w:val="28"/>
                          </w:rPr>
                        </w:pPr>
                        <w:r>
                          <w:rPr>
                            <w:sz w:val="28"/>
                          </w:rPr>
                          <w:t>JEFFERSON COUNTY, COLORADO</w:t>
                        </w:r>
                      </w:p>
                      <w:p>
                        <w:pPr>
                          <w:pStyle w:val="TableParagraph"/>
                          <w:tabs>
                            <w:tab w:pos="5492" w:val="left" w:leader="none"/>
                          </w:tabs>
                          <w:spacing w:line="274" w:lineRule="exact"/>
                          <w:ind w:left="107"/>
                          <w:rPr>
                            <w:rFonts w:ascii="Times New Roman"/>
                            <w:sz w:val="20"/>
                          </w:rPr>
                        </w:pPr>
                        <w:r>
                          <w:rPr>
                            <w:sz w:val="28"/>
                          </w:rPr>
                          <w:t>100 JEFFERSON</w:t>
                        </w:r>
                        <w:r>
                          <w:rPr>
                            <w:spacing w:val="-4"/>
                            <w:sz w:val="28"/>
                          </w:rPr>
                          <w:t> </w:t>
                        </w:r>
                        <w:r>
                          <w:rPr>
                            <w:sz w:val="28"/>
                          </w:rPr>
                          <w:t>COUNTY PARKWAY</w:t>
                          <w:tab/>
                        </w:r>
                        <w:r>
                          <w:rPr>
                            <w:rFonts w:ascii="Times New Roman"/>
                            <w:color w:val="0000FF"/>
                            <w:spacing w:val="2"/>
                            <w:position w:val="9"/>
                            <w:sz w:val="20"/>
                          </w:rPr>
                          <w:t>DAT</w:t>
                        </w:r>
                      </w:p>
                      <w:p>
                        <w:pPr>
                          <w:pStyle w:val="TableParagraph"/>
                          <w:spacing w:line="123" w:lineRule="exact"/>
                          <w:ind w:right="78"/>
                          <w:jc w:val="right"/>
                          <w:rPr>
                            <w:rFonts w:ascii="Times New Roman"/>
                            <w:sz w:val="20"/>
                          </w:rPr>
                        </w:pPr>
                        <w:r>
                          <w:rPr>
                            <w:rFonts w:ascii="Times New Roman"/>
                            <w:color w:val="0000FF"/>
                            <w:sz w:val="20"/>
                          </w:rPr>
                          <w:t>FILI</w:t>
                        </w:r>
                      </w:p>
                      <w:p>
                        <w:pPr>
                          <w:pStyle w:val="TableParagraph"/>
                          <w:tabs>
                            <w:tab w:pos="5492" w:val="left" w:leader="none"/>
                          </w:tabs>
                          <w:spacing w:line="276" w:lineRule="exact"/>
                          <w:ind w:left="107"/>
                          <w:rPr>
                            <w:rFonts w:ascii="Times New Roman"/>
                            <w:sz w:val="20"/>
                          </w:rPr>
                        </w:pPr>
                        <w:r>
                          <w:rPr>
                            <w:position w:val="1"/>
                            <w:sz w:val="28"/>
                          </w:rPr>
                          <w:t>GOLDEN,</w:t>
                        </w:r>
                        <w:r>
                          <w:rPr>
                            <w:spacing w:val="-1"/>
                            <w:position w:val="1"/>
                            <w:sz w:val="28"/>
                          </w:rPr>
                          <w:t> </w:t>
                        </w:r>
                        <w:r>
                          <w:rPr>
                            <w:position w:val="1"/>
                            <w:sz w:val="28"/>
                          </w:rPr>
                          <w:t>COLORADO</w:t>
                        </w:r>
                        <w:r>
                          <w:rPr>
                            <w:spacing w:val="-1"/>
                            <w:position w:val="1"/>
                            <w:sz w:val="28"/>
                          </w:rPr>
                          <w:t> </w:t>
                        </w:r>
                        <w:r>
                          <w:rPr>
                            <w:position w:val="1"/>
                            <w:sz w:val="28"/>
                          </w:rPr>
                          <w:t>80401</w:t>
                          <w:tab/>
                        </w:r>
                        <w:r>
                          <w:rPr>
                            <w:rFonts w:ascii="Times New Roman"/>
                            <w:color w:val="0000FF"/>
                            <w:spacing w:val="2"/>
                            <w:sz w:val="20"/>
                          </w:rPr>
                          <w:t>CAS</w:t>
                        </w:r>
                      </w:p>
                    </w:tc>
                    <w:tc>
                      <w:tcPr>
                        <w:tcW w:w="3418" w:type="dxa"/>
                        <w:vMerge w:val="restart"/>
                      </w:tcPr>
                      <w:p>
                        <w:pPr>
                          <w:pStyle w:val="TableParagraph"/>
                          <w:rPr>
                            <w:sz w:val="22"/>
                          </w:rPr>
                        </w:pPr>
                      </w:p>
                      <w:p>
                        <w:pPr>
                          <w:pStyle w:val="TableParagraph"/>
                          <w:rPr>
                            <w:sz w:val="22"/>
                          </w:rPr>
                        </w:pPr>
                      </w:p>
                      <w:p>
                        <w:pPr>
                          <w:pStyle w:val="TableParagraph"/>
                          <w:spacing w:line="225" w:lineRule="auto" w:before="143"/>
                          <w:ind w:left="55" w:right="523" w:hanging="106"/>
                          <w:rPr>
                            <w:rFonts w:ascii="Times New Roman"/>
                            <w:sz w:val="20"/>
                          </w:rPr>
                        </w:pPr>
                        <w:r>
                          <w:rPr>
                            <w:rFonts w:ascii="Times New Roman"/>
                            <w:color w:val="0000FF"/>
                            <w:sz w:val="20"/>
                          </w:rPr>
                          <w:t>E FILED: July 27, 2017 11:27 </w:t>
                        </w:r>
                        <w:r>
                          <w:rPr>
                            <w:rFonts w:ascii="Times New Roman"/>
                            <w:color w:val="0000FF"/>
                            <w:spacing w:val="-7"/>
                            <w:sz w:val="20"/>
                          </w:rPr>
                          <w:t>AM</w:t>
                        </w:r>
                        <w:r>
                          <w:rPr>
                            <w:rFonts w:ascii="Times New Roman"/>
                            <w:color w:val="0000FF"/>
                            <w:spacing w:val="36"/>
                            <w:sz w:val="20"/>
                          </w:rPr>
                          <w:t> </w:t>
                        </w:r>
                        <w:r>
                          <w:rPr>
                            <w:rFonts w:ascii="Times New Roman"/>
                            <w:color w:val="0000FF"/>
                            <w:sz w:val="20"/>
                          </w:rPr>
                          <w:t>G ID:</w:t>
                        </w:r>
                        <w:r>
                          <w:rPr>
                            <w:rFonts w:ascii="Times New Roman"/>
                            <w:color w:val="0000FF"/>
                            <w:spacing w:val="10"/>
                            <w:sz w:val="20"/>
                          </w:rPr>
                          <w:t> </w:t>
                        </w:r>
                        <w:r>
                          <w:rPr>
                            <w:rFonts w:ascii="Times New Roman"/>
                            <w:color w:val="0000FF"/>
                            <w:sz w:val="20"/>
                          </w:rPr>
                          <w:t>B66D91699A5C1</w:t>
                        </w:r>
                      </w:p>
                      <w:p>
                        <w:pPr>
                          <w:pStyle w:val="TableParagraph"/>
                          <w:spacing w:line="218" w:lineRule="exact"/>
                          <w:ind w:left="-73"/>
                          <w:rPr>
                            <w:rFonts w:ascii="Times New Roman"/>
                            <w:sz w:val="20"/>
                          </w:rPr>
                        </w:pPr>
                        <w:r>
                          <w:rPr>
                            <w:rFonts w:ascii="Times New Roman"/>
                            <w:color w:val="0000FF"/>
                            <w:sz w:val="20"/>
                          </w:rPr>
                          <w:t>E NUMBER: 2016CR1463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0"/>
                          </w:rPr>
                        </w:pPr>
                      </w:p>
                      <w:p>
                        <w:pPr>
                          <w:pStyle w:val="TableParagraph"/>
                          <w:spacing w:before="1"/>
                          <w:ind w:left="522"/>
                          <w:rPr>
                            <w:sz w:val="28"/>
                          </w:rPr>
                        </w:pPr>
                        <w:r>
                          <w:rPr>
                            <w:sz w:val="28"/>
                          </w:rPr>
                          <w:t>COURT USE</w:t>
                        </w:r>
                        <w:r>
                          <w:rPr>
                            <w:spacing w:val="-9"/>
                            <w:sz w:val="28"/>
                          </w:rPr>
                          <w:t> </w:t>
                        </w:r>
                        <w:r>
                          <w:rPr>
                            <w:sz w:val="28"/>
                          </w:rPr>
                          <w:t>ONLY </w:t>
                        </w:r>
                        <w:r>
                          <w:rPr>
                            <w:spacing w:val="1"/>
                            <w:position w:val="-6"/>
                            <w:sz w:val="28"/>
                          </w:rPr>
                          <w:drawing>
                            <wp:inline distT="0" distB="0" distL="0" distR="0">
                              <wp:extent cx="228600" cy="23774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600" cy="237744"/>
                                      </a:xfrm>
                                      <a:prstGeom prst="rect">
                                        <a:avLst/>
                                      </a:prstGeom>
                                    </pic:spPr>
                                  </pic:pic>
                                </a:graphicData>
                              </a:graphic>
                            </wp:inline>
                          </w:drawing>
                        </w:r>
                        <w:r>
                          <w:rPr>
                            <w:spacing w:val="1"/>
                            <w:position w:val="-6"/>
                            <w:sz w:val="28"/>
                          </w:rPr>
                        </w:r>
                      </w:p>
                    </w:tc>
                  </w:tr>
                  <w:tr>
                    <w:trPr>
                      <w:trHeight w:val="3000" w:hRule="atLeast"/>
                    </w:trPr>
                    <w:tc>
                      <w:tcPr>
                        <w:tcW w:w="5958" w:type="dxa"/>
                      </w:tcPr>
                      <w:p>
                        <w:pPr>
                          <w:pStyle w:val="TableParagraph"/>
                          <w:spacing w:line="254" w:lineRule="auto"/>
                          <w:ind w:left="107" w:right="1366"/>
                          <w:rPr>
                            <w:b/>
                            <w:sz w:val="28"/>
                          </w:rPr>
                        </w:pPr>
                        <w:r>
                          <w:rPr>
                            <w:b/>
                            <w:sz w:val="28"/>
                          </w:rPr>
                          <w:t>THE PEOPLE OF THE STATE OF COLORADO</w:t>
                        </w:r>
                      </w:p>
                      <w:p>
                        <w:pPr>
                          <w:pStyle w:val="TableParagraph"/>
                          <w:spacing w:line="508" w:lineRule="auto"/>
                          <w:ind w:left="107" w:right="4890"/>
                          <w:rPr>
                            <w:sz w:val="28"/>
                          </w:rPr>
                        </w:pPr>
                        <w:r>
                          <w:rPr>
                            <w:sz w:val="28"/>
                          </w:rPr>
                          <w:t>Plaintiff, v.</w:t>
                        </w:r>
                      </w:p>
                      <w:p>
                        <w:pPr>
                          <w:pStyle w:val="TableParagraph"/>
                          <w:spacing w:line="312" w:lineRule="exact"/>
                          <w:ind w:left="107"/>
                          <w:rPr>
                            <w:sz w:val="28"/>
                          </w:rPr>
                        </w:pPr>
                        <w:r>
                          <w:rPr>
                            <w:b/>
                            <w:sz w:val="28"/>
                          </w:rPr>
                          <w:t>GARY NICKAL</w:t>
                        </w:r>
                        <w:r>
                          <w:rPr>
                            <w:sz w:val="28"/>
                          </w:rPr>
                          <w:t>,</w:t>
                        </w:r>
                      </w:p>
                      <w:p>
                        <w:pPr>
                          <w:pStyle w:val="TableParagraph"/>
                          <w:spacing w:before="14"/>
                          <w:ind w:left="107"/>
                          <w:rPr>
                            <w:sz w:val="28"/>
                          </w:rPr>
                        </w:pPr>
                        <w:r>
                          <w:rPr>
                            <w:sz w:val="28"/>
                          </w:rPr>
                          <w:t>Accused.</w:t>
                        </w:r>
                      </w:p>
                    </w:tc>
                    <w:tc>
                      <w:tcPr>
                        <w:tcW w:w="3418" w:type="dxa"/>
                        <w:vMerge/>
                        <w:tcBorders>
                          <w:top w:val="nil"/>
                        </w:tcBorders>
                      </w:tcPr>
                      <w:p>
                        <w:pPr>
                          <w:rPr>
                            <w:sz w:val="2"/>
                            <w:szCs w:val="2"/>
                          </w:rPr>
                        </w:pPr>
                      </w:p>
                    </w:tc>
                  </w:tr>
                  <w:tr>
                    <w:trPr>
                      <w:trHeight w:val="5419" w:hRule="atLeast"/>
                    </w:trPr>
                    <w:tc>
                      <w:tcPr>
                        <w:tcW w:w="5958" w:type="dxa"/>
                      </w:tcPr>
                      <w:p>
                        <w:pPr>
                          <w:pStyle w:val="TableParagraph"/>
                          <w:spacing w:line="311" w:lineRule="exact"/>
                          <w:ind w:left="107"/>
                          <w:rPr>
                            <w:sz w:val="28"/>
                          </w:rPr>
                        </w:pPr>
                        <w:r>
                          <w:rPr>
                            <w:sz w:val="28"/>
                          </w:rPr>
                          <w:t>M</w:t>
                        </w:r>
                        <w:r>
                          <w:rPr>
                            <w:sz w:val="22"/>
                          </w:rPr>
                          <w:t>ULLIGAN </w:t>
                        </w:r>
                        <w:r>
                          <w:rPr>
                            <w:sz w:val="28"/>
                          </w:rPr>
                          <w:t>B</w:t>
                        </w:r>
                        <w:r>
                          <w:rPr>
                            <w:sz w:val="22"/>
                          </w:rPr>
                          <w:t>RIET</w:t>
                        </w:r>
                        <w:r>
                          <w:rPr>
                            <w:sz w:val="28"/>
                          </w:rPr>
                          <w:t>, LLC</w:t>
                        </w:r>
                      </w:p>
                      <w:p>
                        <w:pPr>
                          <w:pStyle w:val="TableParagraph"/>
                          <w:spacing w:before="18"/>
                          <w:ind w:left="107"/>
                          <w:rPr>
                            <w:sz w:val="28"/>
                          </w:rPr>
                        </w:pPr>
                        <w:r>
                          <w:rPr>
                            <w:sz w:val="28"/>
                          </w:rPr>
                          <w:t>Patrick Mulligan, #16981</w:t>
                        </w:r>
                      </w:p>
                      <w:p>
                        <w:pPr>
                          <w:pStyle w:val="TableParagraph"/>
                          <w:spacing w:before="19"/>
                          <w:ind w:left="107"/>
                          <w:rPr>
                            <w:sz w:val="28"/>
                          </w:rPr>
                        </w:pPr>
                        <w:r>
                          <w:rPr>
                            <w:sz w:val="28"/>
                          </w:rPr>
                          <w:t>1801 Broadway, Suite 1203</w:t>
                        </w:r>
                      </w:p>
                      <w:p>
                        <w:pPr>
                          <w:pStyle w:val="TableParagraph"/>
                          <w:spacing w:before="19"/>
                          <w:ind w:left="107"/>
                          <w:rPr>
                            <w:sz w:val="28"/>
                          </w:rPr>
                        </w:pPr>
                        <w:r>
                          <w:rPr>
                            <w:sz w:val="28"/>
                          </w:rPr>
                          <w:t>Denver, CO 80202</w:t>
                        </w:r>
                      </w:p>
                      <w:p>
                        <w:pPr>
                          <w:pStyle w:val="TableParagraph"/>
                          <w:spacing w:line="254" w:lineRule="auto" w:before="18"/>
                          <w:ind w:left="107" w:right="3396"/>
                          <w:rPr>
                            <w:sz w:val="28"/>
                          </w:rPr>
                        </w:pPr>
                        <w:r>
                          <w:rPr>
                            <w:sz w:val="28"/>
                          </w:rPr>
                          <w:t>P</w:t>
                        </w:r>
                        <w:r>
                          <w:rPr>
                            <w:sz w:val="22"/>
                          </w:rPr>
                          <w:t>H</w:t>
                        </w:r>
                        <w:r>
                          <w:rPr>
                            <w:sz w:val="28"/>
                          </w:rPr>
                          <w:t>. 303-295-1500 F</w:t>
                        </w:r>
                        <w:r>
                          <w:rPr>
                            <w:sz w:val="22"/>
                          </w:rPr>
                          <w:t>AX</w:t>
                        </w:r>
                        <w:r>
                          <w:rPr>
                            <w:sz w:val="28"/>
                          </w:rPr>
                          <w:t>:</w:t>
                        </w:r>
                      </w:p>
                      <w:p>
                        <w:pPr>
                          <w:pStyle w:val="TableParagraph"/>
                          <w:spacing w:line="314" w:lineRule="exact"/>
                          <w:ind w:left="107"/>
                          <w:rPr>
                            <w:sz w:val="28"/>
                          </w:rPr>
                        </w:pPr>
                        <w:r>
                          <w:rPr>
                            <w:sz w:val="28"/>
                          </w:rPr>
                          <w:t>E</w:t>
                        </w:r>
                        <w:r>
                          <w:rPr>
                            <w:sz w:val="22"/>
                          </w:rPr>
                          <w:t>MAIL</w:t>
                        </w:r>
                        <w:r>
                          <w:rPr>
                            <w:sz w:val="28"/>
                          </w:rPr>
                          <w:t>: </w:t>
                        </w:r>
                        <w:hyperlink r:id="rId6">
                          <w:r>
                            <w:rPr>
                              <w:color w:val="0000FF"/>
                              <w:sz w:val="28"/>
                              <w:u w:val="single" w:color="0000FF"/>
                            </w:rPr>
                            <w:t>Patrick@MulliganBriet.com</w:t>
                          </w:r>
                        </w:hyperlink>
                      </w:p>
                      <w:p>
                        <w:pPr>
                          <w:pStyle w:val="TableParagraph"/>
                          <w:spacing w:before="10"/>
                          <w:rPr>
                            <w:sz w:val="39"/>
                          </w:rPr>
                        </w:pPr>
                      </w:p>
                      <w:p>
                        <w:pPr>
                          <w:pStyle w:val="TableParagraph"/>
                          <w:spacing w:line="237" w:lineRule="auto"/>
                          <w:ind w:left="107" w:right="1364"/>
                          <w:rPr>
                            <w:sz w:val="28"/>
                          </w:rPr>
                        </w:pPr>
                        <w:r>
                          <w:rPr>
                            <w:sz w:val="28"/>
                          </w:rPr>
                          <w:t>THE LAW OFFICE OF JENNIFER E. LONGTIN, LLC</w:t>
                        </w:r>
                      </w:p>
                      <w:p>
                        <w:pPr>
                          <w:pStyle w:val="TableParagraph"/>
                          <w:ind w:left="107" w:right="2741"/>
                          <w:rPr>
                            <w:sz w:val="28"/>
                          </w:rPr>
                        </w:pPr>
                        <w:r>
                          <w:rPr>
                            <w:sz w:val="28"/>
                          </w:rPr>
                          <w:t>Jennifer E. Longtin, #43509 2401 S. Downing St.</w:t>
                        </w:r>
                      </w:p>
                      <w:p>
                        <w:pPr>
                          <w:pStyle w:val="TableParagraph"/>
                          <w:spacing w:line="269" w:lineRule="exact"/>
                          <w:ind w:left="107"/>
                          <w:rPr>
                            <w:sz w:val="28"/>
                          </w:rPr>
                        </w:pPr>
                        <w:r>
                          <w:rPr>
                            <w:sz w:val="28"/>
                          </w:rPr>
                          <w:t>Denver, CO 80201</w:t>
                        </w:r>
                      </w:p>
                      <w:p>
                        <w:pPr>
                          <w:pStyle w:val="TableParagraph"/>
                          <w:spacing w:line="269" w:lineRule="exact"/>
                          <w:ind w:left="107"/>
                          <w:rPr>
                            <w:sz w:val="28"/>
                          </w:rPr>
                        </w:pPr>
                        <w:r>
                          <w:rPr>
                            <w:sz w:val="28"/>
                          </w:rPr>
                          <w:t>Ph. 303.747.6898</w:t>
                        </w:r>
                      </w:p>
                      <w:p>
                        <w:pPr>
                          <w:pStyle w:val="TableParagraph"/>
                          <w:spacing w:line="270" w:lineRule="exact"/>
                          <w:ind w:left="107"/>
                          <w:rPr>
                            <w:sz w:val="28"/>
                          </w:rPr>
                        </w:pPr>
                        <w:r>
                          <w:rPr>
                            <w:sz w:val="28"/>
                          </w:rPr>
                          <w:t>Fax. 800.243.2691</w:t>
                        </w:r>
                      </w:p>
                      <w:p>
                        <w:pPr>
                          <w:pStyle w:val="TableParagraph"/>
                          <w:spacing w:line="293" w:lineRule="exact"/>
                          <w:ind w:left="107"/>
                          <w:rPr>
                            <w:sz w:val="28"/>
                          </w:rPr>
                        </w:pPr>
                        <w:hyperlink r:id="rId7">
                          <w:r>
                            <w:rPr>
                              <w:sz w:val="28"/>
                            </w:rPr>
                            <w:t>Jen@jlongtinlaw.com</w:t>
                          </w:r>
                        </w:hyperlink>
                      </w:p>
                    </w:tc>
                    <w:tc>
                      <w:tcPr>
                        <w:tcW w:w="3418" w:type="dxa"/>
                      </w:tcPr>
                      <w:p>
                        <w:pPr>
                          <w:pStyle w:val="TableParagraph"/>
                          <w:rPr>
                            <w:sz w:val="32"/>
                          </w:rPr>
                        </w:pPr>
                      </w:p>
                      <w:p>
                        <w:pPr>
                          <w:pStyle w:val="TableParagraph"/>
                          <w:spacing w:before="10"/>
                          <w:rPr>
                            <w:sz w:val="26"/>
                          </w:rPr>
                        </w:pPr>
                      </w:p>
                      <w:p>
                        <w:pPr>
                          <w:pStyle w:val="TableParagraph"/>
                          <w:ind w:left="107"/>
                          <w:rPr>
                            <w:sz w:val="28"/>
                          </w:rPr>
                        </w:pPr>
                        <w:r>
                          <w:rPr>
                            <w:sz w:val="28"/>
                          </w:rPr>
                          <w:t>Case No. 16CR001463</w:t>
                        </w: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8"/>
                          <w:rPr>
                            <w:sz w:val="39"/>
                          </w:rPr>
                        </w:pPr>
                      </w:p>
                      <w:p>
                        <w:pPr>
                          <w:pStyle w:val="TableParagraph"/>
                          <w:ind w:left="107"/>
                          <w:rPr>
                            <w:sz w:val="28"/>
                          </w:rPr>
                        </w:pPr>
                        <w:r>
                          <w:rPr>
                            <w:sz w:val="28"/>
                          </w:rPr>
                          <w:t>Division: 12</w:t>
                        </w:r>
                      </w:p>
                    </w:tc>
                  </w:tr>
                  <w:tr>
                    <w:trPr>
                      <w:trHeight w:val="667" w:hRule="atLeast"/>
                    </w:trPr>
                    <w:tc>
                      <w:tcPr>
                        <w:tcW w:w="9376" w:type="dxa"/>
                        <w:gridSpan w:val="2"/>
                      </w:tcPr>
                      <w:p>
                        <w:pPr>
                          <w:pStyle w:val="TableParagraph"/>
                          <w:spacing w:line="311" w:lineRule="exact"/>
                          <w:ind w:left="182" w:right="175"/>
                          <w:jc w:val="center"/>
                          <w:rPr>
                            <w:b/>
                            <w:sz w:val="28"/>
                          </w:rPr>
                        </w:pPr>
                        <w:r>
                          <w:rPr>
                            <w:b/>
                            <w:sz w:val="28"/>
                          </w:rPr>
                          <w:t>REQUEST FOR FUNDS TO RETAIN AND PAY EXPERT WITNESSES</w:t>
                        </w:r>
                      </w:p>
                      <w:p>
                        <w:pPr>
                          <w:pStyle w:val="TableParagraph"/>
                          <w:spacing w:before="19"/>
                          <w:ind w:left="182" w:right="173"/>
                          <w:jc w:val="center"/>
                          <w:rPr>
                            <w:b/>
                            <w:sz w:val="28"/>
                          </w:rPr>
                        </w:pPr>
                        <w:r>
                          <w:rPr>
                            <w:b/>
                            <w:sz w:val="28"/>
                          </w:rPr>
                          <w:t>AND INVESTIGATORS</w:t>
                        </w:r>
                      </w:p>
                    </w:tc>
                  </w:tr>
                </w:tbl>
                <w:p>
                  <w:pPr>
                    <w:pStyle w:val="BodyText"/>
                  </w:pPr>
                </w:p>
              </w:txbxContent>
            </v:textbox>
            <w10:wrap type="none"/>
          </v:shape>
        </w:pict>
      </w:r>
    </w:p>
    <w:p>
      <w:pPr>
        <w:pStyle w:val="BodyText"/>
        <w:rPr>
          <w:rFonts w:ascii="Times New Roman"/>
          <w:sz w:val="20"/>
        </w:rPr>
      </w:pPr>
    </w:p>
    <w:p>
      <w:pPr>
        <w:pStyle w:val="BodyText"/>
        <w:spacing w:before="2"/>
        <w:rPr>
          <w:rFonts w:ascii="Times New Roman"/>
          <w:sz w:val="26"/>
        </w:rPr>
      </w:pPr>
    </w:p>
    <w:p>
      <w:pPr>
        <w:spacing w:before="92"/>
        <w:ind w:left="6332" w:right="0" w:firstLine="0"/>
        <w:jc w:val="left"/>
        <w:rPr>
          <w:rFonts w:ascii="Times New Roman"/>
          <w:sz w:val="20"/>
        </w:rPr>
      </w:pPr>
      <w:r>
        <w:rPr>
          <w:rFonts w:ascii="Times New Roman"/>
          <w:color w:val="0000FF"/>
          <w:spacing w:val="2"/>
          <w:sz w:val="20"/>
        </w:rPr>
        <w:t>N</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r>
        <w:rPr/>
        <w:drawing>
          <wp:anchor distT="0" distB="0" distL="0" distR="0" allowOverlap="1" layoutInCell="1" locked="0" behindDoc="0" simplePos="0" relativeHeight="0">
            <wp:simplePos x="0" y="0"/>
            <wp:positionH relativeFrom="page">
              <wp:posOffset>5101716</wp:posOffset>
            </wp:positionH>
            <wp:positionV relativeFrom="paragraph">
              <wp:posOffset>153847</wp:posOffset>
            </wp:positionV>
            <wp:extent cx="231647" cy="23774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31647" cy="237744"/>
                    </a:xfrm>
                    <a:prstGeom prst="rect">
                      <a:avLst/>
                    </a:prstGeom>
                  </pic:spPr>
                </pic:pic>
              </a:graphicData>
            </a:graphic>
          </wp:anchor>
        </w:drawing>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line="480" w:lineRule="auto" w:before="139"/>
        <w:ind w:left="460" w:right="1085" w:firstLine="719"/>
      </w:pPr>
      <w:r>
        <w:rPr/>
        <w:t>Gary Nickal, through counsel, moves this Court for funds to retain the assistance of expert witness assistance in his defense at trial:</w:t>
      </w:r>
    </w:p>
    <w:p>
      <w:pPr>
        <w:pStyle w:val="BodyText"/>
        <w:tabs>
          <w:tab w:pos="1180" w:val="left" w:leader="none"/>
        </w:tabs>
        <w:spacing w:line="480" w:lineRule="auto"/>
        <w:ind w:left="460" w:right="965"/>
      </w:pPr>
      <w:r>
        <w:rPr/>
        <w:t>1.</w:t>
        <w:tab/>
        <w:t>Mr. Nickal is a man of modest means who has remained in custody throughout the course of these proceedings. Without work, and because of</w:t>
      </w:r>
      <w:r>
        <w:rPr>
          <w:spacing w:val="-28"/>
        </w:rPr>
        <w:t> </w:t>
      </w:r>
      <w:r>
        <w:rPr>
          <w:spacing w:val="-2"/>
        </w:rPr>
        <w:t>the</w:t>
      </w:r>
    </w:p>
    <w:p>
      <w:pPr>
        <w:spacing w:after="0" w:line="480" w:lineRule="auto"/>
        <w:sectPr>
          <w:type w:val="continuous"/>
          <w:pgSz w:w="12240" w:h="15840"/>
          <w:pgMar w:top="1440" w:bottom="280" w:left="1340" w:right="940"/>
        </w:sectPr>
      </w:pPr>
    </w:p>
    <w:p>
      <w:pPr>
        <w:pStyle w:val="BodyText"/>
        <w:spacing w:line="480" w:lineRule="auto" w:before="79"/>
        <w:ind w:left="460" w:right="924"/>
      </w:pPr>
      <w:r>
        <w:rPr/>
        <w:t>extensive costs associated with defending homicide charges, Mr. Nickal cannot afford the costs of private experts.</w:t>
      </w:r>
    </w:p>
    <w:p>
      <w:pPr>
        <w:pStyle w:val="ListParagraph"/>
        <w:numPr>
          <w:ilvl w:val="0"/>
          <w:numId w:val="1"/>
        </w:numPr>
        <w:tabs>
          <w:tab w:pos="1180" w:val="left" w:leader="none"/>
          <w:tab w:pos="1181" w:val="left" w:leader="none"/>
        </w:tabs>
        <w:spacing w:line="480" w:lineRule="auto" w:before="0" w:after="0"/>
        <w:ind w:left="460" w:right="1060" w:firstLine="0"/>
        <w:jc w:val="left"/>
        <w:rPr>
          <w:sz w:val="28"/>
        </w:rPr>
      </w:pPr>
      <w:r>
        <w:rPr>
          <w:sz w:val="28"/>
        </w:rPr>
        <w:t>Counsel for Mr. Nickal will call experts in psychology, psychiatry, and the effects of Adderall at trial in this case. These experts have also been consulted in evaluating Mr. Nickal and have been at great expense to the</w:t>
      </w:r>
      <w:r>
        <w:rPr>
          <w:spacing w:val="-23"/>
          <w:sz w:val="28"/>
        </w:rPr>
        <w:t> </w:t>
      </w:r>
      <w:r>
        <w:rPr>
          <w:sz w:val="28"/>
        </w:rPr>
        <w:t>case.</w:t>
      </w:r>
    </w:p>
    <w:p>
      <w:pPr>
        <w:pStyle w:val="ListParagraph"/>
        <w:numPr>
          <w:ilvl w:val="0"/>
          <w:numId w:val="1"/>
        </w:numPr>
        <w:tabs>
          <w:tab w:pos="1180" w:val="left" w:leader="none"/>
          <w:tab w:pos="1181" w:val="left" w:leader="none"/>
        </w:tabs>
        <w:spacing w:line="480" w:lineRule="auto" w:before="1" w:after="0"/>
        <w:ind w:left="460" w:right="998" w:firstLine="0"/>
        <w:jc w:val="left"/>
        <w:rPr>
          <w:sz w:val="28"/>
        </w:rPr>
      </w:pPr>
      <w:r>
        <w:rPr>
          <w:sz w:val="28"/>
        </w:rPr>
        <w:t>Further, witnesses in this case live all across the United States, including several counties in Colorado, Nebraska, and Minnesota. Thus, it has been essential for counsel to hire an investigator to assist in interviewing witnesses and gathering evidence.</w:t>
      </w:r>
    </w:p>
    <w:p>
      <w:pPr>
        <w:pStyle w:val="ListParagraph"/>
        <w:numPr>
          <w:ilvl w:val="0"/>
          <w:numId w:val="1"/>
        </w:numPr>
        <w:tabs>
          <w:tab w:pos="1180" w:val="left" w:leader="none"/>
          <w:tab w:pos="1181" w:val="left" w:leader="none"/>
        </w:tabs>
        <w:spacing w:line="480" w:lineRule="auto" w:before="1" w:after="0"/>
        <w:ind w:left="460" w:right="890" w:firstLine="0"/>
        <w:jc w:val="left"/>
        <w:rPr>
          <w:sz w:val="28"/>
        </w:rPr>
      </w:pPr>
      <w:r>
        <w:rPr>
          <w:sz w:val="28"/>
        </w:rPr>
        <w:t>Although experienced, counsel for Mr. Nickal is not an expert in these areas. Regardless, Counsel is precluded by law from acting as a witness in</w:t>
      </w:r>
      <w:r>
        <w:rPr>
          <w:spacing w:val="-29"/>
          <w:sz w:val="28"/>
        </w:rPr>
        <w:t> </w:t>
      </w:r>
      <w:r>
        <w:rPr>
          <w:sz w:val="28"/>
        </w:rPr>
        <w:t>these areas on behalf of Mr. Nickal.  As such, he will require the assistance of persons who are experts in these areas in order to educate counsel,</w:t>
      </w:r>
      <w:r>
        <w:rPr>
          <w:spacing w:val="-10"/>
          <w:sz w:val="28"/>
        </w:rPr>
        <w:t> </w:t>
      </w:r>
      <w:r>
        <w:rPr>
          <w:sz w:val="28"/>
        </w:rPr>
        <w:t>alert</w:t>
      </w:r>
    </w:p>
    <w:p>
      <w:pPr>
        <w:pStyle w:val="BodyText"/>
        <w:spacing w:line="480" w:lineRule="auto"/>
        <w:ind w:left="460" w:right="924"/>
      </w:pPr>
      <w:r>
        <w:rPr/>
        <w:t>counsel to possible defenses to the charge and weaknesses in the People’s case, and to testify in these areas on behalf of Mr. Nickal.</w:t>
      </w:r>
    </w:p>
    <w:p>
      <w:pPr>
        <w:pStyle w:val="ListParagraph"/>
        <w:numPr>
          <w:ilvl w:val="0"/>
          <w:numId w:val="2"/>
        </w:numPr>
        <w:tabs>
          <w:tab w:pos="1180" w:val="left" w:leader="none"/>
          <w:tab w:pos="1181" w:val="left" w:leader="none"/>
        </w:tabs>
        <w:spacing w:line="480" w:lineRule="auto" w:before="0" w:after="0"/>
        <w:ind w:left="460" w:right="866" w:firstLine="0"/>
        <w:jc w:val="left"/>
        <w:rPr>
          <w:sz w:val="28"/>
        </w:rPr>
      </w:pPr>
      <w:r>
        <w:rPr>
          <w:sz w:val="28"/>
        </w:rPr>
        <w:t>To the extent possible, consistent with their duty to zealously represent their client, counsel will make every effort to use the same witnesses to perform as many of the above functions as</w:t>
      </w:r>
      <w:r>
        <w:rPr>
          <w:spacing w:val="-6"/>
          <w:sz w:val="28"/>
        </w:rPr>
        <w:t> </w:t>
      </w:r>
      <w:r>
        <w:rPr>
          <w:sz w:val="28"/>
        </w:rPr>
        <w:t>possible.</w:t>
      </w:r>
    </w:p>
    <w:p>
      <w:pPr>
        <w:pStyle w:val="ListParagraph"/>
        <w:numPr>
          <w:ilvl w:val="0"/>
          <w:numId w:val="2"/>
        </w:numPr>
        <w:tabs>
          <w:tab w:pos="1180" w:val="left" w:leader="none"/>
          <w:tab w:pos="1181" w:val="left" w:leader="none"/>
        </w:tabs>
        <w:spacing w:line="480" w:lineRule="auto" w:before="0" w:after="0"/>
        <w:ind w:left="460" w:right="949" w:firstLine="0"/>
        <w:jc w:val="left"/>
        <w:rPr>
          <w:sz w:val="28"/>
        </w:rPr>
      </w:pPr>
      <w:r>
        <w:rPr>
          <w:sz w:val="28"/>
        </w:rPr>
        <w:t>In a criminal case involving the defense’s need for psychiatric experts by an indigent defendant, the United States Supreme Court held that an indigent defendant has the constitutional right to the assistance of</w:t>
      </w:r>
      <w:r>
        <w:rPr>
          <w:spacing w:val="-14"/>
          <w:sz w:val="28"/>
        </w:rPr>
        <w:t> </w:t>
      </w:r>
      <w:r>
        <w:rPr>
          <w:sz w:val="28"/>
        </w:rPr>
        <w:t>competent,</w:t>
      </w:r>
    </w:p>
    <w:p>
      <w:pPr>
        <w:spacing w:after="0" w:line="480" w:lineRule="auto"/>
        <w:jc w:val="left"/>
        <w:rPr>
          <w:sz w:val="28"/>
        </w:rPr>
        <w:sectPr>
          <w:pgSz w:w="12240" w:h="15840"/>
          <w:pgMar w:top="1360" w:bottom="280" w:left="1340" w:right="940"/>
        </w:sectPr>
      </w:pPr>
    </w:p>
    <w:p>
      <w:pPr>
        <w:pStyle w:val="BodyText"/>
        <w:spacing w:line="480" w:lineRule="auto" w:before="79"/>
        <w:ind w:left="460" w:right="1059"/>
        <w:jc w:val="both"/>
      </w:pPr>
      <w:r>
        <w:rPr/>
        <w:t>independent experts in preparing his case where expert evidence was likely to be a critical issue at trial. </w:t>
      </w:r>
      <w:r>
        <w:rPr>
          <w:i/>
        </w:rPr>
        <w:t>Ake v. Oklahoma</w:t>
      </w:r>
      <w:r>
        <w:rPr/>
        <w:t>, 470 U.S. 68, 105 S.Ct. 1087 (1985). The Court held the following:</w:t>
      </w:r>
    </w:p>
    <w:p>
      <w:pPr>
        <w:pStyle w:val="BodyText"/>
        <w:spacing w:before="1"/>
        <w:ind w:left="1324" w:right="1719"/>
        <w:jc w:val="both"/>
      </w:pPr>
      <w:r>
        <w:rPr/>
        <w:t>“[When a] question . . . [is] likely to be a significant factor in his defense . . . [the defendant is] entitled to the assistance of a[n expert] on this issue and . . . the denial of that assistance deprive[s] him of due process. . . . Meaningful access to justice has been the consistent theme of [our] cases . . . [M]ere access to the courthouse doors does not by itself assure a proper functioning</w:t>
      </w:r>
      <w:r>
        <w:rPr>
          <w:spacing w:val="-18"/>
        </w:rPr>
        <w:t> </w:t>
      </w:r>
      <w:r>
        <w:rPr/>
        <w:t>of</w:t>
      </w:r>
      <w:r>
        <w:rPr>
          <w:spacing w:val="-16"/>
        </w:rPr>
        <w:t> </w:t>
      </w:r>
      <w:r>
        <w:rPr/>
        <w:t>the</w:t>
      </w:r>
      <w:r>
        <w:rPr>
          <w:spacing w:val="-19"/>
        </w:rPr>
        <w:t> </w:t>
      </w:r>
      <w:r>
        <w:rPr/>
        <w:t>adversary</w:t>
      </w:r>
      <w:r>
        <w:rPr>
          <w:spacing w:val="-18"/>
        </w:rPr>
        <w:t> </w:t>
      </w:r>
      <w:r>
        <w:rPr/>
        <w:t>process</w:t>
      </w:r>
      <w:r>
        <w:rPr>
          <w:spacing w:val="-19"/>
        </w:rPr>
        <w:t> </w:t>
      </w:r>
      <w:r>
        <w:rPr/>
        <w:t>.</w:t>
      </w:r>
      <w:r>
        <w:rPr>
          <w:spacing w:val="-16"/>
        </w:rPr>
        <w:t> </w:t>
      </w:r>
      <w:r>
        <w:rPr/>
        <w:t>.</w:t>
      </w:r>
      <w:r>
        <w:rPr>
          <w:spacing w:val="-19"/>
        </w:rPr>
        <w:t> </w:t>
      </w:r>
      <w:r>
        <w:rPr/>
        <w:t>.</w:t>
      </w:r>
      <w:r>
        <w:rPr>
          <w:spacing w:val="-18"/>
        </w:rPr>
        <w:t> </w:t>
      </w:r>
      <w:r>
        <w:rPr/>
        <w:t>[A]</w:t>
      </w:r>
      <w:r>
        <w:rPr>
          <w:spacing w:val="-17"/>
        </w:rPr>
        <w:t> </w:t>
      </w:r>
      <w:r>
        <w:rPr/>
        <w:t>trial</w:t>
      </w:r>
      <w:r>
        <w:rPr>
          <w:spacing w:val="-18"/>
        </w:rPr>
        <w:t> </w:t>
      </w:r>
      <w:r>
        <w:rPr/>
        <w:t>is</w:t>
      </w:r>
      <w:r>
        <w:rPr>
          <w:spacing w:val="-19"/>
        </w:rPr>
        <w:t> </w:t>
      </w:r>
      <w:r>
        <w:rPr/>
        <w:t>fundamentally unfair</w:t>
      </w:r>
      <w:r>
        <w:rPr>
          <w:spacing w:val="-21"/>
        </w:rPr>
        <w:t> </w:t>
      </w:r>
      <w:r>
        <w:rPr/>
        <w:t>if</w:t>
      </w:r>
      <w:r>
        <w:rPr>
          <w:spacing w:val="-19"/>
        </w:rPr>
        <w:t> </w:t>
      </w:r>
      <w:r>
        <w:rPr/>
        <w:t>the</w:t>
      </w:r>
      <w:r>
        <w:rPr>
          <w:spacing w:val="-19"/>
        </w:rPr>
        <w:t> </w:t>
      </w:r>
      <w:r>
        <w:rPr/>
        <w:t>State</w:t>
      </w:r>
      <w:r>
        <w:rPr>
          <w:spacing w:val="-20"/>
        </w:rPr>
        <w:t> </w:t>
      </w:r>
      <w:r>
        <w:rPr/>
        <w:t>proceeds</w:t>
      </w:r>
      <w:r>
        <w:rPr>
          <w:spacing w:val="-19"/>
        </w:rPr>
        <w:t> </w:t>
      </w:r>
      <w:r>
        <w:rPr/>
        <w:t>against</w:t>
      </w:r>
      <w:r>
        <w:rPr>
          <w:spacing w:val="-22"/>
        </w:rPr>
        <w:t> </w:t>
      </w:r>
      <w:r>
        <w:rPr/>
        <w:t>an</w:t>
      </w:r>
      <w:r>
        <w:rPr>
          <w:spacing w:val="-19"/>
        </w:rPr>
        <w:t> </w:t>
      </w:r>
      <w:r>
        <w:rPr/>
        <w:t>indigent</w:t>
      </w:r>
      <w:r>
        <w:rPr>
          <w:spacing w:val="-20"/>
        </w:rPr>
        <w:t> </w:t>
      </w:r>
      <w:r>
        <w:rPr/>
        <w:t>defendant</w:t>
      </w:r>
      <w:r>
        <w:rPr>
          <w:spacing w:val="-21"/>
        </w:rPr>
        <w:t> </w:t>
      </w:r>
      <w:r>
        <w:rPr/>
        <w:t>without making</w:t>
      </w:r>
      <w:r>
        <w:rPr>
          <w:spacing w:val="-6"/>
        </w:rPr>
        <w:t> </w:t>
      </w:r>
      <w:r>
        <w:rPr/>
        <w:t>certain</w:t>
      </w:r>
      <w:r>
        <w:rPr>
          <w:spacing w:val="-4"/>
        </w:rPr>
        <w:t> </w:t>
      </w:r>
      <w:r>
        <w:rPr/>
        <w:t>that</w:t>
      </w:r>
      <w:r>
        <w:rPr>
          <w:spacing w:val="-8"/>
        </w:rPr>
        <w:t> </w:t>
      </w:r>
      <w:r>
        <w:rPr/>
        <w:t>he</w:t>
      </w:r>
      <w:r>
        <w:rPr>
          <w:spacing w:val="-6"/>
        </w:rPr>
        <w:t> </w:t>
      </w:r>
      <w:r>
        <w:rPr/>
        <w:t>has</w:t>
      </w:r>
      <w:r>
        <w:rPr>
          <w:spacing w:val="-7"/>
        </w:rPr>
        <w:t> </w:t>
      </w:r>
      <w:r>
        <w:rPr/>
        <w:t>access</w:t>
      </w:r>
      <w:r>
        <w:rPr>
          <w:spacing w:val="-3"/>
        </w:rPr>
        <w:t> </w:t>
      </w:r>
      <w:r>
        <w:rPr/>
        <w:t>to</w:t>
      </w:r>
      <w:r>
        <w:rPr>
          <w:spacing w:val="-6"/>
        </w:rPr>
        <w:t> </w:t>
      </w:r>
      <w:r>
        <w:rPr/>
        <w:t>the</w:t>
      </w:r>
      <w:r>
        <w:rPr>
          <w:spacing w:val="-7"/>
        </w:rPr>
        <w:t> </w:t>
      </w:r>
      <w:r>
        <w:rPr/>
        <w:t>raw</w:t>
      </w:r>
      <w:r>
        <w:rPr>
          <w:spacing w:val="-7"/>
        </w:rPr>
        <w:t> </w:t>
      </w:r>
      <w:r>
        <w:rPr/>
        <w:t>materials</w:t>
      </w:r>
      <w:r>
        <w:rPr>
          <w:spacing w:val="-4"/>
        </w:rPr>
        <w:t> </w:t>
      </w:r>
      <w:r>
        <w:rPr/>
        <w:t>integral</w:t>
      </w:r>
      <w:r>
        <w:rPr>
          <w:spacing w:val="-4"/>
        </w:rPr>
        <w:t> </w:t>
      </w:r>
      <w:r>
        <w:rPr/>
        <w:t>to the building of an effective</w:t>
      </w:r>
      <w:r>
        <w:rPr>
          <w:spacing w:val="-10"/>
        </w:rPr>
        <w:t> </w:t>
      </w:r>
      <w:r>
        <w:rPr/>
        <w:t>defense.”</w:t>
      </w:r>
    </w:p>
    <w:p>
      <w:pPr>
        <w:pStyle w:val="ListParagraph"/>
        <w:numPr>
          <w:ilvl w:val="0"/>
          <w:numId w:val="2"/>
        </w:numPr>
        <w:tabs>
          <w:tab w:pos="1180" w:val="left" w:leader="none"/>
          <w:tab w:pos="1181" w:val="left" w:leader="none"/>
        </w:tabs>
        <w:spacing w:line="240" w:lineRule="auto" w:before="239" w:after="0"/>
        <w:ind w:left="1180" w:right="0" w:hanging="720"/>
        <w:jc w:val="left"/>
        <w:rPr>
          <w:sz w:val="28"/>
        </w:rPr>
      </w:pPr>
      <w:r>
        <w:rPr>
          <w:sz w:val="28"/>
        </w:rPr>
        <w:t>Ake applies to all experts reasonably necessary for an effective</w:t>
      </w:r>
      <w:r>
        <w:rPr>
          <w:spacing w:val="-16"/>
          <w:sz w:val="28"/>
        </w:rPr>
        <w:t> </w:t>
      </w:r>
      <w:r>
        <w:rPr>
          <w:sz w:val="28"/>
        </w:rPr>
        <w:t>defense.</w:t>
      </w:r>
    </w:p>
    <w:p>
      <w:pPr>
        <w:pStyle w:val="BodyText"/>
        <w:spacing w:before="1"/>
      </w:pPr>
    </w:p>
    <w:p>
      <w:pPr>
        <w:spacing w:before="1"/>
        <w:ind w:left="460" w:right="0" w:firstLine="0"/>
        <w:jc w:val="left"/>
        <w:rPr>
          <w:sz w:val="28"/>
        </w:rPr>
      </w:pPr>
      <w:r>
        <w:rPr>
          <w:i/>
          <w:sz w:val="28"/>
        </w:rPr>
        <w:t>See, e.g., Moore v. Kemp</w:t>
      </w:r>
      <w:r>
        <w:rPr>
          <w:sz w:val="28"/>
        </w:rPr>
        <w:t>, 809 F.2d 702, 711 (11th Cir. 1987).</w:t>
      </w:r>
    </w:p>
    <w:p>
      <w:pPr>
        <w:pStyle w:val="BodyText"/>
        <w:spacing w:before="9"/>
        <w:rPr>
          <w:sz w:val="27"/>
        </w:rPr>
      </w:pPr>
    </w:p>
    <w:p>
      <w:pPr>
        <w:pStyle w:val="ListParagraph"/>
        <w:numPr>
          <w:ilvl w:val="0"/>
          <w:numId w:val="2"/>
        </w:numPr>
        <w:tabs>
          <w:tab w:pos="1180" w:val="left" w:leader="none"/>
          <w:tab w:pos="1181" w:val="left" w:leader="none"/>
        </w:tabs>
        <w:spacing w:line="480" w:lineRule="auto" w:before="1" w:after="0"/>
        <w:ind w:left="460" w:right="952" w:firstLine="0"/>
        <w:jc w:val="left"/>
        <w:rPr>
          <w:sz w:val="28"/>
        </w:rPr>
      </w:pPr>
      <w:r>
        <w:rPr>
          <w:sz w:val="28"/>
        </w:rPr>
        <w:t>If the State’s case involves important expert testimony, the Courts have required that the defense be similarly armed with their own experts in a wide variety of fields. </w:t>
      </w:r>
      <w:r>
        <w:rPr>
          <w:i/>
          <w:sz w:val="28"/>
        </w:rPr>
        <w:t>See, e.g., Bradford v. United States, 413 F.2d 467 </w:t>
      </w:r>
      <w:r>
        <w:rPr>
          <w:sz w:val="28"/>
        </w:rPr>
        <w:t>(5th Cir. 1969) (handwriting and fingerprint experts); </w:t>
      </w:r>
      <w:r>
        <w:rPr>
          <w:i/>
          <w:sz w:val="28"/>
        </w:rPr>
        <w:t>Williams v. United States</w:t>
      </w:r>
      <w:r>
        <w:rPr>
          <w:sz w:val="28"/>
        </w:rPr>
        <w:t>, 618 F.2d 1021 (4th Cir. 1980) (pathologist); </w:t>
      </w:r>
      <w:r>
        <w:rPr>
          <w:i/>
          <w:sz w:val="28"/>
        </w:rPr>
        <w:t>United States v. Durant</w:t>
      </w:r>
      <w:r>
        <w:rPr>
          <w:sz w:val="28"/>
        </w:rPr>
        <w:t>, 545 F.2d 823, 827 (2nd Cir. 1976) (fingerprint expert); </w:t>
      </w:r>
      <w:r>
        <w:rPr>
          <w:i/>
          <w:sz w:val="28"/>
        </w:rPr>
        <w:t>Knott v. Mabry</w:t>
      </w:r>
      <w:r>
        <w:rPr>
          <w:sz w:val="28"/>
        </w:rPr>
        <w:t>, 671 F.2d 1208, 1212-1213 (8th Cir. 1982) (expert assistance required whenever contradiction in a given area of expertise).</w:t>
      </w:r>
    </w:p>
    <w:p>
      <w:pPr>
        <w:pStyle w:val="ListParagraph"/>
        <w:numPr>
          <w:ilvl w:val="0"/>
          <w:numId w:val="2"/>
        </w:numPr>
        <w:tabs>
          <w:tab w:pos="1180" w:val="left" w:leader="none"/>
          <w:tab w:pos="1181" w:val="left" w:leader="none"/>
        </w:tabs>
        <w:spacing w:line="480" w:lineRule="auto" w:before="1" w:after="0"/>
        <w:ind w:left="460" w:right="905" w:firstLine="0"/>
        <w:jc w:val="left"/>
        <w:rPr>
          <w:sz w:val="28"/>
        </w:rPr>
      </w:pPr>
      <w:r>
        <w:rPr>
          <w:sz w:val="28"/>
        </w:rPr>
        <w:t>Absent the assistance of an investigator and expert witnesses, Mr. Nickal will be in no position to defend himself against the charges currently</w:t>
      </w:r>
      <w:r>
        <w:rPr>
          <w:spacing w:val="-26"/>
          <w:sz w:val="28"/>
        </w:rPr>
        <w:t> </w:t>
      </w:r>
      <w:r>
        <w:rPr>
          <w:sz w:val="28"/>
        </w:rPr>
        <w:t>pending</w:t>
      </w:r>
    </w:p>
    <w:p>
      <w:pPr>
        <w:spacing w:after="0" w:line="480" w:lineRule="auto"/>
        <w:jc w:val="left"/>
        <w:rPr>
          <w:sz w:val="28"/>
        </w:rPr>
        <w:sectPr>
          <w:pgSz w:w="12240" w:h="15840"/>
          <w:pgMar w:top="1360" w:bottom="280" w:left="1340" w:right="940"/>
        </w:sectPr>
      </w:pPr>
    </w:p>
    <w:p>
      <w:pPr>
        <w:pStyle w:val="BodyText"/>
        <w:spacing w:line="480" w:lineRule="auto" w:before="79"/>
        <w:ind w:left="460" w:right="863"/>
        <w:jc w:val="both"/>
      </w:pPr>
      <w:r>
        <w:rPr/>
        <w:t>against him. The constitutional protections available to him would be rendered meaningless unless he is permitted to retain the services of experts necessary to help counsel evaluate the case and present relevant testimony at trial.</w:t>
      </w:r>
    </w:p>
    <w:p>
      <w:pPr>
        <w:pStyle w:val="ListParagraph"/>
        <w:numPr>
          <w:ilvl w:val="0"/>
          <w:numId w:val="2"/>
        </w:numPr>
        <w:tabs>
          <w:tab w:pos="1181" w:val="left" w:leader="none"/>
        </w:tabs>
        <w:spacing w:line="480" w:lineRule="auto" w:before="1" w:after="0"/>
        <w:ind w:left="460" w:right="1176" w:firstLine="0"/>
        <w:jc w:val="both"/>
        <w:rPr>
          <w:sz w:val="28"/>
        </w:rPr>
      </w:pPr>
      <w:r>
        <w:rPr>
          <w:sz w:val="28"/>
        </w:rPr>
        <w:t>Ultimately, to deny the requested funds would be to violate the Equal Protection Clause of the United States Constitution. Indeed, as the Supreme Court has noted in </w:t>
      </w:r>
      <w:r>
        <w:rPr>
          <w:i/>
          <w:sz w:val="28"/>
        </w:rPr>
        <w:t>Griffin v. Illinois</w:t>
      </w:r>
      <w:r>
        <w:rPr>
          <w:sz w:val="28"/>
        </w:rPr>
        <w:t>, 351 U.S. 12, 17-19</w:t>
      </w:r>
      <w:r>
        <w:rPr>
          <w:spacing w:val="-10"/>
          <w:sz w:val="28"/>
        </w:rPr>
        <w:t> </w:t>
      </w:r>
      <w:r>
        <w:rPr>
          <w:sz w:val="28"/>
        </w:rPr>
        <w:t>(1956):</w:t>
      </w:r>
    </w:p>
    <w:p>
      <w:pPr>
        <w:pStyle w:val="BodyText"/>
        <w:tabs>
          <w:tab w:pos="7505" w:val="left" w:leader="dot"/>
        </w:tabs>
        <w:ind w:left="1324" w:right="1722"/>
      </w:pPr>
      <w:r>
        <w:rPr/>
        <w:t>“.</w:t>
      </w:r>
      <w:r>
        <w:rPr>
          <w:spacing w:val="-6"/>
        </w:rPr>
        <w:t> </w:t>
      </w:r>
      <w:r>
        <w:rPr/>
        <w:t>.</w:t>
      </w:r>
      <w:r>
        <w:rPr>
          <w:spacing w:val="-5"/>
        </w:rPr>
        <w:t> </w:t>
      </w:r>
      <w:r>
        <w:rPr/>
        <w:t>.</w:t>
      </w:r>
      <w:r>
        <w:rPr>
          <w:spacing w:val="-5"/>
        </w:rPr>
        <w:t> </w:t>
      </w:r>
      <w:r>
        <w:rPr/>
        <w:t>there</w:t>
      </w:r>
      <w:r>
        <w:rPr>
          <w:spacing w:val="-6"/>
        </w:rPr>
        <w:t> </w:t>
      </w:r>
      <w:r>
        <w:rPr/>
        <w:t>can</w:t>
      </w:r>
      <w:r>
        <w:rPr>
          <w:spacing w:val="-5"/>
        </w:rPr>
        <w:t> </w:t>
      </w:r>
      <w:r>
        <w:rPr/>
        <w:t>be</w:t>
      </w:r>
      <w:r>
        <w:rPr>
          <w:spacing w:val="-5"/>
        </w:rPr>
        <w:t> </w:t>
      </w:r>
      <w:r>
        <w:rPr/>
        <w:t>no</w:t>
      </w:r>
      <w:r>
        <w:rPr>
          <w:spacing w:val="-6"/>
        </w:rPr>
        <w:t> </w:t>
      </w:r>
      <w:r>
        <w:rPr/>
        <w:t>equal</w:t>
      </w:r>
      <w:r>
        <w:rPr>
          <w:spacing w:val="-5"/>
        </w:rPr>
        <w:t> </w:t>
      </w:r>
      <w:r>
        <w:rPr/>
        <w:t>justice</w:t>
      </w:r>
      <w:r>
        <w:rPr>
          <w:spacing w:val="-5"/>
        </w:rPr>
        <w:t> </w:t>
      </w:r>
      <w:r>
        <w:rPr/>
        <w:t>where</w:t>
      </w:r>
      <w:r>
        <w:rPr>
          <w:spacing w:val="-6"/>
        </w:rPr>
        <w:t> </w:t>
      </w:r>
      <w:r>
        <w:rPr/>
        <w:t>the</w:t>
      </w:r>
      <w:r>
        <w:rPr>
          <w:spacing w:val="-7"/>
        </w:rPr>
        <w:t> </w:t>
      </w:r>
      <w:r>
        <w:rPr/>
        <w:t>kind</w:t>
      </w:r>
      <w:r>
        <w:rPr>
          <w:spacing w:val="-5"/>
        </w:rPr>
        <w:t> </w:t>
      </w:r>
      <w:r>
        <w:rPr/>
        <w:t>of</w:t>
      </w:r>
      <w:r>
        <w:rPr>
          <w:spacing w:val="-6"/>
        </w:rPr>
        <w:t> </w:t>
      </w:r>
      <w:r>
        <w:rPr/>
        <w:t>trial</w:t>
      </w:r>
      <w:r>
        <w:rPr>
          <w:spacing w:val="-5"/>
        </w:rPr>
        <w:t> </w:t>
      </w:r>
      <w:r>
        <w:rPr/>
        <w:t>which</w:t>
      </w:r>
      <w:r>
        <w:rPr>
          <w:spacing w:val="-4"/>
        </w:rPr>
        <w:t> </w:t>
      </w:r>
      <w:r>
        <w:rPr/>
        <w:t>a man gets depends on the amount of money</w:t>
      </w:r>
      <w:r>
        <w:rPr>
          <w:spacing w:val="10"/>
        </w:rPr>
        <w:t> </w:t>
      </w:r>
      <w:r>
        <w:rPr/>
        <w:t>he</w:t>
      </w:r>
      <w:r>
        <w:rPr>
          <w:spacing w:val="1"/>
        </w:rPr>
        <w:t> </w:t>
      </w:r>
      <w:r>
        <w:rPr/>
        <w:t>has</w:t>
        <w:tab/>
        <w:t>Plainly</w:t>
      </w:r>
    </w:p>
    <w:p>
      <w:pPr>
        <w:pStyle w:val="BodyText"/>
        <w:spacing w:before="1"/>
        <w:ind w:left="1324" w:right="1724"/>
        <w:jc w:val="both"/>
      </w:pPr>
      <w:r>
        <w:rPr/>
        <w:t>the ability to pay costs in advance bears no relationship to a defendant’s guilt or innocence and could not be used as an excuse to deprive a defendant of a fair trial.”</w:t>
      </w:r>
    </w:p>
    <w:p>
      <w:pPr>
        <w:pStyle w:val="ListParagraph"/>
        <w:numPr>
          <w:ilvl w:val="0"/>
          <w:numId w:val="2"/>
        </w:numPr>
        <w:tabs>
          <w:tab w:pos="461" w:val="left" w:leader="none"/>
        </w:tabs>
        <w:spacing w:line="480" w:lineRule="auto" w:before="238" w:after="0"/>
        <w:ind w:left="460" w:right="1067" w:hanging="360"/>
        <w:jc w:val="left"/>
        <w:rPr>
          <w:sz w:val="28"/>
        </w:rPr>
      </w:pPr>
      <w:r>
        <w:rPr>
          <w:sz w:val="28"/>
        </w:rPr>
        <w:t>To establish that a defendant is indigent, they need not demonstrate complete destitution, merely the inability to retain competent counsel with current financial resources. 15 Colo. Prac., Criminal Practice &amp; Procedure § 22.8 (2</w:t>
      </w:r>
      <w:r>
        <w:rPr>
          <w:position w:val="9"/>
          <w:sz w:val="17"/>
        </w:rPr>
        <w:t>nd</w:t>
      </w:r>
      <w:r>
        <w:rPr>
          <w:sz w:val="17"/>
        </w:rPr>
        <w:t> </w:t>
      </w:r>
      <w:r>
        <w:rPr>
          <w:sz w:val="28"/>
        </w:rPr>
        <w:t>ed.).</w:t>
      </w:r>
    </w:p>
    <w:p>
      <w:pPr>
        <w:pStyle w:val="ListParagraph"/>
        <w:numPr>
          <w:ilvl w:val="0"/>
          <w:numId w:val="2"/>
        </w:numPr>
        <w:tabs>
          <w:tab w:pos="461" w:val="left" w:leader="none"/>
          <w:tab w:pos="6118" w:val="left" w:leader="none"/>
        </w:tabs>
        <w:spacing w:line="480" w:lineRule="auto" w:before="240" w:after="0"/>
        <w:ind w:left="460" w:right="1250" w:hanging="360"/>
        <w:jc w:val="left"/>
        <w:rPr>
          <w:sz w:val="28"/>
        </w:rPr>
      </w:pPr>
      <w:r>
        <w:rPr>
          <w:sz w:val="28"/>
        </w:rPr>
        <w:t>Mr. Nickal is currently represented by counsel, but this alone should not disqualify him from receiving a free transcript in this case. Mr. Nickal is not able to retain competent counsel with his current financial resources, at the market rate for criminal defense in the</w:t>
      </w:r>
      <w:r>
        <w:rPr>
          <w:spacing w:val="-9"/>
          <w:sz w:val="28"/>
        </w:rPr>
        <w:t> </w:t>
      </w:r>
      <w:r>
        <w:rPr>
          <w:sz w:val="28"/>
        </w:rPr>
        <w:t>metro</w:t>
      </w:r>
      <w:r>
        <w:rPr>
          <w:spacing w:val="-1"/>
          <w:sz w:val="28"/>
        </w:rPr>
        <w:t> </w:t>
      </w:r>
      <w:r>
        <w:rPr>
          <w:sz w:val="28"/>
        </w:rPr>
        <w:t>area.</w:t>
        <w:tab/>
        <w:t>As he is in custody, Mr. Nickal would automatically qualify for the Office of the Public</w:t>
      </w:r>
      <w:r>
        <w:rPr>
          <w:spacing w:val="-16"/>
          <w:sz w:val="28"/>
        </w:rPr>
        <w:t> </w:t>
      </w:r>
      <w:r>
        <w:rPr>
          <w:sz w:val="28"/>
        </w:rPr>
        <w:t>Defender.</w:t>
      </w:r>
    </w:p>
    <w:p>
      <w:pPr>
        <w:pStyle w:val="ListParagraph"/>
        <w:numPr>
          <w:ilvl w:val="0"/>
          <w:numId w:val="2"/>
        </w:numPr>
        <w:tabs>
          <w:tab w:pos="461" w:val="left" w:leader="none"/>
        </w:tabs>
        <w:spacing w:line="480" w:lineRule="auto" w:before="242" w:after="0"/>
        <w:ind w:left="460" w:right="977" w:hanging="360"/>
        <w:jc w:val="left"/>
        <w:rPr>
          <w:sz w:val="28"/>
        </w:rPr>
      </w:pPr>
      <w:r>
        <w:rPr>
          <w:sz w:val="28"/>
        </w:rPr>
        <w:t>Mr. Mulligan has provided multiple discounts during his representation on this case; Mr. Mulligan has paid some initial expert fees without</w:t>
      </w:r>
      <w:r>
        <w:rPr>
          <w:spacing w:val="-24"/>
          <w:sz w:val="28"/>
        </w:rPr>
        <w:t> </w:t>
      </w:r>
      <w:r>
        <w:rPr>
          <w:sz w:val="28"/>
        </w:rPr>
        <w:t>reimbursement.</w:t>
      </w:r>
    </w:p>
    <w:p>
      <w:pPr>
        <w:spacing w:after="0" w:line="480" w:lineRule="auto"/>
        <w:jc w:val="left"/>
        <w:rPr>
          <w:sz w:val="28"/>
        </w:rPr>
        <w:sectPr>
          <w:pgSz w:w="12240" w:h="15840"/>
          <w:pgMar w:top="1360" w:bottom="280" w:left="1340" w:right="940"/>
        </w:sectPr>
      </w:pPr>
    </w:p>
    <w:p>
      <w:pPr>
        <w:pStyle w:val="BodyText"/>
        <w:spacing w:line="480" w:lineRule="auto" w:before="79"/>
        <w:ind w:left="460" w:right="956"/>
      </w:pPr>
      <w:r>
        <w:rPr/>
        <w:t>Ms. Longtin has agreed to work on this case at the rates that she charges for her work with Alternate Defense Counsel; the corresponding rates of other attorneys at her firm have been equally discounted. Counsel is attempting to secure the assistance of a paralegal intern, forensic psychologist intern, and law clerk, in order to obtain free assistance throughout this trial. Due to the complexity of this case, and the gravity of the charges, Mr. Nickal’s initial retainer has been exhausted; at this time, no further funds seem forthcoming.</w:t>
      </w:r>
    </w:p>
    <w:p>
      <w:pPr>
        <w:pStyle w:val="ListParagraph"/>
        <w:numPr>
          <w:ilvl w:val="0"/>
          <w:numId w:val="2"/>
        </w:numPr>
        <w:tabs>
          <w:tab w:pos="461" w:val="left" w:leader="none"/>
        </w:tabs>
        <w:spacing w:line="480" w:lineRule="auto" w:before="242" w:after="0"/>
        <w:ind w:left="460" w:right="1044" w:hanging="360"/>
        <w:jc w:val="left"/>
        <w:rPr>
          <w:sz w:val="28"/>
        </w:rPr>
      </w:pPr>
      <w:r>
        <w:rPr>
          <w:sz w:val="28"/>
        </w:rPr>
        <w:t>Pursuant to Colorado Rule of Professional Conduct 6.1(b)(2), providing legal services at a reduced rate to those of limited means is still considered to be </w:t>
      </w:r>
      <w:r>
        <w:rPr>
          <w:i/>
          <w:sz w:val="28"/>
        </w:rPr>
        <w:t>pro </w:t>
      </w:r>
      <w:r>
        <w:rPr>
          <w:i/>
          <w:sz w:val="28"/>
        </w:rPr>
        <w:t>bono </w:t>
      </w:r>
      <w:r>
        <w:rPr>
          <w:sz w:val="28"/>
        </w:rPr>
        <w:t>representation under the recommended Voluntarily Pro Bono Publico Service requirement set forth by the Supreme Court. Thus, Mr. Nickal’s reduced rate legal representation is considered to be </w:t>
      </w:r>
      <w:r>
        <w:rPr>
          <w:i/>
          <w:sz w:val="28"/>
        </w:rPr>
        <w:t>pro bono </w:t>
      </w:r>
      <w:r>
        <w:rPr>
          <w:sz w:val="28"/>
        </w:rPr>
        <w:t>representation by the Colorado Supreme</w:t>
      </w:r>
      <w:r>
        <w:rPr>
          <w:spacing w:val="-3"/>
          <w:sz w:val="28"/>
        </w:rPr>
        <w:t> </w:t>
      </w:r>
      <w:r>
        <w:rPr>
          <w:sz w:val="28"/>
        </w:rPr>
        <w:t>Court.</w:t>
      </w:r>
    </w:p>
    <w:p>
      <w:pPr>
        <w:pStyle w:val="ListParagraph"/>
        <w:numPr>
          <w:ilvl w:val="0"/>
          <w:numId w:val="2"/>
        </w:numPr>
        <w:tabs>
          <w:tab w:pos="461" w:val="left" w:leader="none"/>
        </w:tabs>
        <w:spacing w:line="480" w:lineRule="auto" w:before="240" w:after="0"/>
        <w:ind w:left="460" w:right="1037" w:hanging="360"/>
        <w:jc w:val="left"/>
        <w:rPr>
          <w:sz w:val="28"/>
        </w:rPr>
      </w:pPr>
      <w:r>
        <w:rPr>
          <w:sz w:val="28"/>
        </w:rPr>
        <w:t>Pursuant to Chief Justice Directive 04-04(V)(D), the court may grant payment of certain expenses, (including transcript fees, investigators, experts, and court costs), even though a defendant is not represented by state appointed  counsel. Under this directive, one such instance is when the defendant</w:t>
      </w:r>
      <w:r>
        <w:rPr>
          <w:spacing w:val="-14"/>
          <w:sz w:val="28"/>
        </w:rPr>
        <w:t> </w:t>
      </w:r>
      <w:r>
        <w:rPr>
          <w:sz w:val="28"/>
        </w:rPr>
        <w:t>is</w:t>
      </w:r>
    </w:p>
    <w:p>
      <w:pPr>
        <w:pStyle w:val="BodyText"/>
        <w:spacing w:line="480" w:lineRule="auto" w:before="1"/>
        <w:ind w:left="460" w:right="956"/>
      </w:pPr>
      <w:r>
        <w:rPr/>
        <w:t>represented by </w:t>
      </w:r>
      <w:r>
        <w:rPr>
          <w:i/>
        </w:rPr>
        <w:t>pro bono </w:t>
      </w:r>
      <w:r>
        <w:rPr/>
        <w:t>counsel, another is when a defendant becomes indigent during the course of the proceedings and it would be disruptive to the case to appoint the Public Defender. Mr. Nickal arguably falls under both such</w:t>
      </w:r>
    </w:p>
    <w:p>
      <w:pPr>
        <w:spacing w:after="0" w:line="480" w:lineRule="auto"/>
        <w:sectPr>
          <w:pgSz w:w="12240" w:h="15840"/>
          <w:pgMar w:top="1360" w:bottom="280" w:left="1340" w:right="940"/>
        </w:sectPr>
      </w:pPr>
    </w:p>
    <w:p>
      <w:pPr>
        <w:pStyle w:val="BodyText"/>
        <w:spacing w:before="79"/>
        <w:ind w:left="460"/>
      </w:pPr>
      <w:r>
        <w:rPr/>
        <w:t>categories.</w:t>
      </w:r>
    </w:p>
    <w:p>
      <w:pPr>
        <w:pStyle w:val="BodyText"/>
        <w:rPr>
          <w:sz w:val="32"/>
        </w:rPr>
      </w:pPr>
    </w:p>
    <w:p>
      <w:pPr>
        <w:pStyle w:val="ListParagraph"/>
        <w:numPr>
          <w:ilvl w:val="0"/>
          <w:numId w:val="2"/>
        </w:numPr>
        <w:tabs>
          <w:tab w:pos="1901" w:val="left" w:leader="none"/>
        </w:tabs>
        <w:spacing w:line="480" w:lineRule="auto" w:before="196" w:after="0"/>
        <w:ind w:left="460" w:right="852" w:firstLine="720"/>
        <w:jc w:val="both"/>
        <w:rPr>
          <w:sz w:val="28"/>
        </w:rPr>
      </w:pPr>
      <w:r>
        <w:rPr>
          <w:sz w:val="28"/>
        </w:rPr>
        <w:t>Because</w:t>
      </w:r>
      <w:r>
        <w:rPr>
          <w:spacing w:val="-6"/>
          <w:sz w:val="28"/>
        </w:rPr>
        <w:t> </w:t>
      </w:r>
      <w:r>
        <w:rPr>
          <w:sz w:val="28"/>
        </w:rPr>
        <w:t>both</w:t>
      </w:r>
      <w:r>
        <w:rPr>
          <w:spacing w:val="-5"/>
          <w:sz w:val="28"/>
        </w:rPr>
        <w:t> </w:t>
      </w:r>
      <w:r>
        <w:rPr>
          <w:sz w:val="28"/>
        </w:rPr>
        <w:t>counsel</w:t>
      </w:r>
      <w:r>
        <w:rPr>
          <w:spacing w:val="-6"/>
          <w:sz w:val="28"/>
        </w:rPr>
        <w:t> </w:t>
      </w:r>
      <w:r>
        <w:rPr>
          <w:sz w:val="28"/>
        </w:rPr>
        <w:t>are</w:t>
      </w:r>
      <w:r>
        <w:rPr>
          <w:spacing w:val="-6"/>
          <w:sz w:val="28"/>
        </w:rPr>
        <w:t> </w:t>
      </w:r>
      <w:r>
        <w:rPr>
          <w:sz w:val="28"/>
        </w:rPr>
        <w:t>willing</w:t>
      </w:r>
      <w:r>
        <w:rPr>
          <w:spacing w:val="-6"/>
          <w:sz w:val="28"/>
        </w:rPr>
        <w:t> </w:t>
      </w:r>
      <w:r>
        <w:rPr>
          <w:sz w:val="28"/>
        </w:rPr>
        <w:t>to</w:t>
      </w:r>
      <w:r>
        <w:rPr>
          <w:spacing w:val="-6"/>
          <w:sz w:val="28"/>
        </w:rPr>
        <w:t> </w:t>
      </w:r>
      <w:r>
        <w:rPr>
          <w:sz w:val="28"/>
        </w:rPr>
        <w:t>remain</w:t>
      </w:r>
      <w:r>
        <w:rPr>
          <w:spacing w:val="-6"/>
          <w:sz w:val="28"/>
        </w:rPr>
        <w:t> </w:t>
      </w:r>
      <w:r>
        <w:rPr>
          <w:sz w:val="28"/>
        </w:rPr>
        <w:t>on</w:t>
      </w:r>
      <w:r>
        <w:rPr>
          <w:spacing w:val="-6"/>
          <w:sz w:val="28"/>
        </w:rPr>
        <w:t> </w:t>
      </w:r>
      <w:r>
        <w:rPr>
          <w:sz w:val="28"/>
        </w:rPr>
        <w:t>this</w:t>
      </w:r>
      <w:r>
        <w:rPr>
          <w:spacing w:val="-6"/>
          <w:sz w:val="28"/>
        </w:rPr>
        <w:t> </w:t>
      </w:r>
      <w:r>
        <w:rPr>
          <w:sz w:val="28"/>
        </w:rPr>
        <w:t>case,</w:t>
      </w:r>
      <w:r>
        <w:rPr>
          <w:spacing w:val="-5"/>
          <w:sz w:val="28"/>
        </w:rPr>
        <w:t> </w:t>
      </w:r>
      <w:r>
        <w:rPr>
          <w:sz w:val="28"/>
        </w:rPr>
        <w:t>should</w:t>
      </w:r>
      <w:r>
        <w:rPr>
          <w:spacing w:val="-4"/>
          <w:sz w:val="28"/>
        </w:rPr>
        <w:t> </w:t>
      </w:r>
      <w:r>
        <w:rPr>
          <w:sz w:val="28"/>
        </w:rPr>
        <w:t>the Court grant Mr. Nickal the benefit of free transcripts, there are savings to the state</w:t>
      </w:r>
      <w:r>
        <w:rPr>
          <w:spacing w:val="-10"/>
          <w:sz w:val="28"/>
        </w:rPr>
        <w:t> </w:t>
      </w:r>
      <w:r>
        <w:rPr>
          <w:sz w:val="28"/>
        </w:rPr>
        <w:t>in</w:t>
      </w:r>
      <w:r>
        <w:rPr>
          <w:spacing w:val="-8"/>
          <w:sz w:val="28"/>
        </w:rPr>
        <w:t> </w:t>
      </w:r>
      <w:r>
        <w:rPr>
          <w:sz w:val="28"/>
        </w:rPr>
        <w:t>allowing</w:t>
      </w:r>
      <w:r>
        <w:rPr>
          <w:spacing w:val="-6"/>
          <w:sz w:val="28"/>
        </w:rPr>
        <w:t> </w:t>
      </w:r>
      <w:r>
        <w:rPr>
          <w:sz w:val="28"/>
        </w:rPr>
        <w:t>Mr.</w:t>
      </w:r>
      <w:r>
        <w:rPr>
          <w:spacing w:val="-7"/>
          <w:sz w:val="28"/>
        </w:rPr>
        <w:t> </w:t>
      </w:r>
      <w:r>
        <w:rPr>
          <w:sz w:val="28"/>
        </w:rPr>
        <w:t>Nickal</w:t>
      </w:r>
      <w:r>
        <w:rPr>
          <w:spacing w:val="-6"/>
          <w:sz w:val="28"/>
        </w:rPr>
        <w:t> </w:t>
      </w:r>
      <w:r>
        <w:rPr>
          <w:sz w:val="28"/>
        </w:rPr>
        <w:t>to</w:t>
      </w:r>
      <w:r>
        <w:rPr>
          <w:spacing w:val="-8"/>
          <w:sz w:val="28"/>
        </w:rPr>
        <w:t> </w:t>
      </w:r>
      <w:r>
        <w:rPr>
          <w:sz w:val="28"/>
        </w:rPr>
        <w:t>proceed</w:t>
      </w:r>
      <w:r>
        <w:rPr>
          <w:spacing w:val="-8"/>
          <w:sz w:val="28"/>
        </w:rPr>
        <w:t> </w:t>
      </w:r>
      <w:r>
        <w:rPr>
          <w:sz w:val="28"/>
        </w:rPr>
        <w:t>with</w:t>
      </w:r>
      <w:r>
        <w:rPr>
          <w:spacing w:val="-6"/>
          <w:sz w:val="28"/>
        </w:rPr>
        <w:t> </w:t>
      </w:r>
      <w:r>
        <w:rPr>
          <w:sz w:val="28"/>
        </w:rPr>
        <w:t>current</w:t>
      </w:r>
      <w:r>
        <w:rPr>
          <w:spacing w:val="-7"/>
          <w:sz w:val="28"/>
        </w:rPr>
        <w:t> </w:t>
      </w:r>
      <w:r>
        <w:rPr>
          <w:sz w:val="28"/>
        </w:rPr>
        <w:t>counsel,</w:t>
      </w:r>
      <w:r>
        <w:rPr>
          <w:spacing w:val="-6"/>
          <w:sz w:val="28"/>
        </w:rPr>
        <w:t> </w:t>
      </w:r>
      <w:r>
        <w:rPr>
          <w:sz w:val="28"/>
        </w:rPr>
        <w:t>as</w:t>
      </w:r>
      <w:r>
        <w:rPr>
          <w:spacing w:val="-6"/>
          <w:sz w:val="28"/>
        </w:rPr>
        <w:t> </w:t>
      </w:r>
      <w:r>
        <w:rPr>
          <w:sz w:val="28"/>
        </w:rPr>
        <w:t>the</w:t>
      </w:r>
      <w:r>
        <w:rPr>
          <w:spacing w:val="-5"/>
          <w:sz w:val="28"/>
        </w:rPr>
        <w:t> </w:t>
      </w:r>
      <w:r>
        <w:rPr>
          <w:sz w:val="28"/>
        </w:rPr>
        <w:t>state</w:t>
      </w:r>
      <w:r>
        <w:rPr>
          <w:spacing w:val="-10"/>
          <w:sz w:val="28"/>
        </w:rPr>
        <w:t> </w:t>
      </w:r>
      <w:r>
        <w:rPr>
          <w:sz w:val="28"/>
        </w:rPr>
        <w:t>will</w:t>
      </w:r>
      <w:r>
        <w:rPr>
          <w:spacing w:val="-9"/>
          <w:sz w:val="28"/>
        </w:rPr>
        <w:t> </w:t>
      </w:r>
      <w:r>
        <w:rPr>
          <w:sz w:val="28"/>
        </w:rPr>
        <w:t>not have to incur both the cost of free transcripts, and representation by the Office of the Public</w:t>
      </w:r>
      <w:r>
        <w:rPr>
          <w:spacing w:val="-3"/>
          <w:sz w:val="28"/>
        </w:rPr>
        <w:t> </w:t>
      </w:r>
      <w:r>
        <w:rPr>
          <w:sz w:val="28"/>
        </w:rPr>
        <w:t>Defender.</w:t>
      </w:r>
    </w:p>
    <w:p>
      <w:pPr>
        <w:pStyle w:val="ListParagraph"/>
        <w:numPr>
          <w:ilvl w:val="0"/>
          <w:numId w:val="2"/>
        </w:numPr>
        <w:tabs>
          <w:tab w:pos="1901" w:val="left" w:leader="none"/>
        </w:tabs>
        <w:spacing w:line="480" w:lineRule="auto" w:before="0" w:after="0"/>
        <w:ind w:left="460" w:right="856" w:firstLine="720"/>
        <w:jc w:val="both"/>
        <w:rPr>
          <w:sz w:val="28"/>
        </w:rPr>
      </w:pPr>
      <w:r>
        <w:rPr>
          <w:sz w:val="28"/>
        </w:rPr>
        <w:t>Mr. Nickal asks this Honorable Court to recognize that, even though</w:t>
      </w:r>
      <w:r>
        <w:rPr>
          <w:spacing w:val="-9"/>
          <w:sz w:val="28"/>
        </w:rPr>
        <w:t> </w:t>
      </w:r>
      <w:r>
        <w:rPr>
          <w:sz w:val="28"/>
        </w:rPr>
        <w:t>he</w:t>
      </w:r>
      <w:r>
        <w:rPr>
          <w:spacing w:val="-8"/>
          <w:sz w:val="28"/>
        </w:rPr>
        <w:t> </w:t>
      </w:r>
      <w:r>
        <w:rPr>
          <w:sz w:val="28"/>
        </w:rPr>
        <w:t>has</w:t>
      </w:r>
      <w:r>
        <w:rPr>
          <w:spacing w:val="-9"/>
          <w:sz w:val="28"/>
        </w:rPr>
        <w:t> </w:t>
      </w:r>
      <w:r>
        <w:rPr>
          <w:sz w:val="28"/>
        </w:rPr>
        <w:t>not</w:t>
      </w:r>
      <w:r>
        <w:rPr>
          <w:spacing w:val="-10"/>
          <w:sz w:val="28"/>
        </w:rPr>
        <w:t> </w:t>
      </w:r>
      <w:r>
        <w:rPr>
          <w:sz w:val="28"/>
        </w:rPr>
        <w:t>been</w:t>
      </w:r>
      <w:r>
        <w:rPr>
          <w:spacing w:val="-6"/>
          <w:sz w:val="28"/>
        </w:rPr>
        <w:t> </w:t>
      </w:r>
      <w:r>
        <w:rPr>
          <w:sz w:val="28"/>
        </w:rPr>
        <w:t>found</w:t>
      </w:r>
      <w:r>
        <w:rPr>
          <w:spacing w:val="-6"/>
          <w:sz w:val="28"/>
        </w:rPr>
        <w:t> </w:t>
      </w:r>
      <w:r>
        <w:rPr>
          <w:sz w:val="28"/>
        </w:rPr>
        <w:t>indigent,</w:t>
      </w:r>
      <w:r>
        <w:rPr>
          <w:spacing w:val="-7"/>
          <w:sz w:val="28"/>
        </w:rPr>
        <w:t> </w:t>
      </w:r>
      <w:r>
        <w:rPr>
          <w:sz w:val="28"/>
        </w:rPr>
        <w:t>only</w:t>
      </w:r>
      <w:r>
        <w:rPr>
          <w:spacing w:val="-8"/>
          <w:sz w:val="28"/>
        </w:rPr>
        <w:t> </w:t>
      </w:r>
      <w:r>
        <w:rPr>
          <w:sz w:val="28"/>
        </w:rPr>
        <w:t>the</w:t>
      </w:r>
      <w:r>
        <w:rPr>
          <w:spacing w:val="-6"/>
          <w:sz w:val="28"/>
        </w:rPr>
        <w:t> </w:t>
      </w:r>
      <w:r>
        <w:rPr>
          <w:sz w:val="28"/>
        </w:rPr>
        <w:t>richest</w:t>
      </w:r>
      <w:r>
        <w:rPr>
          <w:spacing w:val="-9"/>
          <w:sz w:val="28"/>
        </w:rPr>
        <w:t> </w:t>
      </w:r>
      <w:r>
        <w:rPr>
          <w:sz w:val="28"/>
        </w:rPr>
        <w:t>among</w:t>
      </w:r>
      <w:r>
        <w:rPr>
          <w:spacing w:val="-9"/>
          <w:sz w:val="28"/>
        </w:rPr>
        <w:t> </w:t>
      </w:r>
      <w:r>
        <w:rPr>
          <w:sz w:val="28"/>
        </w:rPr>
        <w:t>us</w:t>
      </w:r>
      <w:r>
        <w:rPr>
          <w:spacing w:val="-8"/>
          <w:sz w:val="28"/>
        </w:rPr>
        <w:t> </w:t>
      </w:r>
      <w:r>
        <w:rPr>
          <w:sz w:val="28"/>
        </w:rPr>
        <w:t>are</w:t>
      </w:r>
      <w:r>
        <w:rPr>
          <w:spacing w:val="-9"/>
          <w:sz w:val="28"/>
        </w:rPr>
        <w:t> </w:t>
      </w:r>
      <w:r>
        <w:rPr>
          <w:sz w:val="28"/>
        </w:rPr>
        <w:t>capable</w:t>
      </w:r>
      <w:r>
        <w:rPr>
          <w:spacing w:val="-7"/>
          <w:sz w:val="28"/>
        </w:rPr>
        <w:t> </w:t>
      </w:r>
      <w:r>
        <w:rPr>
          <w:sz w:val="28"/>
        </w:rPr>
        <w:t>of paying the total cost of a murder trial; however, this should not equate to only the richest obtaining</w:t>
      </w:r>
      <w:r>
        <w:rPr>
          <w:spacing w:val="-1"/>
          <w:sz w:val="28"/>
        </w:rPr>
        <w:t> </w:t>
      </w:r>
      <w:r>
        <w:rPr>
          <w:sz w:val="28"/>
        </w:rPr>
        <w:t>justice.</w:t>
      </w:r>
    </w:p>
    <w:p>
      <w:pPr>
        <w:pStyle w:val="BodyText"/>
        <w:spacing w:line="480" w:lineRule="auto"/>
        <w:ind w:left="460" w:right="915" w:firstLine="719"/>
      </w:pPr>
      <w:r>
        <w:rPr/>
        <w:t>WHEREFORE, Mr. Nickal prays that this Court grant this Motion and any other relief that this Court deems just and proper to assist him in obtaining his Colorado and United States constitutional guarantees of equal protection and due process of</w:t>
      </w:r>
      <w:r>
        <w:rPr>
          <w:spacing w:val="-2"/>
        </w:rPr>
        <w:t> </w:t>
      </w:r>
      <w:r>
        <w:rPr/>
        <w:t>law.</w:t>
      </w:r>
    </w:p>
    <w:p>
      <w:pPr>
        <w:pStyle w:val="BodyText"/>
        <w:rPr>
          <w:sz w:val="32"/>
        </w:rPr>
      </w:pPr>
    </w:p>
    <w:p>
      <w:pPr>
        <w:pStyle w:val="BodyText"/>
        <w:spacing w:before="271"/>
        <w:ind w:left="460"/>
      </w:pPr>
      <w:r>
        <w:rPr/>
        <w:t>Respectfully</w:t>
      </w:r>
      <w:r>
        <w:rPr>
          <w:spacing w:val="-9"/>
        </w:rPr>
        <w:t> </w:t>
      </w:r>
      <w:r>
        <w:rPr/>
        <w:t>Submitted,</w:t>
      </w:r>
    </w:p>
    <w:p>
      <w:pPr>
        <w:pStyle w:val="BodyText"/>
        <w:rPr>
          <w:sz w:val="20"/>
        </w:rPr>
      </w:pPr>
    </w:p>
    <w:p>
      <w:pPr>
        <w:pStyle w:val="BodyText"/>
        <w:spacing w:before="7"/>
        <w:rPr>
          <w:sz w:val="19"/>
        </w:rPr>
      </w:pPr>
    </w:p>
    <w:p>
      <w:pPr>
        <w:tabs>
          <w:tab w:pos="1540" w:val="left" w:leader="none"/>
          <w:tab w:pos="4803" w:val="left" w:leader="none"/>
        </w:tabs>
        <w:spacing w:before="100"/>
        <w:ind w:left="460" w:right="0" w:firstLine="0"/>
        <w:jc w:val="left"/>
        <w:rPr>
          <w:sz w:val="24"/>
        </w:rPr>
      </w:pPr>
      <w:r>
        <w:rPr>
          <w:sz w:val="24"/>
          <w:u w:val="single"/>
        </w:rPr>
        <w:t> </w:t>
        <w:tab/>
      </w:r>
      <w:r>
        <w:rPr>
          <w:sz w:val="24"/>
        </w:rPr>
        <w:t>/s/</w:t>
      </w:r>
      <w:r>
        <w:rPr>
          <w:sz w:val="24"/>
          <w:u w:val="single"/>
        </w:rPr>
        <w:t> </w:t>
        <w:tab/>
      </w:r>
    </w:p>
    <w:p>
      <w:pPr>
        <w:pStyle w:val="BodyText"/>
        <w:ind w:left="460" w:right="7193"/>
      </w:pPr>
      <w:r>
        <w:rPr/>
        <w:drawing>
          <wp:anchor distT="0" distB="0" distL="0" distR="0" allowOverlap="1" layoutInCell="1" locked="0" behindDoc="0" simplePos="0" relativeHeight="2">
            <wp:simplePos x="0" y="0"/>
            <wp:positionH relativeFrom="page">
              <wp:posOffset>966216</wp:posOffset>
            </wp:positionH>
            <wp:positionV relativeFrom="paragraph">
              <wp:posOffset>458285</wp:posOffset>
            </wp:positionV>
            <wp:extent cx="2148306" cy="603504"/>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148306" cy="603504"/>
                    </a:xfrm>
                    <a:prstGeom prst="rect">
                      <a:avLst/>
                    </a:prstGeom>
                  </pic:spPr>
                </pic:pic>
              </a:graphicData>
            </a:graphic>
          </wp:anchor>
        </w:drawing>
      </w:r>
      <w:r>
        <w:rPr/>
        <w:pict>
          <v:line style="position:absolute;mso-position-horizontal-relative:page;mso-position-vertical-relative:paragraph;z-index:-952;mso-wrap-distance-left:0;mso-wrap-distance-right:0" from="90.024002pt,92.18544pt" to="334.993934pt,92.18544pt" stroked="true" strokeweight=".702pt" strokecolor="#000000">
            <v:stroke dashstyle="solid"/>
            <w10:wrap type="topAndBottom"/>
          </v:line>
        </w:pict>
      </w:r>
      <w:r>
        <w:rPr/>
        <w:t>Patrick Mulligan Registration # 16981</w:t>
      </w:r>
    </w:p>
    <w:p>
      <w:pPr>
        <w:pStyle w:val="BodyText"/>
        <w:spacing w:before="5"/>
        <w:rPr>
          <w:sz w:val="8"/>
        </w:rPr>
      </w:pPr>
    </w:p>
    <w:p>
      <w:pPr>
        <w:spacing w:after="0"/>
        <w:rPr>
          <w:sz w:val="8"/>
        </w:rPr>
        <w:sectPr>
          <w:pgSz w:w="12240" w:h="15840"/>
          <w:pgMar w:top="1360" w:bottom="280" w:left="1340" w:right="940"/>
        </w:sectPr>
      </w:pPr>
    </w:p>
    <w:p>
      <w:pPr>
        <w:pStyle w:val="BodyText"/>
        <w:spacing w:line="315" w:lineRule="exact" w:before="79"/>
        <w:ind w:left="460"/>
      </w:pPr>
      <w:r>
        <w:rPr/>
        <w:t>Jennifer Longtin, #43509</w:t>
      </w:r>
    </w:p>
    <w:p>
      <w:pPr>
        <w:pStyle w:val="BodyText"/>
        <w:spacing w:line="315" w:lineRule="exact"/>
        <w:ind w:left="460"/>
      </w:pPr>
      <w:r>
        <w:rPr/>
        <w:t>The Law Office of Jennifer E. Longtin, LLC</w:t>
      </w:r>
    </w:p>
    <w:p>
      <w:pPr>
        <w:pStyle w:val="BodyText"/>
        <w:rPr>
          <w:sz w:val="32"/>
        </w:rPr>
      </w:pPr>
    </w:p>
    <w:p>
      <w:pPr>
        <w:spacing w:before="270"/>
        <w:ind w:left="3559" w:right="0" w:firstLine="0"/>
        <w:jc w:val="left"/>
        <w:rPr>
          <w:b/>
          <w:sz w:val="28"/>
        </w:rPr>
      </w:pPr>
      <w:r>
        <w:rPr>
          <w:b/>
          <w:sz w:val="28"/>
          <w:u w:val="single"/>
        </w:rPr>
        <w:t>Certificate of Service</w:t>
      </w:r>
    </w:p>
    <w:p>
      <w:pPr>
        <w:pStyle w:val="BodyText"/>
        <w:spacing w:before="1"/>
        <w:rPr>
          <w:b/>
        </w:rPr>
      </w:pPr>
    </w:p>
    <w:p>
      <w:pPr>
        <w:pStyle w:val="BodyText"/>
        <w:spacing w:line="480" w:lineRule="auto" w:before="1"/>
        <w:ind w:left="460" w:right="1099" w:firstLine="719"/>
      </w:pPr>
      <w:r>
        <w:rPr/>
        <w:t>The undersigned does hereby certify that on July 27, 2017, s/he served the foregoing REQUEST to all opposing counsel of record via ICCES:</w:t>
      </w:r>
    </w:p>
    <w:p>
      <w:pPr>
        <w:pStyle w:val="BodyText"/>
        <w:ind w:left="492"/>
        <w:rPr>
          <w:sz w:val="20"/>
        </w:rPr>
      </w:pPr>
      <w:r>
        <w:rPr>
          <w:sz w:val="20"/>
        </w:rPr>
        <w:drawing>
          <wp:inline distT="0" distB="0" distL="0" distR="0">
            <wp:extent cx="2238294" cy="561117"/>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2238294" cy="561117"/>
                    </a:xfrm>
                    <a:prstGeom prst="rect">
                      <a:avLst/>
                    </a:prstGeom>
                  </pic:spPr>
                </pic:pic>
              </a:graphicData>
            </a:graphic>
          </wp:inline>
        </w:drawing>
      </w:r>
      <w:r>
        <w:rPr>
          <w:sz w:val="20"/>
        </w:rPr>
      </w:r>
    </w:p>
    <w:p>
      <w:pPr>
        <w:pStyle w:val="BodyText"/>
        <w:spacing w:before="2"/>
        <w:rPr>
          <w:sz w:val="19"/>
        </w:rPr>
      </w:pPr>
      <w:r>
        <w:rPr/>
        <w:pict>
          <v:line style="position:absolute;mso-position-horizontal-relative:page;mso-position-vertical-relative:paragraph;z-index:-928;mso-wrap-distance-left:0;mso-wrap-distance-right:0" from="90.024002pt,13.173999pt" to="244.07089pt,13.173999pt" stroked="true" strokeweight=".702pt" strokecolor="#000000">
            <v:stroke dashstyle="solid"/>
            <w10:wrap type="topAndBottom"/>
          </v:line>
        </w:pict>
      </w:r>
    </w:p>
    <w:sectPr>
      <w:pgSz w:w="12240" w:h="15840"/>
      <w:pgMar w:top="1360" w:bottom="280" w:left="13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460" w:hanging="720"/>
        <w:jc w:val="right"/>
      </w:pPr>
      <w:rPr>
        <w:rFonts w:hint="default" w:ascii="Garamond" w:hAnsi="Garamond" w:eastAsia="Garamond" w:cs="Garamond"/>
        <w:w w:val="100"/>
        <w:sz w:val="28"/>
        <w:szCs w:val="28"/>
      </w:rPr>
    </w:lvl>
    <w:lvl w:ilvl="1">
      <w:start w:val="0"/>
      <w:numFmt w:val="bullet"/>
      <w:lvlText w:val="•"/>
      <w:lvlJc w:val="left"/>
      <w:pPr>
        <w:ind w:left="1410" w:hanging="720"/>
      </w:pPr>
      <w:rPr>
        <w:rFonts w:hint="default"/>
      </w:rPr>
    </w:lvl>
    <w:lvl w:ilvl="2">
      <w:start w:val="0"/>
      <w:numFmt w:val="bullet"/>
      <w:lvlText w:val="•"/>
      <w:lvlJc w:val="left"/>
      <w:pPr>
        <w:ind w:left="2360" w:hanging="720"/>
      </w:pPr>
      <w:rPr>
        <w:rFonts w:hint="default"/>
      </w:rPr>
    </w:lvl>
    <w:lvl w:ilvl="3">
      <w:start w:val="0"/>
      <w:numFmt w:val="bullet"/>
      <w:lvlText w:val="•"/>
      <w:lvlJc w:val="left"/>
      <w:pPr>
        <w:ind w:left="3310" w:hanging="720"/>
      </w:pPr>
      <w:rPr>
        <w:rFonts w:hint="default"/>
      </w:rPr>
    </w:lvl>
    <w:lvl w:ilvl="4">
      <w:start w:val="0"/>
      <w:numFmt w:val="bullet"/>
      <w:lvlText w:val="•"/>
      <w:lvlJc w:val="left"/>
      <w:pPr>
        <w:ind w:left="4260" w:hanging="720"/>
      </w:pPr>
      <w:rPr>
        <w:rFonts w:hint="default"/>
      </w:rPr>
    </w:lvl>
    <w:lvl w:ilvl="5">
      <w:start w:val="0"/>
      <w:numFmt w:val="bullet"/>
      <w:lvlText w:val="•"/>
      <w:lvlJc w:val="left"/>
      <w:pPr>
        <w:ind w:left="5210" w:hanging="720"/>
      </w:pPr>
      <w:rPr>
        <w:rFonts w:hint="default"/>
      </w:rPr>
    </w:lvl>
    <w:lvl w:ilvl="6">
      <w:start w:val="0"/>
      <w:numFmt w:val="bullet"/>
      <w:lvlText w:val="•"/>
      <w:lvlJc w:val="left"/>
      <w:pPr>
        <w:ind w:left="6160" w:hanging="720"/>
      </w:pPr>
      <w:rPr>
        <w:rFonts w:hint="default"/>
      </w:rPr>
    </w:lvl>
    <w:lvl w:ilvl="7">
      <w:start w:val="0"/>
      <w:numFmt w:val="bullet"/>
      <w:lvlText w:val="•"/>
      <w:lvlJc w:val="left"/>
      <w:pPr>
        <w:ind w:left="7110" w:hanging="720"/>
      </w:pPr>
      <w:rPr>
        <w:rFonts w:hint="default"/>
      </w:rPr>
    </w:lvl>
    <w:lvl w:ilvl="8">
      <w:start w:val="0"/>
      <w:numFmt w:val="bullet"/>
      <w:lvlText w:val="•"/>
      <w:lvlJc w:val="left"/>
      <w:pPr>
        <w:ind w:left="8060" w:hanging="720"/>
      </w:pPr>
      <w:rPr>
        <w:rFonts w:hint="default"/>
      </w:rPr>
    </w:lvl>
  </w:abstractNum>
  <w:abstractNum w:abstractNumId="0">
    <w:multiLevelType w:val="hybridMultilevel"/>
    <w:lvl w:ilvl="0">
      <w:start w:val="3"/>
      <w:numFmt w:val="decimal"/>
      <w:lvlText w:val="%1."/>
      <w:lvlJc w:val="left"/>
      <w:pPr>
        <w:ind w:left="460" w:hanging="720"/>
        <w:jc w:val="left"/>
      </w:pPr>
      <w:rPr>
        <w:rFonts w:hint="default" w:ascii="Garamond" w:hAnsi="Garamond" w:eastAsia="Garamond" w:cs="Garamond"/>
        <w:w w:val="100"/>
        <w:sz w:val="28"/>
        <w:szCs w:val="28"/>
      </w:rPr>
    </w:lvl>
    <w:lvl w:ilvl="1">
      <w:start w:val="0"/>
      <w:numFmt w:val="bullet"/>
      <w:lvlText w:val="•"/>
      <w:lvlJc w:val="left"/>
      <w:pPr>
        <w:ind w:left="1410" w:hanging="720"/>
      </w:pPr>
      <w:rPr>
        <w:rFonts w:hint="default"/>
      </w:rPr>
    </w:lvl>
    <w:lvl w:ilvl="2">
      <w:start w:val="0"/>
      <w:numFmt w:val="bullet"/>
      <w:lvlText w:val="•"/>
      <w:lvlJc w:val="left"/>
      <w:pPr>
        <w:ind w:left="2360" w:hanging="720"/>
      </w:pPr>
      <w:rPr>
        <w:rFonts w:hint="default"/>
      </w:rPr>
    </w:lvl>
    <w:lvl w:ilvl="3">
      <w:start w:val="0"/>
      <w:numFmt w:val="bullet"/>
      <w:lvlText w:val="•"/>
      <w:lvlJc w:val="left"/>
      <w:pPr>
        <w:ind w:left="3310" w:hanging="720"/>
      </w:pPr>
      <w:rPr>
        <w:rFonts w:hint="default"/>
      </w:rPr>
    </w:lvl>
    <w:lvl w:ilvl="4">
      <w:start w:val="0"/>
      <w:numFmt w:val="bullet"/>
      <w:lvlText w:val="•"/>
      <w:lvlJc w:val="left"/>
      <w:pPr>
        <w:ind w:left="4260" w:hanging="720"/>
      </w:pPr>
      <w:rPr>
        <w:rFonts w:hint="default"/>
      </w:rPr>
    </w:lvl>
    <w:lvl w:ilvl="5">
      <w:start w:val="0"/>
      <w:numFmt w:val="bullet"/>
      <w:lvlText w:val="•"/>
      <w:lvlJc w:val="left"/>
      <w:pPr>
        <w:ind w:left="5210" w:hanging="720"/>
      </w:pPr>
      <w:rPr>
        <w:rFonts w:hint="default"/>
      </w:rPr>
    </w:lvl>
    <w:lvl w:ilvl="6">
      <w:start w:val="0"/>
      <w:numFmt w:val="bullet"/>
      <w:lvlText w:val="•"/>
      <w:lvlJc w:val="left"/>
      <w:pPr>
        <w:ind w:left="6160" w:hanging="720"/>
      </w:pPr>
      <w:rPr>
        <w:rFonts w:hint="default"/>
      </w:rPr>
    </w:lvl>
    <w:lvl w:ilvl="7">
      <w:start w:val="0"/>
      <w:numFmt w:val="bullet"/>
      <w:lvlText w:val="•"/>
      <w:lvlJc w:val="left"/>
      <w:pPr>
        <w:ind w:left="7110" w:hanging="720"/>
      </w:pPr>
      <w:rPr>
        <w:rFonts w:hint="default"/>
      </w:rPr>
    </w:lvl>
    <w:lvl w:ilvl="8">
      <w:start w:val="0"/>
      <w:numFmt w:val="bullet"/>
      <w:lvlText w:val="•"/>
      <w:lvlJc w:val="left"/>
      <w:pPr>
        <w:ind w:left="8060"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ListParagraph" w:type="paragraph">
    <w:name w:val="List Paragraph"/>
    <w:basedOn w:val="Normal"/>
    <w:uiPriority w:val="1"/>
    <w:qFormat/>
    <w:pPr>
      <w:spacing w:before="1"/>
      <w:ind w:left="460"/>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Patrick@MulliganBriet.com" TargetMode="External"/><Relationship Id="rId7" Type="http://schemas.openxmlformats.org/officeDocument/2006/relationships/hyperlink" Target="mailto:Jen@jlongtinlaw.com" TargetMode="Externa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2019-03-20T18:41:17Z</dcterms:created>
  <dcterms:modified xsi:type="dcterms:W3CDTF">2019-03-20T18:41:17Z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