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35"/>
        <w:gridCol w:w="1025"/>
        <w:gridCol w:w="3600"/>
      </w:tblGrid>
      <w:tr>
        <w:trPr>
          <w:trHeight w:val="230" w:hRule="atLeast"/>
        </w:trPr>
        <w:tc>
          <w:tcPr>
            <w:tcW w:w="5435" w:type="dxa"/>
            <w:tcBorders>
              <w:top w:val="single" w:sz="4" w:space="0" w:color="000000"/>
              <w:left w:val="single" w:sz="4" w:space="0" w:color="000000"/>
            </w:tcBorders>
          </w:tcPr>
          <w:p>
            <w:pPr>
              <w:pStyle w:val="TableParagraph"/>
              <w:spacing w:line="210" w:lineRule="exact"/>
              <w:ind w:left="107"/>
              <w:rPr>
                <w:sz w:val="20"/>
              </w:rPr>
            </w:pPr>
            <w:r>
              <w:rPr>
                <w:sz w:val="20"/>
              </w:rPr>
              <w:t>DISTRICT COURT, DENVER COUNTY, COLORADO</w:t>
            </w:r>
          </w:p>
        </w:tc>
        <w:tc>
          <w:tcPr>
            <w:tcW w:w="1025" w:type="dxa"/>
            <w:tcBorders>
              <w:top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r>
      <w:tr>
        <w:trPr>
          <w:trHeight w:val="230" w:hRule="atLeast"/>
        </w:trPr>
        <w:tc>
          <w:tcPr>
            <w:tcW w:w="5435" w:type="dxa"/>
            <w:tcBorders>
              <w:left w:val="single" w:sz="4" w:space="0" w:color="000000"/>
            </w:tcBorders>
          </w:tcPr>
          <w:p>
            <w:pPr>
              <w:pStyle w:val="TableParagraph"/>
              <w:spacing w:line="210" w:lineRule="exact"/>
              <w:ind w:left="107"/>
              <w:rPr>
                <w:sz w:val="20"/>
              </w:rPr>
            </w:pPr>
            <w:r>
              <w:rPr>
                <w:sz w:val="20"/>
              </w:rPr>
              <w:t>Court Address:</w:t>
            </w:r>
          </w:p>
        </w:tc>
        <w:tc>
          <w:tcPr>
            <w:tcW w:w="10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435" w:type="dxa"/>
            <w:tcBorders>
              <w:left w:val="single" w:sz="4" w:space="0" w:color="000000"/>
            </w:tcBorders>
          </w:tcPr>
          <w:p>
            <w:pPr>
              <w:pStyle w:val="TableParagraph"/>
              <w:spacing w:line="210" w:lineRule="exact"/>
              <w:ind w:left="107"/>
              <w:rPr>
                <w:sz w:val="20"/>
              </w:rPr>
            </w:pPr>
            <w:r>
              <w:rPr>
                <w:sz w:val="20"/>
              </w:rPr>
              <w:t>Denver District Court</w:t>
            </w:r>
          </w:p>
        </w:tc>
        <w:tc>
          <w:tcPr>
            <w:tcW w:w="10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435" w:type="dxa"/>
            <w:tcBorders>
              <w:left w:val="single" w:sz="4" w:space="0" w:color="000000"/>
            </w:tcBorders>
          </w:tcPr>
          <w:p>
            <w:pPr>
              <w:pStyle w:val="TableParagraph"/>
              <w:spacing w:line="210" w:lineRule="exact"/>
              <w:ind w:left="107"/>
              <w:rPr>
                <w:sz w:val="20"/>
              </w:rPr>
            </w:pPr>
            <w:r>
              <w:rPr>
                <w:sz w:val="20"/>
              </w:rPr>
              <w:t>1437 Bannock St., Room 256</w:t>
            </w:r>
          </w:p>
        </w:tc>
        <w:tc>
          <w:tcPr>
            <w:tcW w:w="10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366" w:hRule="atLeast"/>
        </w:trPr>
        <w:tc>
          <w:tcPr>
            <w:tcW w:w="5435" w:type="dxa"/>
            <w:tcBorders>
              <w:left w:val="single" w:sz="4" w:space="0" w:color="000000"/>
            </w:tcBorders>
          </w:tcPr>
          <w:p>
            <w:pPr>
              <w:pStyle w:val="TableParagraph"/>
              <w:spacing w:line="227" w:lineRule="exact"/>
              <w:ind w:left="107"/>
              <w:rPr>
                <w:sz w:val="20"/>
              </w:rPr>
            </w:pPr>
            <w:r>
              <w:rPr>
                <w:sz w:val="20"/>
              </w:rPr>
              <w:t>Denver, CO 80202</w:t>
            </w:r>
          </w:p>
        </w:tc>
        <w:tc>
          <w:tcPr>
            <w:tcW w:w="1025" w:type="dxa"/>
            <w:tcBorders>
              <w:right w:val="single" w:sz="4" w:space="0" w:color="000000"/>
            </w:tcBorders>
          </w:tcPr>
          <w:p>
            <w:pPr>
              <w:pStyle w:val="TableParagraph"/>
              <w:spacing w:line="207" w:lineRule="exact" w:before="139"/>
              <w:ind w:right="59"/>
              <w:jc w:val="right"/>
              <w:rPr>
                <w:rFonts w:ascii="Times New Roman"/>
                <w:sz w:val="20"/>
              </w:rPr>
            </w:pPr>
            <w:r>
              <w:rPr>
                <w:rFonts w:ascii="Times New Roman"/>
                <w:color w:val="0000FF"/>
                <w:sz w:val="20"/>
              </w:rPr>
              <w:t>DAT</w:t>
            </w:r>
          </w:p>
        </w:tc>
        <w:tc>
          <w:tcPr>
            <w:tcW w:w="3600" w:type="dxa"/>
            <w:tcBorders>
              <w:left w:val="single" w:sz="4" w:space="0" w:color="000000"/>
              <w:right w:val="single" w:sz="4" w:space="0" w:color="000000"/>
            </w:tcBorders>
          </w:tcPr>
          <w:p>
            <w:pPr>
              <w:pStyle w:val="TableParagraph"/>
              <w:spacing w:line="207" w:lineRule="exact" w:before="139"/>
              <w:ind w:left="-76"/>
              <w:rPr>
                <w:rFonts w:ascii="Times New Roman"/>
                <w:sz w:val="20"/>
              </w:rPr>
            </w:pPr>
            <w:r>
              <w:rPr>
                <w:rFonts w:ascii="Times New Roman"/>
                <w:color w:val="0000FF"/>
                <w:sz w:val="20"/>
              </w:rPr>
              <w:t>E FILED: July 10, 2015 6:19 PM</w:t>
            </w:r>
          </w:p>
        </w:tc>
      </w:tr>
      <w:tr>
        <w:trPr>
          <w:trHeight w:val="215" w:hRule="atLeast"/>
        </w:trPr>
        <w:tc>
          <w:tcPr>
            <w:tcW w:w="5435" w:type="dxa"/>
            <w:tcBorders>
              <w:left w:val="single" w:sz="4" w:space="0" w:color="000000"/>
            </w:tcBorders>
          </w:tcPr>
          <w:p>
            <w:pPr>
              <w:pStyle w:val="TableParagraph"/>
              <w:rPr>
                <w:rFonts w:ascii="Times New Roman"/>
                <w:sz w:val="14"/>
              </w:rPr>
            </w:pPr>
          </w:p>
        </w:tc>
        <w:tc>
          <w:tcPr>
            <w:tcW w:w="1025" w:type="dxa"/>
            <w:tcBorders>
              <w:right w:val="single" w:sz="4" w:space="0" w:color="000000"/>
            </w:tcBorders>
          </w:tcPr>
          <w:p>
            <w:pPr>
              <w:pStyle w:val="TableParagraph"/>
              <w:spacing w:line="196" w:lineRule="exact"/>
              <w:ind w:right="-44"/>
              <w:jc w:val="right"/>
              <w:rPr>
                <w:rFonts w:ascii="Times New Roman"/>
                <w:sz w:val="20"/>
              </w:rPr>
            </w:pPr>
            <w:r>
              <w:rPr>
                <w:rFonts w:ascii="Times New Roman"/>
                <w:color w:val="0000FF"/>
                <w:sz w:val="20"/>
              </w:rPr>
              <w:t>FILIN</w:t>
            </w:r>
          </w:p>
        </w:tc>
        <w:tc>
          <w:tcPr>
            <w:tcW w:w="3600" w:type="dxa"/>
            <w:tcBorders>
              <w:left w:val="single" w:sz="4" w:space="0" w:color="000000"/>
              <w:right w:val="single" w:sz="4" w:space="0" w:color="000000"/>
            </w:tcBorders>
          </w:tcPr>
          <w:p>
            <w:pPr>
              <w:pStyle w:val="TableParagraph"/>
              <w:spacing w:line="196" w:lineRule="exact"/>
              <w:ind w:left="32"/>
              <w:rPr>
                <w:rFonts w:ascii="Times New Roman"/>
                <w:sz w:val="20"/>
              </w:rPr>
            </w:pPr>
            <w:r>
              <w:rPr>
                <w:rFonts w:ascii="Times New Roman"/>
                <w:color w:val="0000FF"/>
                <w:sz w:val="20"/>
              </w:rPr>
              <w:t>G ID: 32A7F34DF631B</w:t>
            </w:r>
          </w:p>
        </w:tc>
      </w:tr>
      <w:tr>
        <w:trPr>
          <w:trHeight w:val="448" w:hRule="atLeast"/>
        </w:trPr>
        <w:tc>
          <w:tcPr>
            <w:tcW w:w="5435" w:type="dxa"/>
            <w:tcBorders>
              <w:left w:val="single" w:sz="4" w:space="0" w:color="000000"/>
            </w:tcBorders>
          </w:tcPr>
          <w:p>
            <w:pPr>
              <w:pStyle w:val="TableParagraph"/>
              <w:spacing w:before="95"/>
              <w:ind w:left="107"/>
              <w:rPr>
                <w:b/>
                <w:sz w:val="20"/>
              </w:rPr>
            </w:pPr>
            <w:r>
              <w:rPr>
                <w:b/>
                <w:sz w:val="20"/>
              </w:rPr>
              <w:t>In The Matter of:</w:t>
            </w:r>
          </w:p>
        </w:tc>
        <w:tc>
          <w:tcPr>
            <w:tcW w:w="1025" w:type="dxa"/>
            <w:tcBorders>
              <w:right w:val="single" w:sz="4" w:space="0" w:color="000000"/>
            </w:tcBorders>
          </w:tcPr>
          <w:p>
            <w:pPr>
              <w:pStyle w:val="TableParagraph"/>
              <w:spacing w:line="219" w:lineRule="exact"/>
              <w:ind w:right="-44"/>
              <w:jc w:val="right"/>
              <w:rPr>
                <w:rFonts w:ascii="Times New Roman"/>
                <w:sz w:val="20"/>
              </w:rPr>
            </w:pPr>
            <w:r>
              <w:rPr>
                <w:rFonts w:ascii="Times New Roman"/>
                <w:color w:val="0000FF"/>
                <w:sz w:val="20"/>
              </w:rPr>
              <w:t>CASE</w:t>
            </w:r>
          </w:p>
        </w:tc>
        <w:tc>
          <w:tcPr>
            <w:tcW w:w="3600" w:type="dxa"/>
            <w:tcBorders>
              <w:left w:val="single" w:sz="4" w:space="0" w:color="000000"/>
              <w:right w:val="single" w:sz="4" w:space="0" w:color="000000"/>
            </w:tcBorders>
          </w:tcPr>
          <w:p>
            <w:pPr>
              <w:pStyle w:val="TableParagraph"/>
              <w:spacing w:line="162" w:lineRule="exact"/>
              <w:ind w:left="106"/>
              <w:rPr>
                <w:rFonts w:ascii="Times New Roman"/>
                <w:sz w:val="20"/>
              </w:rPr>
            </w:pPr>
            <w:bookmarkStart w:name="COURT USE ONLY" w:id="1"/>
            <w:bookmarkEnd w:id="1"/>
            <w:r>
              <w:rPr/>
            </w:r>
            <w:r>
              <w:rPr>
                <w:rFonts w:ascii="Times New Roman"/>
                <w:color w:val="0000FF"/>
                <w:sz w:val="20"/>
              </w:rPr>
              <w:t>NUMBER: 2015CV31709</w:t>
            </w:r>
          </w:p>
          <w:p>
            <w:pPr>
              <w:pStyle w:val="TableParagraph"/>
              <w:spacing w:line="174" w:lineRule="exact"/>
              <w:ind w:left="905"/>
              <w:rPr>
                <w:b/>
                <w:sz w:val="20"/>
              </w:rPr>
            </w:pPr>
            <w:r>
              <w:rPr>
                <w:b/>
                <w:sz w:val="20"/>
              </w:rPr>
              <w:t>COURT USE ONLY</w:t>
            </w:r>
          </w:p>
        </w:tc>
      </w:tr>
      <w:tr>
        <w:trPr>
          <w:trHeight w:val="339" w:hRule="atLeast"/>
        </w:trPr>
        <w:tc>
          <w:tcPr>
            <w:tcW w:w="5435" w:type="dxa"/>
            <w:tcBorders>
              <w:left w:val="single" w:sz="4" w:space="0" w:color="000000"/>
            </w:tcBorders>
          </w:tcPr>
          <w:p>
            <w:pPr>
              <w:pStyle w:val="TableParagraph"/>
              <w:spacing w:line="213" w:lineRule="exact" w:before="106"/>
              <w:ind w:left="107"/>
              <w:rPr>
                <w:b/>
                <w:sz w:val="20"/>
              </w:rPr>
            </w:pPr>
            <w:r>
              <w:rPr>
                <w:b/>
                <w:sz w:val="20"/>
              </w:rPr>
              <w:t>ROBERT ABRAMS,</w:t>
            </w:r>
          </w:p>
        </w:tc>
        <w:tc>
          <w:tcPr>
            <w:tcW w:w="10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435" w:type="dxa"/>
            <w:tcBorders>
              <w:left w:val="single" w:sz="4" w:space="0" w:color="000000"/>
            </w:tcBorders>
          </w:tcPr>
          <w:p>
            <w:pPr>
              <w:pStyle w:val="TableParagraph"/>
              <w:spacing w:line="227" w:lineRule="exact"/>
              <w:ind w:left="107"/>
              <w:rPr>
                <w:b/>
                <w:sz w:val="20"/>
              </w:rPr>
            </w:pPr>
            <w:r>
              <w:rPr>
                <w:b/>
                <w:sz w:val="20"/>
              </w:rPr>
              <w:t>Plaintiff</w:t>
            </w:r>
          </w:p>
        </w:tc>
        <w:tc>
          <w:tcPr>
            <w:tcW w:w="10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9" w:hRule="atLeast"/>
        </w:trPr>
        <w:tc>
          <w:tcPr>
            <w:tcW w:w="5435" w:type="dxa"/>
            <w:tcBorders>
              <w:left w:val="single" w:sz="4" w:space="0" w:color="000000"/>
            </w:tcBorders>
          </w:tcPr>
          <w:p>
            <w:pPr>
              <w:pStyle w:val="TableParagraph"/>
              <w:spacing w:before="111"/>
              <w:ind w:left="107"/>
              <w:rPr>
                <w:b/>
                <w:sz w:val="20"/>
              </w:rPr>
            </w:pPr>
            <w:r>
              <w:rPr>
                <w:b/>
                <w:sz w:val="20"/>
              </w:rPr>
              <w:t>Vs.</w:t>
            </w:r>
          </w:p>
        </w:tc>
        <w:tc>
          <w:tcPr>
            <w:tcW w:w="10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435" w:type="dxa"/>
            <w:tcBorders>
              <w:left w:val="single" w:sz="4" w:space="0" w:color="000000"/>
            </w:tcBorders>
          </w:tcPr>
          <w:p>
            <w:pPr>
              <w:pStyle w:val="TableParagraph"/>
              <w:spacing w:line="213" w:lineRule="exact" w:before="111"/>
              <w:ind w:left="107"/>
              <w:rPr>
                <w:b/>
                <w:sz w:val="20"/>
              </w:rPr>
            </w:pPr>
            <w:r>
              <w:rPr>
                <w:b/>
                <w:sz w:val="20"/>
              </w:rPr>
              <w:t>SHAWN BEESON,</w:t>
            </w:r>
          </w:p>
        </w:tc>
        <w:tc>
          <w:tcPr>
            <w:tcW w:w="10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7" w:hRule="atLeast"/>
        </w:trPr>
        <w:tc>
          <w:tcPr>
            <w:tcW w:w="5435" w:type="dxa"/>
            <w:tcBorders>
              <w:left w:val="single" w:sz="4" w:space="0" w:color="000000"/>
              <w:bottom w:val="single" w:sz="4" w:space="0" w:color="000000"/>
            </w:tcBorders>
          </w:tcPr>
          <w:p>
            <w:pPr>
              <w:pStyle w:val="TableParagraph"/>
              <w:spacing w:line="227" w:lineRule="exact"/>
              <w:ind w:left="107"/>
              <w:rPr>
                <w:b/>
                <w:sz w:val="20"/>
              </w:rPr>
            </w:pPr>
            <w:r>
              <w:rPr>
                <w:b/>
                <w:sz w:val="20"/>
              </w:rPr>
              <w:t>Respondent</w:t>
            </w:r>
          </w:p>
        </w:tc>
        <w:tc>
          <w:tcPr>
            <w:tcW w:w="1025" w:type="dxa"/>
            <w:tcBorders>
              <w:bottom w:val="single" w:sz="4" w:space="0" w:color="000000"/>
              <w:right w:val="single" w:sz="4" w:space="0" w:color="000000"/>
            </w:tcBorders>
          </w:tcPr>
          <w:p>
            <w:pPr>
              <w:pStyle w:val="TableParagraph"/>
              <w:rPr>
                <w:rFonts w:ascii="Times New Roman"/>
                <w:sz w:val="22"/>
              </w:rPr>
            </w:pPr>
          </w:p>
        </w:tc>
        <w:tc>
          <w:tcPr>
            <w:tcW w:w="3600"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1379" w:hRule="atLeast"/>
        </w:trPr>
        <w:tc>
          <w:tcPr>
            <w:tcW w:w="6460" w:type="dxa"/>
            <w:gridSpan w:val="2"/>
            <w:tcBorders>
              <w:top w:val="single" w:sz="4" w:space="0" w:color="000000"/>
              <w:left w:val="single" w:sz="4" w:space="0" w:color="000000"/>
              <w:bottom w:val="single" w:sz="4" w:space="0" w:color="000000"/>
              <w:right w:val="single" w:sz="4" w:space="0" w:color="000000"/>
            </w:tcBorders>
          </w:tcPr>
          <w:p>
            <w:pPr>
              <w:pStyle w:val="TableParagraph"/>
              <w:ind w:left="107" w:right="3166"/>
              <w:rPr>
                <w:sz w:val="20"/>
              </w:rPr>
            </w:pPr>
            <w:r>
              <w:rPr>
                <w:sz w:val="20"/>
              </w:rPr>
              <w:t>Law Office of Michael P. Boyce, PC Michael Boyce</w:t>
            </w:r>
          </w:p>
          <w:p>
            <w:pPr>
              <w:pStyle w:val="TableParagraph"/>
              <w:ind w:left="107" w:right="2610"/>
              <w:rPr>
                <w:sz w:val="20"/>
              </w:rPr>
            </w:pPr>
            <w:r>
              <w:rPr>
                <w:sz w:val="20"/>
              </w:rPr>
              <w:t>3773 Cherry Creek Drive North, Suite 575 Denver, CO 80209</w:t>
            </w:r>
          </w:p>
          <w:p>
            <w:pPr>
              <w:pStyle w:val="TableParagraph"/>
              <w:spacing w:line="230" w:lineRule="exact" w:before="1"/>
              <w:ind w:left="107" w:right="539"/>
              <w:rPr>
                <w:sz w:val="20"/>
              </w:rPr>
            </w:pPr>
            <w:r>
              <w:rPr>
                <w:sz w:val="20"/>
              </w:rPr>
              <w:t>Phone Number: 303.565.0360 E-mail: </w:t>
            </w:r>
            <w:hyperlink r:id="rId5">
              <w:r>
                <w:rPr>
                  <w:sz w:val="20"/>
                </w:rPr>
                <w:t>mike@boycelawoffice.com</w:t>
              </w:r>
            </w:hyperlink>
            <w:r>
              <w:rPr>
                <w:sz w:val="20"/>
              </w:rPr>
              <w:t> FAX Number: 303.648.4849 Atty. Reg. #: 35729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7"/>
              <w:rPr>
                <w:sz w:val="20"/>
              </w:rPr>
            </w:pPr>
            <w:r>
              <w:rPr>
                <w:sz w:val="20"/>
              </w:rPr>
              <w:t>Case Number: 15CV31709</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12" w:lineRule="exact" w:before="160"/>
              <w:ind w:left="107"/>
              <w:rPr>
                <w:sz w:val="20"/>
              </w:rPr>
            </w:pPr>
            <w:r>
              <w:rPr>
                <w:sz w:val="20"/>
              </w:rPr>
              <w:t>Division 409</w:t>
            </w:r>
          </w:p>
        </w:tc>
      </w:tr>
      <w:tr>
        <w:trPr>
          <w:trHeight w:val="551" w:hRule="atLeast"/>
        </w:trPr>
        <w:tc>
          <w:tcPr>
            <w:tcW w:w="10060" w:type="dxa"/>
            <w:gridSpan w:val="3"/>
            <w:tcBorders>
              <w:top w:val="single" w:sz="4" w:space="0" w:color="000000"/>
              <w:left w:val="single" w:sz="4" w:space="0" w:color="000000"/>
              <w:bottom w:val="single" w:sz="4" w:space="0" w:color="000000"/>
              <w:right w:val="single" w:sz="4" w:space="0" w:color="000000"/>
            </w:tcBorders>
          </w:tcPr>
          <w:p>
            <w:pPr>
              <w:pStyle w:val="TableParagraph"/>
              <w:spacing w:line="276" w:lineRule="exact" w:before="2"/>
              <w:ind w:left="1048" w:right="328" w:hanging="693"/>
              <w:rPr>
                <w:b/>
                <w:sz w:val="24"/>
              </w:rPr>
            </w:pPr>
            <w:r>
              <w:rPr>
                <w:b/>
                <w:sz w:val="24"/>
              </w:rPr>
              <w:t>RESPONDENT’S MOTION TO CONTINUE THE PERMANENT PROTECTION ORDER HEARING CURRENTLY SCHEDULED FOR JULY 16, 2015 AT 2:00 P.M.</w:t>
            </w:r>
          </w:p>
        </w:tc>
      </w:tr>
    </w:tbl>
    <w:p>
      <w:pPr>
        <w:pStyle w:val="BodyText"/>
        <w:spacing w:before="4"/>
        <w:rPr>
          <w:rFonts w:ascii="Times New Roman"/>
          <w:sz w:val="16"/>
        </w:rPr>
      </w:pPr>
      <w:r>
        <w:rPr/>
        <w:pict>
          <v:line style="position:absolute;mso-position-horizontal-relative:page;mso-position-vertical-relative:page;z-index:-6064" from="76.919998pt,130.5pt" to="392.099998pt,130.5pt" stroked="true" strokeweight=".72pt" strokecolor="#000000">
            <v:stroke dashstyle="solid"/>
            <w10:wrap type="none"/>
          </v:line>
        </w:pict>
      </w:r>
      <w:r>
        <w:rPr/>
        <w:pict>
          <v:shape style="position:absolute;margin-left:407.032013pt;margin-top:118.523003pt;width:11.05pt;height:9.6pt;mso-position-horizontal-relative:page;mso-position-vertical-relative:page;z-index:-6040" coordorigin="8141,2370" coordsize="221,192" path="m8198,2370l8141,2562,8361,2524,8198,2370xe" filled="true" fillcolor="#000000" stroked="false">
            <v:path arrowok="t"/>
            <v:fill type="solid"/>
            <w10:wrap type="none"/>
          </v:shape>
        </w:pict>
      </w:r>
      <w:r>
        <w:rPr/>
        <w:pict>
          <v:shape style="position:absolute;margin-left:543.990295pt;margin-top:119.1063pt;width:10.9pt;height:9.8pt;mso-position-horizontal-relative:page;mso-position-vertical-relative:page;z-index:-6016" coordorigin="10880,2382" coordsize="218,196" path="m10924,2382l10880,2577,11097,2524,10924,2382xe" filled="true" fillcolor="#000000" stroked="false">
            <v:path arrowok="t"/>
            <v:fill type="solid"/>
            <w10:wrap type="none"/>
          </v:shape>
        </w:pict>
      </w:r>
    </w:p>
    <w:p>
      <w:pPr>
        <w:pStyle w:val="BodyText"/>
        <w:spacing w:before="93"/>
        <w:ind w:left="120" w:right="118" w:firstLine="720"/>
        <w:jc w:val="both"/>
      </w:pPr>
      <w:r>
        <w:rPr/>
        <w:t>SHAWN BEESON, through his attorney, Michael Boyce, of the Law Office of Michael Boyce, P.C., hereby requests a continuance of the Permanent Protection Order Hearing currently scheduled for July 16, 2015 and states the following:</w:t>
      </w:r>
    </w:p>
    <w:p>
      <w:pPr>
        <w:pStyle w:val="BodyText"/>
        <w:spacing w:before="11"/>
        <w:rPr>
          <w:sz w:val="23"/>
        </w:rPr>
      </w:pPr>
    </w:p>
    <w:p>
      <w:pPr>
        <w:pStyle w:val="ListParagraph"/>
        <w:numPr>
          <w:ilvl w:val="0"/>
          <w:numId w:val="1"/>
        </w:numPr>
        <w:tabs>
          <w:tab w:pos="840" w:val="left" w:leader="none"/>
        </w:tabs>
        <w:spacing w:line="240" w:lineRule="auto" w:before="0" w:after="0"/>
        <w:ind w:left="840" w:right="167" w:hanging="360"/>
        <w:jc w:val="left"/>
        <w:rPr>
          <w:sz w:val="24"/>
        </w:rPr>
      </w:pPr>
      <w:r>
        <w:rPr>
          <w:sz w:val="24"/>
        </w:rPr>
        <w:t>On May 13, 2015, Respondent Shawn Beeson was assaulted by Plaintiff Robert Abrams. Mr. Beeson called the police on May 13, 2015 after Mr. Abrams fled the</w:t>
      </w:r>
      <w:r>
        <w:rPr>
          <w:spacing w:val="-35"/>
          <w:sz w:val="24"/>
        </w:rPr>
        <w:t> </w:t>
      </w:r>
      <w:r>
        <w:rPr>
          <w:sz w:val="24"/>
        </w:rPr>
        <w:t>scene of the assault. Mr. Abrams was charged with assault in Denver Municipal</w:t>
      </w:r>
      <w:r>
        <w:rPr>
          <w:spacing w:val="-16"/>
          <w:sz w:val="24"/>
        </w:rPr>
        <w:t> </w:t>
      </w:r>
      <w:r>
        <w:rPr>
          <w:sz w:val="24"/>
        </w:rPr>
        <w:t>Court.</w:t>
      </w:r>
    </w:p>
    <w:p>
      <w:pPr>
        <w:pStyle w:val="BodyText"/>
      </w:pPr>
    </w:p>
    <w:p>
      <w:pPr>
        <w:pStyle w:val="ListParagraph"/>
        <w:numPr>
          <w:ilvl w:val="0"/>
          <w:numId w:val="1"/>
        </w:numPr>
        <w:tabs>
          <w:tab w:pos="840" w:val="left" w:leader="none"/>
        </w:tabs>
        <w:spacing w:line="240" w:lineRule="auto" w:before="0" w:after="0"/>
        <w:ind w:left="840" w:right="310" w:hanging="360"/>
        <w:jc w:val="left"/>
        <w:rPr>
          <w:sz w:val="24"/>
        </w:rPr>
      </w:pPr>
      <w:r>
        <w:rPr>
          <w:sz w:val="24"/>
        </w:rPr>
        <w:t>In response to the charge of assault against Mr. Beeson, Mr. Abrams filed a Verified Complaint and Motion for Civil Protection Order. The Court issued a Temporary Protection Order and set the matter for a Permanent Protection Order hearing on June 1, 2015. Counsel for Respondent had been retained on May 28, 2015 and a Motion to Continue the hearing was granted at that time to give Respondent’s counsel time to prepare for the Permanent Protection Order hearing. The matter was reset for a Permanent Protection Order hearing on July 16,</w:t>
      </w:r>
      <w:r>
        <w:rPr>
          <w:spacing w:val="-1"/>
          <w:sz w:val="24"/>
        </w:rPr>
        <w:t> </w:t>
      </w:r>
      <w:r>
        <w:rPr>
          <w:sz w:val="24"/>
        </w:rPr>
        <w:t>2015.</w:t>
      </w:r>
    </w:p>
    <w:p>
      <w:pPr>
        <w:pStyle w:val="BodyText"/>
      </w:pPr>
    </w:p>
    <w:p>
      <w:pPr>
        <w:pStyle w:val="ListParagraph"/>
        <w:numPr>
          <w:ilvl w:val="0"/>
          <w:numId w:val="1"/>
        </w:numPr>
        <w:tabs>
          <w:tab w:pos="840" w:val="left" w:leader="none"/>
        </w:tabs>
        <w:spacing w:line="240" w:lineRule="auto" w:before="0" w:after="0"/>
        <w:ind w:left="840" w:right="221" w:hanging="360"/>
        <w:jc w:val="left"/>
        <w:rPr>
          <w:sz w:val="24"/>
        </w:rPr>
      </w:pPr>
      <w:r>
        <w:rPr>
          <w:sz w:val="24"/>
        </w:rPr>
        <w:t>During the investigation in this matter, Respondent counsel obtained and reviewed police reports resulting in charges against Mr. Abrams. Respondent counsel issued subpoenas to Officer Tinnin and Officer Pine of the Denver Police Department. Respondent counsel notified Mr. Abrams of his intent to call these officers as</w:t>
      </w:r>
      <w:r>
        <w:rPr>
          <w:spacing w:val="-40"/>
          <w:sz w:val="24"/>
        </w:rPr>
        <w:t> </w:t>
      </w:r>
      <w:r>
        <w:rPr>
          <w:sz w:val="24"/>
        </w:rPr>
        <w:t>witnesses on June 29, 2015, in compliance with the Court’s discovery</w:t>
      </w:r>
      <w:r>
        <w:rPr>
          <w:spacing w:val="-5"/>
          <w:sz w:val="24"/>
        </w:rPr>
        <w:t> </w:t>
      </w:r>
      <w:r>
        <w:rPr>
          <w:sz w:val="24"/>
        </w:rPr>
        <w:t>order.</w:t>
      </w:r>
    </w:p>
    <w:p>
      <w:pPr>
        <w:pStyle w:val="BodyText"/>
      </w:pPr>
    </w:p>
    <w:p>
      <w:pPr>
        <w:pStyle w:val="ListParagraph"/>
        <w:numPr>
          <w:ilvl w:val="0"/>
          <w:numId w:val="1"/>
        </w:numPr>
        <w:tabs>
          <w:tab w:pos="840" w:val="left" w:leader="none"/>
        </w:tabs>
        <w:spacing w:line="240" w:lineRule="auto" w:before="1" w:after="0"/>
        <w:ind w:left="840" w:right="143" w:hanging="360"/>
        <w:jc w:val="left"/>
        <w:rPr>
          <w:sz w:val="24"/>
        </w:rPr>
      </w:pPr>
      <w:r>
        <w:rPr>
          <w:sz w:val="24"/>
        </w:rPr>
        <w:t>Both Officer Tinnin and Officer Pine notified respondent counsel they are on vacation</w:t>
      </w:r>
      <w:r>
        <w:rPr>
          <w:spacing w:val="-41"/>
          <w:sz w:val="24"/>
        </w:rPr>
        <w:t> </w:t>
      </w:r>
      <w:r>
        <w:rPr>
          <w:sz w:val="24"/>
        </w:rPr>
        <w:t>on the Permanent Protection Order hearing date currently scheduled. Both Officers are material witnesses to the assault allegations occurring on May 13,</w:t>
      </w:r>
      <w:r>
        <w:rPr>
          <w:spacing w:val="-10"/>
          <w:sz w:val="24"/>
        </w:rPr>
        <w:t> </w:t>
      </w:r>
      <w:r>
        <w:rPr>
          <w:sz w:val="24"/>
        </w:rPr>
        <w:t>2015.</w:t>
      </w:r>
    </w:p>
    <w:p>
      <w:pPr>
        <w:spacing w:after="0" w:line="240" w:lineRule="auto"/>
        <w:jc w:val="left"/>
        <w:rPr>
          <w:sz w:val="24"/>
        </w:rPr>
        <w:sectPr>
          <w:type w:val="continuous"/>
          <w:pgSz w:w="12240" w:h="15840"/>
          <w:pgMar w:top="1000" w:bottom="280" w:left="1320" w:right="600"/>
        </w:sectPr>
      </w:pPr>
    </w:p>
    <w:p>
      <w:pPr>
        <w:pStyle w:val="ListParagraph"/>
        <w:numPr>
          <w:ilvl w:val="0"/>
          <w:numId w:val="1"/>
        </w:numPr>
        <w:tabs>
          <w:tab w:pos="840" w:val="left" w:leader="none"/>
        </w:tabs>
        <w:spacing w:line="240" w:lineRule="auto" w:before="65" w:after="0"/>
        <w:ind w:left="840" w:right="182" w:hanging="360"/>
        <w:jc w:val="left"/>
        <w:rPr>
          <w:sz w:val="24"/>
        </w:rPr>
      </w:pPr>
      <w:r>
        <w:rPr>
          <w:sz w:val="24"/>
        </w:rPr>
        <w:t>Officer Tinnin arrived on scene after Mr. Beeson called the police to report being assaulted by Mr. Abrams. Officer Tinnin will testify to his investigation in this matter, his observations of Mr. Beeson, and other witnesses who observed the incident between Mr. Beeson and Mr.</w:t>
      </w:r>
      <w:r>
        <w:rPr>
          <w:spacing w:val="-2"/>
          <w:sz w:val="24"/>
        </w:rPr>
        <w:t> </w:t>
      </w:r>
      <w:r>
        <w:rPr>
          <w:sz w:val="24"/>
        </w:rPr>
        <w:t>Abrams.</w:t>
      </w:r>
    </w:p>
    <w:p>
      <w:pPr>
        <w:pStyle w:val="BodyText"/>
      </w:pPr>
    </w:p>
    <w:p>
      <w:pPr>
        <w:pStyle w:val="ListParagraph"/>
        <w:numPr>
          <w:ilvl w:val="0"/>
          <w:numId w:val="1"/>
        </w:numPr>
        <w:tabs>
          <w:tab w:pos="840" w:val="left" w:leader="none"/>
        </w:tabs>
        <w:spacing w:line="240" w:lineRule="auto" w:before="0" w:after="0"/>
        <w:ind w:left="840" w:right="301" w:hanging="360"/>
        <w:jc w:val="left"/>
        <w:rPr>
          <w:sz w:val="24"/>
        </w:rPr>
      </w:pPr>
      <w:r>
        <w:rPr>
          <w:sz w:val="24"/>
        </w:rPr>
        <w:t>Officer Pine interviewed Mr. Abrams in this matter. Officer Pine observed Mr. Abrams and his observations directly contradict some of Mr. Abrams claims in his complaint for a permanent protection order, particularly the injuries he claims to have received. Officer Pine also issued a summons to Mr. Abrams charging him with assault in this case after hearing Mr. Abrams version of</w:t>
      </w:r>
      <w:r>
        <w:rPr>
          <w:spacing w:val="-4"/>
          <w:sz w:val="24"/>
        </w:rPr>
        <w:t> </w:t>
      </w:r>
      <w:r>
        <w:rPr>
          <w:sz w:val="24"/>
        </w:rPr>
        <w:t>events.</w:t>
      </w:r>
    </w:p>
    <w:p>
      <w:pPr>
        <w:pStyle w:val="BodyText"/>
      </w:pPr>
    </w:p>
    <w:p>
      <w:pPr>
        <w:pStyle w:val="ListParagraph"/>
        <w:numPr>
          <w:ilvl w:val="0"/>
          <w:numId w:val="1"/>
        </w:numPr>
        <w:tabs>
          <w:tab w:pos="840" w:val="left" w:leader="none"/>
          <w:tab w:pos="1641" w:val="left" w:leader="none"/>
        </w:tabs>
        <w:spacing w:line="240" w:lineRule="auto" w:before="0" w:after="0"/>
        <w:ind w:left="840" w:right="218" w:hanging="360"/>
        <w:jc w:val="left"/>
        <w:rPr>
          <w:sz w:val="24"/>
        </w:rPr>
      </w:pPr>
      <w:r>
        <w:rPr>
          <w:sz w:val="24"/>
        </w:rPr>
        <w:t>Officer Tinnin and Officer Pine are material witnesses to the statements of the Plaintiff, Respondent, and other witnesses in this matter. The crux of the Plaintiff’s allegation concerns the assault charge he is currently facing as a result of the incident on May 13, 2015.</w:t>
        <w:tab/>
        <w:t>Therefore, it is imperative to the Mr. Beeson’s right to due process and effective assistance of counsel that a continuance be granted to afford Mr. Beeson the opportunity to present these witnesses and evidence to the</w:t>
      </w:r>
      <w:r>
        <w:rPr>
          <w:spacing w:val="-6"/>
          <w:sz w:val="24"/>
        </w:rPr>
        <w:t> </w:t>
      </w:r>
      <w:r>
        <w:rPr>
          <w:sz w:val="24"/>
        </w:rPr>
        <w:t>Court.</w:t>
      </w:r>
    </w:p>
    <w:p>
      <w:pPr>
        <w:pStyle w:val="BodyText"/>
      </w:pPr>
    </w:p>
    <w:p>
      <w:pPr>
        <w:pStyle w:val="ListParagraph"/>
        <w:numPr>
          <w:ilvl w:val="0"/>
          <w:numId w:val="1"/>
        </w:numPr>
        <w:tabs>
          <w:tab w:pos="840" w:val="left" w:leader="none"/>
        </w:tabs>
        <w:spacing w:line="240" w:lineRule="auto" w:before="0" w:after="0"/>
        <w:ind w:left="840" w:right="180" w:hanging="360"/>
        <w:jc w:val="both"/>
        <w:rPr>
          <w:sz w:val="24"/>
        </w:rPr>
      </w:pPr>
      <w:r>
        <w:rPr>
          <w:sz w:val="24"/>
        </w:rPr>
        <w:t>Counsel for Mr. Beeson has alerted Mr. Abrams to the unavailability of these witnesses. Mr. Abrams will not agree to stipulate to the admission of either Officers’s statements or to a continuance of this matter.</w:t>
      </w:r>
    </w:p>
    <w:p>
      <w:pPr>
        <w:pStyle w:val="BodyText"/>
      </w:pPr>
    </w:p>
    <w:p>
      <w:pPr>
        <w:pStyle w:val="BodyText"/>
        <w:ind w:left="120" w:right="428"/>
      </w:pPr>
      <w:r>
        <w:rPr/>
        <w:t>WHEREFORE, Shawn Beeson, through counsel, respectfully requests this Honorable Court grant Respondent’s Motion to Continue the Permanent Protection Order Hearing Currently Scheduled for July 16, 2015 at 2:00p.m. due to the unavailability of two material witnesses.</w:t>
      </w:r>
    </w:p>
    <w:p>
      <w:pPr>
        <w:pStyle w:val="BodyText"/>
        <w:spacing w:before="229"/>
        <w:ind w:left="120"/>
      </w:pPr>
      <w:r>
        <w:rPr/>
        <w:t>Respectfully submitted this 10</w:t>
      </w:r>
      <w:r>
        <w:rPr>
          <w:vertAlign w:val="superscript"/>
        </w:rPr>
        <w:t>th</w:t>
      </w:r>
      <w:r>
        <w:rPr>
          <w:vertAlign w:val="baseline"/>
        </w:rPr>
        <w:t> day of July, 2015.</w:t>
      </w:r>
    </w:p>
    <w:p>
      <w:pPr>
        <w:pStyle w:val="BodyText"/>
        <w:spacing w:before="1"/>
        <w:rPr>
          <w:sz w:val="44"/>
        </w:rPr>
      </w:pPr>
    </w:p>
    <w:p>
      <w:pPr>
        <w:spacing w:before="0"/>
        <w:ind w:left="516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rPr>
          <w:sz w:val="16"/>
        </w:rPr>
      </w:pPr>
    </w:p>
    <w:p>
      <w:pPr>
        <w:spacing w:after="0"/>
        <w:rPr>
          <w:sz w:val="16"/>
        </w:rPr>
        <w:sectPr>
          <w:pgSz w:w="12240" w:h="15840"/>
          <w:pgMar w:top="940" w:bottom="280" w:left="1320" w:right="600"/>
        </w:sectPr>
      </w:pPr>
    </w:p>
    <w:p>
      <w:pPr>
        <w:pStyle w:val="BodyText"/>
        <w:spacing w:before="92"/>
        <w:ind w:left="120"/>
      </w:pPr>
      <w:r>
        <w:rPr/>
        <w:t>Date: </w:t>
      </w:r>
      <w:r>
        <w:rPr>
          <w:u w:val="single"/>
        </w:rPr>
        <w:t>7/10/2015</w:t>
      </w:r>
    </w:p>
    <w:p>
      <w:pPr>
        <w:pStyle w:val="BodyText"/>
        <w:tabs>
          <w:tab w:pos="4603" w:val="left" w:leader="none"/>
        </w:tabs>
        <w:spacing w:before="92"/>
        <w:ind w:left="120"/>
      </w:pPr>
      <w:r>
        <w:rPr/>
        <w:br w:type="column"/>
      </w:r>
      <w:r>
        <w:rPr>
          <w:w w:val="100"/>
          <w:u w:val="single"/>
        </w:rPr>
        <w:t> </w:t>
      </w:r>
      <w:r>
        <w:rPr>
          <w:u w:val="single"/>
        </w:rPr>
        <w:t>  </w:t>
      </w:r>
      <w:r>
        <w:rPr>
          <w:spacing w:val="-1"/>
          <w:u w:val="single"/>
        </w:rPr>
        <w:t> </w:t>
      </w:r>
      <w:r>
        <w:rPr>
          <w:u w:val="single"/>
        </w:rPr>
        <w:t>/s/ Michael Boyce</w:t>
      </w:r>
      <w:r>
        <w:rPr>
          <w:spacing w:val="-10"/>
          <w:u w:val="single"/>
        </w:rPr>
        <w:t> </w:t>
      </w:r>
      <w:r>
        <w:rPr>
          <w:u w:val="single"/>
        </w:rPr>
        <w:t>#35729</w:t>
        <w:tab/>
      </w:r>
    </w:p>
    <w:p>
      <w:pPr>
        <w:spacing w:before="0"/>
        <w:ind w:left="120" w:right="0" w:firstLine="0"/>
        <w:jc w:val="left"/>
        <w:rPr>
          <w:sz w:val="20"/>
        </w:rPr>
      </w:pPr>
      <w:r>
        <w:rPr>
          <w:sz w:val="20"/>
        </w:rPr>
        <w:t>Attorney for Defendant</w:t>
      </w:r>
    </w:p>
    <w:p>
      <w:pPr>
        <w:pStyle w:val="BodyText"/>
        <w:spacing w:before="1"/>
        <w:rPr>
          <w:sz w:val="20"/>
        </w:rPr>
      </w:pPr>
    </w:p>
    <w:p>
      <w:pPr>
        <w:spacing w:before="0"/>
        <w:ind w:left="120" w:right="0" w:firstLine="0"/>
        <w:jc w:val="left"/>
        <w:rPr>
          <w:i/>
          <w:sz w:val="22"/>
        </w:rPr>
      </w:pPr>
      <w:r>
        <w:rPr>
          <w:i/>
          <w:sz w:val="22"/>
        </w:rPr>
        <w:t>(Original signature on file at The Law Office of </w:t>
      </w:r>
      <w:r>
        <w:rPr>
          <w:i/>
          <w:sz w:val="22"/>
        </w:rPr>
        <w:t>Michael P. Boyce, P.C.)</w:t>
      </w:r>
    </w:p>
    <w:p>
      <w:pPr>
        <w:spacing w:after="0"/>
        <w:jc w:val="left"/>
        <w:rPr>
          <w:sz w:val="22"/>
        </w:rPr>
        <w:sectPr>
          <w:type w:val="continuous"/>
          <w:pgSz w:w="12240" w:h="15840"/>
          <w:pgMar w:top="1000" w:bottom="280" w:left="1320" w:right="600"/>
          <w:cols w:num="2" w:equalWidth="0">
            <w:col w:w="1867" w:space="3173"/>
            <w:col w:w="5280"/>
          </w:cols>
        </w:sectPr>
      </w:pPr>
    </w:p>
    <w:p>
      <w:pPr>
        <w:spacing w:before="66"/>
        <w:ind w:left="3606" w:right="0" w:firstLine="0"/>
        <w:jc w:val="left"/>
        <w:rPr>
          <w:b/>
          <w:sz w:val="24"/>
        </w:rPr>
      </w:pPr>
      <w:r>
        <w:rPr>
          <w:b/>
          <w:sz w:val="24"/>
        </w:rPr>
        <w:t>CERTIFICATE OF SERVICE</w:t>
      </w:r>
    </w:p>
    <w:p>
      <w:pPr>
        <w:pStyle w:val="BodyText"/>
        <w:spacing w:before="10"/>
        <w:rPr>
          <w:b/>
          <w:sz w:val="23"/>
        </w:rPr>
      </w:pPr>
    </w:p>
    <w:p>
      <w:pPr>
        <w:pStyle w:val="BodyText"/>
        <w:ind w:left="120" w:right="494"/>
      </w:pPr>
      <w:r>
        <w:rPr/>
        <w:t>I hereby certify that I have delivered a true and correct copy of the Defendant’s Motion to Continue the Permanent Protection Order Hearing Currently Scheduled for July 16, 2015 at 2:00 p.m. to the following on this 10</w:t>
      </w:r>
      <w:r>
        <w:rPr>
          <w:vertAlign w:val="superscript"/>
        </w:rPr>
        <w:t>th</w:t>
      </w:r>
      <w:r>
        <w:rPr>
          <w:vertAlign w:val="baseline"/>
        </w:rPr>
        <w:t> day of July, 2015:</w:t>
      </w:r>
    </w:p>
    <w:p>
      <w:pPr>
        <w:pStyle w:val="BodyText"/>
        <w:spacing w:before="1"/>
      </w:pPr>
    </w:p>
    <w:p>
      <w:pPr>
        <w:spacing w:before="0"/>
        <w:ind w:left="119" w:right="7326" w:firstLine="0"/>
        <w:jc w:val="left"/>
        <w:rPr>
          <w:sz w:val="24"/>
        </w:rPr>
      </w:pPr>
      <w:r>
        <w:rPr>
          <w:i/>
          <w:sz w:val="24"/>
        </w:rPr>
        <w:t>Email/Electronic Filing </w:t>
      </w:r>
      <w:r>
        <w:rPr>
          <w:sz w:val="24"/>
        </w:rPr>
        <w:t>Abrams &amp; Associates, LLC Robert Abrams</w:t>
      </w:r>
    </w:p>
    <w:p>
      <w:pPr>
        <w:pStyle w:val="BodyText"/>
        <w:spacing w:line="275" w:lineRule="exact"/>
        <w:ind w:left="119"/>
      </w:pPr>
      <w:r>
        <w:rPr/>
        <w:t>700 17</w:t>
      </w:r>
      <w:r>
        <w:rPr>
          <w:vertAlign w:val="superscript"/>
        </w:rPr>
        <w:t>th</w:t>
      </w:r>
      <w:r>
        <w:rPr>
          <w:vertAlign w:val="baseline"/>
        </w:rPr>
        <w:t> Street, Suite 650</w:t>
      </w:r>
    </w:p>
    <w:p>
      <w:pPr>
        <w:pStyle w:val="BodyText"/>
        <w:ind w:left="120" w:right="7548"/>
      </w:pPr>
      <w:r>
        <w:rPr/>
        <w:t>Denver, CO 80202 </w:t>
      </w:r>
      <w:hyperlink r:id="rId6">
        <w:r>
          <w:rPr/>
          <w:t>Robert@AbramsLaw.net</w:t>
        </w:r>
      </w:hyperlink>
    </w:p>
    <w:p>
      <w:pPr>
        <w:pStyle w:val="BodyText"/>
        <w:rPr>
          <w:sz w:val="20"/>
        </w:rPr>
      </w:pPr>
    </w:p>
    <w:p>
      <w:pPr>
        <w:pStyle w:val="BodyText"/>
        <w:rPr>
          <w:sz w:val="20"/>
        </w:rPr>
      </w:pPr>
    </w:p>
    <w:p>
      <w:pPr>
        <w:pStyle w:val="BodyText"/>
        <w:tabs>
          <w:tab w:pos="6279" w:val="left" w:leader="none"/>
          <w:tab w:pos="9695" w:val="left" w:leader="none"/>
        </w:tabs>
        <w:spacing w:before="93"/>
        <w:ind w:left="5880"/>
      </w:pPr>
      <w:r>
        <w:rPr>
          <w:w w:val="100"/>
          <w:u w:val="single"/>
        </w:rPr>
        <w:t> </w:t>
      </w:r>
      <w:r>
        <w:rPr>
          <w:u w:val="single"/>
        </w:rPr>
        <w:tab/>
        <w:t>/s/ Michael Boyce</w:t>
      </w:r>
      <w:r>
        <w:rPr>
          <w:spacing w:val="-10"/>
          <w:u w:val="single"/>
        </w:rPr>
        <w:t> </w:t>
      </w:r>
      <w:r>
        <w:rPr>
          <w:u w:val="single"/>
        </w:rPr>
        <w:t>#35729</w:t>
        <w:tab/>
      </w:r>
    </w:p>
    <w:p>
      <w:pPr>
        <w:pStyle w:val="BodyText"/>
        <w:rPr>
          <w:sz w:val="20"/>
        </w:rPr>
      </w:pPr>
    </w:p>
    <w:p>
      <w:pPr>
        <w:pStyle w:val="BodyText"/>
        <w:spacing w:before="1"/>
        <w:rPr>
          <w:sz w:val="20"/>
        </w:rPr>
      </w:pPr>
    </w:p>
    <w:p>
      <w:pPr>
        <w:spacing w:before="93"/>
        <w:ind w:left="5880" w:right="45" w:firstLine="0"/>
        <w:jc w:val="left"/>
        <w:rPr>
          <w:i/>
          <w:sz w:val="22"/>
        </w:rPr>
      </w:pPr>
      <w:r>
        <w:rPr>
          <w:i/>
          <w:sz w:val="22"/>
        </w:rPr>
        <w:t>(Original signature on file at The Law Office </w:t>
      </w:r>
      <w:r>
        <w:rPr>
          <w:i/>
          <w:sz w:val="22"/>
        </w:rPr>
        <w:t>of Michael P. Boyce, P.C.)</w:t>
      </w:r>
    </w:p>
    <w:sectPr>
      <w:pgSz w:w="12240" w:h="15840"/>
      <w:pgMar w:top="94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Arial" w:hAnsi="Arial" w:eastAsia="Arial" w:cs="Arial"/>
        <w:spacing w:val="-1"/>
        <w:w w:val="99"/>
        <w:sz w:val="24"/>
        <w:szCs w:val="24"/>
      </w:rPr>
    </w:lvl>
    <w:lvl w:ilvl="1">
      <w:start w:val="0"/>
      <w:numFmt w:val="bullet"/>
      <w:lvlText w:val="•"/>
      <w:lvlJc w:val="left"/>
      <w:pPr>
        <w:ind w:left="178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684" w:hanging="360"/>
      </w:pPr>
      <w:rPr>
        <w:rFonts w:hint="default"/>
      </w:rPr>
    </w:lvl>
    <w:lvl w:ilvl="4">
      <w:start w:val="0"/>
      <w:numFmt w:val="bullet"/>
      <w:lvlText w:val="•"/>
      <w:lvlJc w:val="left"/>
      <w:pPr>
        <w:ind w:left="4632"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28" w:hanging="360"/>
      </w:pPr>
      <w:rPr>
        <w:rFonts w:hint="default"/>
      </w:rPr>
    </w:lvl>
    <w:lvl w:ilvl="7">
      <w:start w:val="0"/>
      <w:numFmt w:val="bullet"/>
      <w:lvlText w:val="•"/>
      <w:lvlJc w:val="left"/>
      <w:pPr>
        <w:ind w:left="7476" w:hanging="360"/>
      </w:pPr>
      <w:rPr>
        <w:rFonts w:hint="default"/>
      </w:rPr>
    </w:lvl>
    <w:lvl w:ilvl="8">
      <w:start w:val="0"/>
      <w:numFmt w:val="bullet"/>
      <w:lvlText w:val="•"/>
      <w:lvlJc w:val="left"/>
      <w:pPr>
        <w:ind w:left="84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840" w:right="143"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2019-03-18T21:40:42Z</dcterms:created>
  <dcterms:modified xsi:type="dcterms:W3CDTF">2019-03-18T21:40:42Z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