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72pt;margin-top:-15.557049pt;width:474.15pt;height:432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88"/>
                    <w:gridCol w:w="3780"/>
                  </w:tblGrid>
                  <w:tr>
                    <w:trPr>
                      <w:trHeight w:val="681" w:hRule="atLeast"/>
                    </w:trPr>
                    <w:tc>
                      <w:tcPr>
                        <w:tcW w:w="5688" w:type="dxa"/>
                      </w:tcPr>
                      <w:p>
                        <w:pPr>
                          <w:pStyle w:val="TableParagraph"/>
                          <w:spacing w:line="281" w:lineRule="exact" w:before="119"/>
                          <w:rPr>
                            <w:sz w:val="24"/>
                          </w:rPr>
                        </w:pPr>
                        <w:r>
                          <w:rPr>
                            <w:sz w:val="24"/>
                          </w:rPr>
                          <w:t>DISTRICT COURT, ADAMS COUNTY, COLORADO</w:t>
                        </w:r>
                      </w:p>
                      <w:p>
                        <w:pPr>
                          <w:pStyle w:val="TableParagraph"/>
                          <w:spacing w:line="260" w:lineRule="exact"/>
                          <w:rPr>
                            <w:sz w:val="24"/>
                          </w:rPr>
                        </w:pPr>
                        <w:r>
                          <w:rPr>
                            <w:sz w:val="24"/>
                          </w:rPr>
                          <w:t>1100 Judicial Center Drive, Brighton, CO 80601</w:t>
                        </w:r>
                      </w:p>
                    </w:tc>
                    <w:tc>
                      <w:tcPr>
                        <w:tcW w:w="3780" w:type="dxa"/>
                        <w:vMerge w:val="restart"/>
                        <w:tcBorders>
                          <w:bottom w:val="nil"/>
                        </w:tcBorders>
                      </w:tcPr>
                      <w:p>
                        <w:pPr>
                          <w:pStyle w:val="TableParagraph"/>
                          <w:spacing w:before="1"/>
                          <w:ind w:left="0"/>
                          <w:rPr>
                            <w:sz w:val="36"/>
                          </w:rPr>
                        </w:pPr>
                      </w:p>
                      <w:p>
                        <w:pPr>
                          <w:pStyle w:val="TableParagraph"/>
                          <w:spacing w:line="220" w:lineRule="auto"/>
                          <w:ind w:left="1043" w:right="-39"/>
                          <w:rPr>
                            <w:rFonts w:ascii="Minion Pro"/>
                            <w:sz w:val="19"/>
                          </w:rPr>
                        </w:pPr>
                        <w:r>
                          <w:rPr>
                            <w:rFonts w:ascii="Minion Pro"/>
                            <w:color w:val="0000FF"/>
                            <w:spacing w:val="-6"/>
                            <w:w w:val="105"/>
                            <w:sz w:val="19"/>
                          </w:rPr>
                          <w:t>DATE</w:t>
                        </w:r>
                        <w:r>
                          <w:rPr>
                            <w:rFonts w:ascii="Minion Pro"/>
                            <w:color w:val="0000FF"/>
                            <w:spacing w:val="-10"/>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February</w:t>
                        </w:r>
                        <w:r>
                          <w:rPr>
                            <w:rFonts w:ascii="Minion Pro"/>
                            <w:color w:val="0000FF"/>
                            <w:spacing w:val="-10"/>
                            <w:w w:val="105"/>
                            <w:sz w:val="19"/>
                          </w:rPr>
                          <w:t> </w:t>
                        </w:r>
                        <w:r>
                          <w:rPr>
                            <w:rFonts w:ascii="Minion Pro"/>
                            <w:color w:val="0000FF"/>
                            <w:w w:val="105"/>
                            <w:sz w:val="19"/>
                          </w:rPr>
                          <w:t>6,</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4:5 FILING ID: A2840CCB49164 CASE NUMBER:</w:t>
                        </w:r>
                        <w:r>
                          <w:rPr>
                            <w:rFonts w:ascii="Minion Pro"/>
                            <w:color w:val="0000FF"/>
                            <w:spacing w:val="-17"/>
                            <w:w w:val="105"/>
                            <w:sz w:val="19"/>
                          </w:rPr>
                          <w:t> </w:t>
                        </w:r>
                        <w:r>
                          <w:rPr>
                            <w:rFonts w:ascii="Minion Pro"/>
                            <w:color w:val="0000FF"/>
                            <w:w w:val="105"/>
                            <w:sz w:val="19"/>
                          </w:rPr>
                          <w:t>2015CV31808</w:t>
                        </w:r>
                      </w:p>
                    </w:tc>
                  </w:tr>
                  <w:tr>
                    <w:trPr>
                      <w:trHeight w:val="1084" w:hRule="atLeast"/>
                    </w:trPr>
                    <w:tc>
                      <w:tcPr>
                        <w:tcW w:w="5688" w:type="dxa"/>
                        <w:tcBorders>
                          <w:bottom w:val="nil"/>
                        </w:tcBorders>
                      </w:tcPr>
                      <w:p>
                        <w:pPr>
                          <w:pStyle w:val="TableParagraph"/>
                          <w:spacing w:before="119"/>
                          <w:ind w:right="1157"/>
                          <w:jc w:val="both"/>
                          <w:rPr>
                            <w:b/>
                            <w:sz w:val="24"/>
                          </w:rPr>
                        </w:pPr>
                        <w:r>
                          <w:rPr>
                            <w:b/>
                            <w:sz w:val="24"/>
                          </w:rPr>
                          <w:t>PLAINTIFF: AMERICAN FAMILY</w:t>
                        </w:r>
                        <w:r>
                          <w:rPr>
                            <w:b/>
                            <w:spacing w:val="-37"/>
                            <w:sz w:val="24"/>
                          </w:rPr>
                          <w:t> </w:t>
                        </w:r>
                        <w:r>
                          <w:rPr>
                            <w:b/>
                            <w:sz w:val="24"/>
                          </w:rPr>
                          <w:t>MUTUAL INSURANCE</w:t>
                        </w:r>
                        <w:r>
                          <w:rPr>
                            <w:b/>
                            <w:spacing w:val="-14"/>
                            <w:sz w:val="24"/>
                          </w:rPr>
                          <w:t> </w:t>
                        </w:r>
                        <w:r>
                          <w:rPr>
                            <w:b/>
                            <w:sz w:val="24"/>
                          </w:rPr>
                          <w:t>COMPANY,</w:t>
                        </w:r>
                        <w:r>
                          <w:rPr>
                            <w:b/>
                            <w:spacing w:val="-14"/>
                            <w:sz w:val="24"/>
                          </w:rPr>
                          <w:t> </w:t>
                        </w:r>
                        <w:r>
                          <w:rPr>
                            <w:b/>
                            <w:sz w:val="24"/>
                          </w:rPr>
                          <w:t>AS</w:t>
                        </w:r>
                        <w:r>
                          <w:rPr>
                            <w:b/>
                            <w:spacing w:val="-13"/>
                            <w:sz w:val="24"/>
                          </w:rPr>
                          <w:t> </w:t>
                        </w:r>
                        <w:r>
                          <w:rPr>
                            <w:b/>
                            <w:sz w:val="24"/>
                          </w:rPr>
                          <w:t>SUBROGEE</w:t>
                        </w:r>
                        <w:r>
                          <w:rPr>
                            <w:b/>
                            <w:spacing w:val="-13"/>
                            <w:sz w:val="24"/>
                          </w:rPr>
                          <w:t> </w:t>
                        </w:r>
                        <w:r>
                          <w:rPr>
                            <w:b/>
                            <w:sz w:val="24"/>
                          </w:rPr>
                          <w:t>OF KATHRYN</w:t>
                        </w:r>
                        <w:r>
                          <w:rPr>
                            <w:b/>
                            <w:spacing w:val="-11"/>
                            <w:sz w:val="24"/>
                          </w:rPr>
                          <w:t> </w:t>
                        </w:r>
                        <w:r>
                          <w:rPr>
                            <w:b/>
                            <w:sz w:val="24"/>
                          </w:rPr>
                          <w:t>WINDT</w:t>
                        </w:r>
                      </w:p>
                    </w:tc>
                    <w:tc>
                      <w:tcPr>
                        <w:tcW w:w="3780" w:type="dxa"/>
                        <w:vMerge/>
                        <w:tcBorders>
                          <w:top w:val="nil"/>
                          <w:bottom w:val="nil"/>
                        </w:tcBorders>
                      </w:tcPr>
                      <w:p>
                        <w:pPr>
                          <w:rPr>
                            <w:sz w:val="2"/>
                            <w:szCs w:val="2"/>
                          </w:rPr>
                        </w:pPr>
                      </w:p>
                    </w:tc>
                  </w:tr>
                  <w:tr>
                    <w:trPr>
                      <w:trHeight w:val="520" w:hRule="atLeast"/>
                    </w:trPr>
                    <w:tc>
                      <w:tcPr>
                        <w:tcW w:w="5688" w:type="dxa"/>
                        <w:tcBorders>
                          <w:top w:val="nil"/>
                          <w:bottom w:val="nil"/>
                        </w:tcBorders>
                      </w:tcPr>
                      <w:p>
                        <w:pPr>
                          <w:pStyle w:val="TableParagraph"/>
                          <w:spacing w:before="119"/>
                          <w:rPr>
                            <w:b/>
                            <w:sz w:val="24"/>
                          </w:rPr>
                        </w:pPr>
                        <w:r>
                          <w:rPr>
                            <w:b/>
                            <w:sz w:val="24"/>
                          </w:rPr>
                          <w:t>V.</w:t>
                        </w:r>
                      </w:p>
                    </w:tc>
                    <w:tc>
                      <w:tcPr>
                        <w:tcW w:w="3780" w:type="dxa"/>
                        <w:tcBorders>
                          <w:top w:val="nil"/>
                          <w:bottom w:val="nil"/>
                        </w:tcBorders>
                      </w:tcPr>
                      <w:p>
                        <w:pPr>
                          <w:pStyle w:val="TableParagraph"/>
                          <w:ind w:left="0"/>
                          <w:rPr>
                            <w:rFonts w:ascii="Times New Roman"/>
                            <w:sz w:val="22"/>
                          </w:rPr>
                        </w:pPr>
                      </w:p>
                    </w:tc>
                  </w:tr>
                  <w:tr>
                    <w:trPr>
                      <w:trHeight w:val="802" w:hRule="atLeast"/>
                    </w:trPr>
                    <w:tc>
                      <w:tcPr>
                        <w:tcW w:w="5688" w:type="dxa"/>
                        <w:tcBorders>
                          <w:top w:val="nil"/>
                          <w:bottom w:val="nil"/>
                        </w:tcBorders>
                      </w:tcPr>
                      <w:p>
                        <w:pPr>
                          <w:pStyle w:val="TableParagraph"/>
                          <w:spacing w:before="119"/>
                          <w:ind w:right="611"/>
                          <w:rPr>
                            <w:b/>
                            <w:sz w:val="24"/>
                          </w:rPr>
                        </w:pPr>
                        <w:r>
                          <w:rPr>
                            <w:b/>
                            <w:sz w:val="24"/>
                          </w:rPr>
                          <w:t>DEFENDANTS: IVONNE BECERRIL &amp; AURELIO MEZA-CUEVAS</w:t>
                        </w:r>
                      </w:p>
                    </w:tc>
                    <w:tc>
                      <w:tcPr>
                        <w:tcW w:w="3780" w:type="dxa"/>
                        <w:tcBorders>
                          <w:top w:val="nil"/>
                          <w:bottom w:val="nil"/>
                        </w:tcBorders>
                      </w:tcPr>
                      <w:p>
                        <w:pPr>
                          <w:pStyle w:val="TableParagraph"/>
                          <w:numPr>
                            <w:ilvl w:val="0"/>
                            <w:numId w:val="1"/>
                          </w:numPr>
                          <w:tabs>
                            <w:tab w:pos="993" w:val="left" w:leader="none"/>
                            <w:tab w:pos="994" w:val="left" w:leader="none"/>
                          </w:tabs>
                          <w:spacing w:line="240" w:lineRule="auto" w:before="235" w:after="0"/>
                          <w:ind w:left="993" w:right="0" w:hanging="322"/>
                          <w:jc w:val="left"/>
                          <w:rPr>
                            <w:rFonts w:ascii="Wingdings" w:hAnsi="Wingdings"/>
                            <w:sz w:val="24"/>
                          </w:rPr>
                        </w:pPr>
                        <w:r>
                          <w:rPr>
                            <w:sz w:val="24"/>
                          </w:rPr>
                          <w:t>COURT USE ONLY</w:t>
                        </w:r>
                        <w:r>
                          <w:rPr>
                            <w:spacing w:val="50"/>
                            <w:sz w:val="24"/>
                          </w:rPr>
                          <w:t> </w:t>
                        </w:r>
                        <w:r>
                          <w:rPr>
                            <w:rFonts w:ascii="Wingdings" w:hAnsi="Wingdings"/>
                            <w:sz w:val="24"/>
                          </w:rPr>
                          <w:t></w:t>
                        </w:r>
                      </w:p>
                    </w:tc>
                  </w:tr>
                  <w:tr>
                    <w:trPr>
                      <w:trHeight w:val="521" w:hRule="atLeast"/>
                    </w:trPr>
                    <w:tc>
                      <w:tcPr>
                        <w:tcW w:w="5688" w:type="dxa"/>
                        <w:tcBorders>
                          <w:top w:val="nil"/>
                          <w:bottom w:val="nil"/>
                        </w:tcBorders>
                      </w:tcPr>
                      <w:p>
                        <w:pPr>
                          <w:pStyle w:val="TableParagraph"/>
                          <w:spacing w:before="121"/>
                          <w:rPr>
                            <w:b/>
                            <w:sz w:val="24"/>
                          </w:rPr>
                        </w:pPr>
                        <w:r>
                          <w:rPr>
                            <w:b/>
                            <w:sz w:val="24"/>
                          </w:rPr>
                          <w:t>&amp;</w:t>
                        </w:r>
                      </w:p>
                    </w:tc>
                    <w:tc>
                      <w:tcPr>
                        <w:tcW w:w="3780" w:type="dxa"/>
                        <w:tcBorders>
                          <w:top w:val="nil"/>
                          <w:bottom w:val="nil"/>
                        </w:tcBorders>
                      </w:tcPr>
                      <w:p>
                        <w:pPr>
                          <w:pStyle w:val="TableParagraph"/>
                          <w:ind w:left="0"/>
                          <w:rPr>
                            <w:rFonts w:ascii="Times New Roman"/>
                            <w:sz w:val="22"/>
                          </w:rPr>
                        </w:pPr>
                      </w:p>
                    </w:tc>
                  </w:tr>
                  <w:tr>
                    <w:trPr>
                      <w:trHeight w:val="801" w:hRule="atLeast"/>
                    </w:trPr>
                    <w:tc>
                      <w:tcPr>
                        <w:tcW w:w="5688" w:type="dxa"/>
                        <w:tcBorders>
                          <w:top w:val="nil"/>
                          <w:bottom w:val="nil"/>
                        </w:tcBorders>
                      </w:tcPr>
                      <w:p>
                        <w:pPr>
                          <w:pStyle w:val="TableParagraph"/>
                          <w:spacing w:before="119"/>
                          <w:ind w:right="107"/>
                          <w:rPr>
                            <w:b/>
                            <w:sz w:val="24"/>
                          </w:rPr>
                        </w:pPr>
                        <w:r>
                          <w:rPr>
                            <w:b/>
                            <w:sz w:val="24"/>
                          </w:rPr>
                          <w:t>DEFENDANTS:/THIRD PARTY PLAINTIFFS: IVONNE BECERRIL &amp; AURELIO MEZA-CUEVAS</w:t>
                        </w:r>
                      </w:p>
                    </w:tc>
                    <w:tc>
                      <w:tcPr>
                        <w:tcW w:w="3780" w:type="dxa"/>
                        <w:tcBorders>
                          <w:top w:val="nil"/>
                          <w:bottom w:val="nil"/>
                        </w:tcBorders>
                      </w:tcPr>
                      <w:p>
                        <w:pPr>
                          <w:pStyle w:val="TableParagraph"/>
                          <w:ind w:left="0"/>
                          <w:rPr>
                            <w:rFonts w:ascii="Times New Roman"/>
                            <w:sz w:val="22"/>
                          </w:rPr>
                        </w:pPr>
                      </w:p>
                    </w:tc>
                  </w:tr>
                  <w:tr>
                    <w:trPr>
                      <w:trHeight w:val="521" w:hRule="atLeast"/>
                    </w:trPr>
                    <w:tc>
                      <w:tcPr>
                        <w:tcW w:w="5688" w:type="dxa"/>
                        <w:tcBorders>
                          <w:top w:val="nil"/>
                          <w:bottom w:val="nil"/>
                        </w:tcBorders>
                      </w:tcPr>
                      <w:p>
                        <w:pPr>
                          <w:pStyle w:val="TableParagraph"/>
                          <w:spacing w:before="119"/>
                          <w:rPr>
                            <w:b/>
                            <w:sz w:val="24"/>
                          </w:rPr>
                        </w:pPr>
                        <w:r>
                          <w:rPr>
                            <w:b/>
                            <w:sz w:val="24"/>
                          </w:rPr>
                          <w:t>V.</w:t>
                        </w:r>
                      </w:p>
                    </w:tc>
                    <w:tc>
                      <w:tcPr>
                        <w:tcW w:w="3780" w:type="dxa"/>
                        <w:tcBorders>
                          <w:top w:val="nil"/>
                          <w:bottom w:val="nil"/>
                        </w:tcBorders>
                      </w:tcPr>
                      <w:p>
                        <w:pPr>
                          <w:pStyle w:val="TableParagraph"/>
                          <w:ind w:left="0"/>
                          <w:rPr>
                            <w:rFonts w:ascii="Times New Roman"/>
                            <w:sz w:val="22"/>
                          </w:rPr>
                        </w:pPr>
                      </w:p>
                    </w:tc>
                  </w:tr>
                  <w:tr>
                    <w:trPr>
                      <w:trHeight w:val="922" w:hRule="atLeast"/>
                    </w:trPr>
                    <w:tc>
                      <w:tcPr>
                        <w:tcW w:w="5688" w:type="dxa"/>
                        <w:tcBorders>
                          <w:top w:val="nil"/>
                        </w:tcBorders>
                      </w:tcPr>
                      <w:p>
                        <w:pPr>
                          <w:pStyle w:val="TableParagraph"/>
                          <w:spacing w:before="121"/>
                          <w:ind w:right="107"/>
                          <w:rPr>
                            <w:b/>
                            <w:sz w:val="24"/>
                          </w:rPr>
                        </w:pPr>
                        <w:r>
                          <w:rPr>
                            <w:b/>
                            <w:sz w:val="24"/>
                          </w:rPr>
                          <w:t>THIRD PARTY DEFENDANT/COUNTERCLAIMANT: KATHRYN WINDT</w:t>
                        </w:r>
                      </w:p>
                    </w:tc>
                    <w:tc>
                      <w:tcPr>
                        <w:tcW w:w="3780" w:type="dxa"/>
                        <w:tcBorders>
                          <w:top w:val="nil"/>
                        </w:tcBorders>
                      </w:tcPr>
                      <w:p>
                        <w:pPr>
                          <w:pStyle w:val="TableParagraph"/>
                          <w:ind w:left="0"/>
                          <w:rPr>
                            <w:rFonts w:ascii="Times New Roman"/>
                            <w:sz w:val="22"/>
                          </w:rPr>
                        </w:pPr>
                      </w:p>
                    </w:tc>
                  </w:tr>
                  <w:tr>
                    <w:trPr>
                      <w:trHeight w:val="1929" w:hRule="atLeast"/>
                    </w:trPr>
                    <w:tc>
                      <w:tcPr>
                        <w:tcW w:w="5688" w:type="dxa"/>
                      </w:tcPr>
                      <w:p>
                        <w:pPr>
                          <w:pStyle w:val="TableParagraph"/>
                          <w:tabs>
                            <w:tab w:pos="1547" w:val="left" w:leader="none"/>
                          </w:tabs>
                          <w:spacing w:before="119"/>
                          <w:rPr>
                            <w:b/>
                            <w:sz w:val="24"/>
                          </w:rPr>
                        </w:pPr>
                        <w:r>
                          <w:rPr>
                            <w:sz w:val="24"/>
                          </w:rPr>
                          <w:t>Name:</w:t>
                          <w:tab/>
                        </w:r>
                        <w:r>
                          <w:rPr>
                            <w:b/>
                            <w:sz w:val="24"/>
                          </w:rPr>
                          <w:t>T</w:t>
                        </w:r>
                        <w:r>
                          <w:rPr>
                            <w:b/>
                            <w:sz w:val="19"/>
                          </w:rPr>
                          <w:t>HE </w:t>
                        </w:r>
                        <w:r>
                          <w:rPr>
                            <w:b/>
                            <w:sz w:val="24"/>
                          </w:rPr>
                          <w:t>L</w:t>
                        </w:r>
                        <w:r>
                          <w:rPr>
                            <w:b/>
                            <w:sz w:val="19"/>
                          </w:rPr>
                          <w:t>AW </w:t>
                        </w:r>
                        <w:r>
                          <w:rPr>
                            <w:b/>
                            <w:sz w:val="24"/>
                          </w:rPr>
                          <w:t>F</w:t>
                        </w:r>
                        <w:r>
                          <w:rPr>
                            <w:b/>
                            <w:sz w:val="19"/>
                          </w:rPr>
                          <w:t>IRM OF </w:t>
                        </w:r>
                        <w:r>
                          <w:rPr>
                            <w:b/>
                            <w:sz w:val="24"/>
                          </w:rPr>
                          <w:t>S</w:t>
                        </w:r>
                        <w:r>
                          <w:rPr>
                            <w:b/>
                            <w:sz w:val="19"/>
                          </w:rPr>
                          <w:t>TEPHEN </w:t>
                        </w:r>
                        <w:r>
                          <w:rPr>
                            <w:b/>
                            <w:sz w:val="24"/>
                          </w:rPr>
                          <w:t>H. C</w:t>
                        </w:r>
                        <w:r>
                          <w:rPr>
                            <w:b/>
                            <w:sz w:val="19"/>
                          </w:rPr>
                          <w:t>OOK</w:t>
                        </w:r>
                        <w:r>
                          <w:rPr>
                            <w:b/>
                            <w:sz w:val="24"/>
                          </w:rPr>
                          <w:t>,</w:t>
                        </w:r>
                        <w:r>
                          <w:rPr>
                            <w:b/>
                            <w:spacing w:val="-35"/>
                            <w:sz w:val="24"/>
                          </w:rPr>
                          <w:t> </w:t>
                        </w:r>
                        <w:r>
                          <w:rPr>
                            <w:b/>
                            <w:sz w:val="24"/>
                          </w:rPr>
                          <w:t>P.C.</w:t>
                        </w:r>
                      </w:p>
                      <w:p>
                        <w:pPr>
                          <w:pStyle w:val="TableParagraph"/>
                          <w:tabs>
                            <w:tab w:pos="1547" w:val="left" w:leader="none"/>
                          </w:tabs>
                          <w:spacing w:before="2"/>
                          <w:ind w:left="1547" w:right="342" w:hanging="1440"/>
                          <w:rPr>
                            <w:sz w:val="24"/>
                          </w:rPr>
                        </w:pPr>
                        <w:r>
                          <w:rPr>
                            <w:sz w:val="24"/>
                          </w:rPr>
                          <w:t>Address:</w:t>
                          <w:tab/>
                          <w:t>2590 Trailridge Drive East, Suite</w:t>
                        </w:r>
                        <w:r>
                          <w:rPr>
                            <w:spacing w:val="-14"/>
                            <w:sz w:val="24"/>
                          </w:rPr>
                          <w:t> </w:t>
                        </w:r>
                        <w:r>
                          <w:rPr>
                            <w:sz w:val="24"/>
                          </w:rPr>
                          <w:t>202 Lafayette, Colorado</w:t>
                        </w:r>
                        <w:r>
                          <w:rPr>
                            <w:spacing w:val="51"/>
                            <w:sz w:val="24"/>
                          </w:rPr>
                          <w:t> </w:t>
                        </w:r>
                        <w:r>
                          <w:rPr>
                            <w:sz w:val="24"/>
                          </w:rPr>
                          <w:t>80026</w:t>
                        </w:r>
                      </w:p>
                      <w:p>
                        <w:pPr>
                          <w:pStyle w:val="TableParagraph"/>
                          <w:tabs>
                            <w:tab w:pos="1547" w:val="left" w:leader="none"/>
                          </w:tabs>
                          <w:spacing w:line="280" w:lineRule="exact"/>
                          <w:rPr>
                            <w:sz w:val="24"/>
                          </w:rPr>
                        </w:pPr>
                        <w:r>
                          <w:rPr>
                            <w:sz w:val="24"/>
                          </w:rPr>
                          <w:t>Telephone:</w:t>
                          <w:tab/>
                          <w:t>303-543-1000</w:t>
                        </w:r>
                      </w:p>
                      <w:p>
                        <w:pPr>
                          <w:pStyle w:val="TableParagraph"/>
                          <w:tabs>
                            <w:tab w:pos="1547" w:val="left" w:leader="none"/>
                          </w:tabs>
                          <w:spacing w:line="281" w:lineRule="exact"/>
                          <w:rPr>
                            <w:sz w:val="24"/>
                          </w:rPr>
                        </w:pPr>
                        <w:r>
                          <w:rPr>
                            <w:sz w:val="24"/>
                          </w:rPr>
                          <w:t>Facsimile:</w:t>
                          <w:tab/>
                          <w:t>303-543-8582</w:t>
                        </w:r>
                      </w:p>
                      <w:p>
                        <w:pPr>
                          <w:pStyle w:val="TableParagraph"/>
                          <w:tabs>
                            <w:tab w:pos="1547" w:val="left" w:leader="none"/>
                          </w:tabs>
                          <w:spacing w:line="281" w:lineRule="exact"/>
                          <w:rPr>
                            <w:sz w:val="24"/>
                          </w:rPr>
                        </w:pPr>
                        <w:r>
                          <w:rPr>
                            <w:sz w:val="24"/>
                          </w:rPr>
                          <w:t>Atty.</w:t>
                        </w:r>
                        <w:r>
                          <w:rPr>
                            <w:spacing w:val="-1"/>
                            <w:sz w:val="24"/>
                          </w:rPr>
                          <w:t> </w:t>
                        </w:r>
                        <w:r>
                          <w:rPr>
                            <w:sz w:val="24"/>
                          </w:rPr>
                          <w:t>Reg#:</w:t>
                          <w:tab/>
                          <w:t>Stephen H. Cook:</w:t>
                        </w:r>
                        <w:r>
                          <w:rPr>
                            <w:spacing w:val="49"/>
                            <w:sz w:val="24"/>
                          </w:rPr>
                          <w:t> </w:t>
                        </w:r>
                        <w:r>
                          <w:rPr>
                            <w:sz w:val="24"/>
                          </w:rPr>
                          <w:t>6692</w:t>
                        </w:r>
                      </w:p>
                    </w:tc>
                    <w:tc>
                      <w:tcPr>
                        <w:tcW w:w="3780" w:type="dxa"/>
                      </w:tcPr>
                      <w:p>
                        <w:pPr>
                          <w:pStyle w:val="TableParagraph"/>
                          <w:spacing w:before="1"/>
                          <w:ind w:left="0"/>
                          <w:rPr>
                            <w:sz w:val="24"/>
                          </w:rPr>
                        </w:pPr>
                      </w:p>
                      <w:p>
                        <w:pPr>
                          <w:pStyle w:val="TableParagraph"/>
                          <w:rPr>
                            <w:sz w:val="24"/>
                          </w:rPr>
                        </w:pPr>
                        <w:r>
                          <w:rPr>
                            <w:sz w:val="24"/>
                          </w:rPr>
                          <w:t>Case No. 2015CV31808</w:t>
                        </w:r>
                      </w:p>
                      <w:p>
                        <w:pPr>
                          <w:pStyle w:val="TableParagraph"/>
                          <w:spacing w:before="11"/>
                          <w:ind w:left="0"/>
                          <w:rPr>
                            <w:sz w:val="23"/>
                          </w:rPr>
                        </w:pPr>
                      </w:p>
                      <w:p>
                        <w:pPr>
                          <w:pStyle w:val="TableParagraph"/>
                          <w:rPr>
                            <w:sz w:val="24"/>
                          </w:rPr>
                        </w:pPr>
                        <w:r>
                          <w:rPr>
                            <w:sz w:val="24"/>
                          </w:rPr>
                          <w:t>Ctrm:</w:t>
                        </w:r>
                      </w:p>
                    </w:tc>
                  </w:tr>
                  <w:tr>
                    <w:trPr>
                      <w:trHeight w:val="803" w:hRule="atLeast"/>
                    </w:trPr>
                    <w:tc>
                      <w:tcPr>
                        <w:tcW w:w="9468" w:type="dxa"/>
                        <w:gridSpan w:val="2"/>
                      </w:tcPr>
                      <w:p>
                        <w:pPr>
                          <w:pStyle w:val="TableParagraph"/>
                          <w:spacing w:before="119"/>
                          <w:ind w:left="4072" w:hanging="3963"/>
                          <w:rPr>
                            <w:b/>
                            <w:sz w:val="19"/>
                          </w:rPr>
                        </w:pPr>
                        <w:r>
                          <w:rPr>
                            <w:b/>
                            <w:sz w:val="24"/>
                          </w:rPr>
                          <w:t>K</w:t>
                        </w:r>
                        <w:r>
                          <w:rPr>
                            <w:b/>
                            <w:sz w:val="19"/>
                          </w:rPr>
                          <w:t>ATHRYN </w:t>
                        </w:r>
                        <w:r>
                          <w:rPr>
                            <w:b/>
                            <w:sz w:val="24"/>
                          </w:rPr>
                          <w:t>W</w:t>
                        </w:r>
                        <w:r>
                          <w:rPr>
                            <w:b/>
                            <w:sz w:val="19"/>
                          </w:rPr>
                          <w:t>INDT</w:t>
                        </w:r>
                        <w:r>
                          <w:rPr>
                            <w:b/>
                            <w:sz w:val="24"/>
                          </w:rPr>
                          <w:t>’</w:t>
                        </w:r>
                        <w:r>
                          <w:rPr>
                            <w:b/>
                            <w:sz w:val="19"/>
                          </w:rPr>
                          <w:t>S </w:t>
                        </w:r>
                        <w:r>
                          <w:rPr>
                            <w:b/>
                            <w:sz w:val="24"/>
                          </w:rPr>
                          <w:t>R</w:t>
                        </w:r>
                        <w:r>
                          <w:rPr>
                            <w:b/>
                            <w:sz w:val="19"/>
                          </w:rPr>
                          <w:t>ESPONSE IN </w:t>
                        </w:r>
                        <w:r>
                          <w:rPr>
                            <w:b/>
                            <w:sz w:val="24"/>
                          </w:rPr>
                          <w:t>O</w:t>
                        </w:r>
                        <w:r>
                          <w:rPr>
                            <w:b/>
                            <w:sz w:val="19"/>
                          </w:rPr>
                          <w:t>PPOSITION TO </w:t>
                        </w:r>
                        <w:r>
                          <w:rPr>
                            <w:b/>
                            <w:sz w:val="24"/>
                          </w:rPr>
                          <w:t>D</w:t>
                        </w:r>
                        <w:r>
                          <w:rPr>
                            <w:b/>
                            <w:sz w:val="19"/>
                          </w:rPr>
                          <w:t>EFENDANTS</w:t>
                        </w:r>
                        <w:r>
                          <w:rPr>
                            <w:b/>
                            <w:sz w:val="24"/>
                          </w:rPr>
                          <w:t>’ M</w:t>
                        </w:r>
                        <w:r>
                          <w:rPr>
                            <w:b/>
                            <w:sz w:val="19"/>
                          </w:rPr>
                          <w:t>OTION TO </w:t>
                        </w:r>
                        <w:r>
                          <w:rPr>
                            <w:b/>
                            <w:sz w:val="24"/>
                          </w:rPr>
                          <w:t>C</w:t>
                        </w:r>
                        <w:r>
                          <w:rPr>
                            <w:b/>
                            <w:sz w:val="19"/>
                          </w:rPr>
                          <w:t>OMPEL </w:t>
                        </w:r>
                        <w:r>
                          <w:rPr>
                            <w:b/>
                            <w:sz w:val="24"/>
                          </w:rPr>
                          <w:t>P</w:t>
                        </w:r>
                        <w:r>
                          <w:rPr>
                            <w:b/>
                            <w:sz w:val="19"/>
                          </w:rPr>
                          <w:t>ARTICIPATION IN </w:t>
                        </w:r>
                        <w:r>
                          <w:rPr>
                            <w:b/>
                            <w:sz w:val="24"/>
                          </w:rPr>
                          <w:t>M</w:t>
                        </w:r>
                        <w:r>
                          <w:rPr>
                            <w:b/>
                            <w:sz w:val="19"/>
                          </w:rPr>
                          <w:t>EDIATION</w:t>
                        </w:r>
                      </w:p>
                    </w:tc>
                  </w:tr>
                </w:tbl>
                <w:p>
                  <w:pPr>
                    <w:pStyle w:val="BodyText"/>
                  </w:pPr>
                </w:p>
              </w:txbxContent>
            </v:textbox>
            <w10:wrap type="none"/>
          </v:shape>
        </w:pict>
      </w:r>
      <w:r>
        <w:rPr>
          <w:rFonts w:ascii="Minion Pro"/>
          <w:color w:val="0000FF"/>
          <w:w w:val="105"/>
          <w:sz w:val="19"/>
        </w:rPr>
        <w:t>7 PM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before="179"/>
        <w:ind w:left="120" w:right="1275" w:firstLine="720"/>
      </w:pPr>
      <w:r>
        <w:rPr/>
        <w:t>Kathryn Windt responds to Defendants’ motion to compel her to participate in mediation as follows:</w:t>
      </w:r>
    </w:p>
    <w:p>
      <w:pPr>
        <w:pStyle w:val="BodyText"/>
        <w:spacing w:before="10"/>
        <w:rPr>
          <w:sz w:val="23"/>
        </w:rPr>
      </w:pPr>
    </w:p>
    <w:p>
      <w:pPr>
        <w:pStyle w:val="ListParagraph"/>
        <w:numPr>
          <w:ilvl w:val="0"/>
          <w:numId w:val="2"/>
        </w:numPr>
        <w:tabs>
          <w:tab w:pos="840" w:val="left" w:leader="none"/>
        </w:tabs>
        <w:spacing w:line="240" w:lineRule="auto" w:before="0" w:after="0"/>
        <w:ind w:left="120" w:right="1268" w:firstLine="360"/>
        <w:jc w:val="left"/>
        <w:rPr>
          <w:sz w:val="24"/>
        </w:rPr>
      </w:pPr>
      <w:r>
        <w:rPr>
          <w:sz w:val="24"/>
        </w:rPr>
        <w:t>Generally, negotiations are not to be shared with trial court. Nonetheless, Defendant has described to the Court its version of negotiations in this case. It fails to accurately or fully disclose</w:t>
      </w:r>
      <w:r>
        <w:rPr>
          <w:spacing w:val="-3"/>
          <w:sz w:val="24"/>
        </w:rPr>
        <w:t> </w:t>
      </w:r>
      <w:r>
        <w:rPr>
          <w:sz w:val="24"/>
        </w:rPr>
        <w:t>them.</w:t>
      </w:r>
    </w:p>
    <w:p>
      <w:pPr>
        <w:pStyle w:val="ListParagraph"/>
        <w:numPr>
          <w:ilvl w:val="0"/>
          <w:numId w:val="2"/>
        </w:numPr>
        <w:tabs>
          <w:tab w:pos="840" w:val="left" w:leader="none"/>
        </w:tabs>
        <w:spacing w:line="240" w:lineRule="auto" w:before="241" w:after="0"/>
        <w:ind w:left="120" w:right="920" w:firstLine="360"/>
        <w:jc w:val="left"/>
        <w:rPr>
          <w:sz w:val="24"/>
        </w:rPr>
      </w:pPr>
      <w:r>
        <w:rPr>
          <w:sz w:val="24"/>
        </w:rPr>
        <w:t>Mediations at Judicial Arbiter Group generally run a couple thousand dollars or more. Once the background of this case is understood, it is apparent that a mediation would serve no purpose, and only serve to deplete Mrs. Windt’s minimal recovery should she accept the non-negotiable offer from</w:t>
      </w:r>
      <w:r>
        <w:rPr>
          <w:spacing w:val="-4"/>
          <w:sz w:val="24"/>
        </w:rPr>
        <w:t> </w:t>
      </w:r>
      <w:r>
        <w:rPr>
          <w:sz w:val="24"/>
        </w:rPr>
        <w:t>Defendants.</w:t>
      </w:r>
    </w:p>
    <w:p>
      <w:pPr>
        <w:pStyle w:val="ListParagraph"/>
        <w:numPr>
          <w:ilvl w:val="0"/>
          <w:numId w:val="2"/>
        </w:numPr>
        <w:tabs>
          <w:tab w:pos="840" w:val="left" w:leader="none"/>
        </w:tabs>
        <w:spacing w:line="240" w:lineRule="auto" w:before="240" w:after="0"/>
        <w:ind w:left="120" w:right="799" w:firstLine="360"/>
        <w:jc w:val="left"/>
        <w:rPr>
          <w:sz w:val="24"/>
        </w:rPr>
      </w:pPr>
      <w:r>
        <w:rPr>
          <w:sz w:val="24"/>
        </w:rPr>
        <w:t>The insurance carrier for Defendants is Occidental Insurance. The insurance policy limits available for resolution of Mrs. Windt’s injuries is $25,000. Mrs. Windt has</w:t>
      </w:r>
      <w:r>
        <w:rPr>
          <w:spacing w:val="-23"/>
          <w:sz w:val="24"/>
        </w:rPr>
        <w:t> </w:t>
      </w:r>
      <w:r>
        <w:rPr>
          <w:sz w:val="24"/>
        </w:rPr>
        <w:t>over</w:t>
      </w:r>
    </w:p>
    <w:p>
      <w:pPr>
        <w:spacing w:after="0" w:line="240" w:lineRule="auto"/>
        <w:jc w:val="left"/>
        <w:rPr>
          <w:sz w:val="24"/>
        </w:rPr>
        <w:sectPr>
          <w:type w:val="continuous"/>
          <w:pgSz w:w="12240" w:h="15840"/>
          <w:pgMar w:top="1500" w:bottom="280" w:left="1320" w:right="780"/>
        </w:sectPr>
      </w:pPr>
    </w:p>
    <w:p>
      <w:pPr>
        <w:pStyle w:val="BodyText"/>
        <w:spacing w:before="5"/>
        <w:rPr>
          <w:sz w:val="9"/>
        </w:rPr>
      </w:pPr>
    </w:p>
    <w:p>
      <w:pPr>
        <w:pStyle w:val="BodyText"/>
        <w:spacing w:before="100"/>
        <w:ind w:left="120" w:right="1231"/>
      </w:pPr>
      <w:r>
        <w:rPr/>
        <w:t>$45,000 in medical expenses and income loss, in addition to general damages for non- economic loss, including shoulder surgery.</w:t>
      </w:r>
    </w:p>
    <w:p>
      <w:pPr>
        <w:pStyle w:val="ListParagraph"/>
        <w:numPr>
          <w:ilvl w:val="0"/>
          <w:numId w:val="2"/>
        </w:numPr>
        <w:tabs>
          <w:tab w:pos="840" w:val="left" w:leader="none"/>
        </w:tabs>
        <w:spacing w:line="240" w:lineRule="auto" w:before="239" w:after="0"/>
        <w:ind w:left="840" w:right="0" w:hanging="360"/>
        <w:jc w:val="left"/>
        <w:rPr>
          <w:sz w:val="24"/>
        </w:rPr>
      </w:pPr>
      <w:r>
        <w:rPr>
          <w:sz w:val="24"/>
        </w:rPr>
        <w:t>The insurance carrier will never offer anything more than its policy</w:t>
      </w:r>
      <w:r>
        <w:rPr>
          <w:spacing w:val="-10"/>
          <w:sz w:val="24"/>
        </w:rPr>
        <w:t> </w:t>
      </w:r>
      <w:r>
        <w:rPr>
          <w:sz w:val="24"/>
        </w:rPr>
        <w:t>limits.</w:t>
      </w:r>
    </w:p>
    <w:p>
      <w:pPr>
        <w:pStyle w:val="ListParagraph"/>
        <w:numPr>
          <w:ilvl w:val="0"/>
          <w:numId w:val="2"/>
        </w:numPr>
        <w:tabs>
          <w:tab w:pos="840" w:val="left" w:leader="none"/>
        </w:tabs>
        <w:spacing w:line="240" w:lineRule="auto" w:before="240" w:after="0"/>
        <w:ind w:left="120" w:right="1155" w:firstLine="360"/>
        <w:jc w:val="left"/>
        <w:rPr>
          <w:sz w:val="24"/>
        </w:rPr>
      </w:pPr>
      <w:r>
        <w:rPr>
          <w:sz w:val="24"/>
        </w:rPr>
        <w:t>Indeed, this case has been pending for 14 months. The insurance carrier for</w:t>
      </w:r>
      <w:r>
        <w:rPr>
          <w:spacing w:val="-34"/>
          <w:sz w:val="24"/>
        </w:rPr>
        <w:t> </w:t>
      </w:r>
      <w:r>
        <w:rPr>
          <w:sz w:val="24"/>
        </w:rPr>
        <w:t>the Defendants did not even agree to offer the policy limits until January 23,</w:t>
      </w:r>
      <w:r>
        <w:rPr>
          <w:spacing w:val="-20"/>
          <w:sz w:val="24"/>
        </w:rPr>
        <w:t> </w:t>
      </w:r>
      <w:r>
        <w:rPr>
          <w:sz w:val="24"/>
        </w:rPr>
        <w:t>2017.</w:t>
      </w:r>
    </w:p>
    <w:p>
      <w:pPr>
        <w:pStyle w:val="ListParagraph"/>
        <w:numPr>
          <w:ilvl w:val="0"/>
          <w:numId w:val="2"/>
        </w:numPr>
        <w:tabs>
          <w:tab w:pos="840" w:val="left" w:leader="none"/>
        </w:tabs>
        <w:spacing w:line="240" w:lineRule="auto" w:before="241" w:after="0"/>
        <w:ind w:left="120" w:right="692" w:firstLine="360"/>
        <w:jc w:val="left"/>
        <w:rPr>
          <w:sz w:val="24"/>
        </w:rPr>
      </w:pPr>
      <w:r>
        <w:rPr>
          <w:sz w:val="24"/>
        </w:rPr>
        <w:t>The only decision for Mrs. Windt is this: either she takes the policy limits offer which woefully undercompensates her for her injuries, or she takes her case to trial. As</w:t>
      </w:r>
      <w:r>
        <w:rPr>
          <w:spacing w:val="-36"/>
          <w:sz w:val="24"/>
        </w:rPr>
        <w:t> </w:t>
      </w:r>
      <w:r>
        <w:rPr>
          <w:sz w:val="24"/>
        </w:rPr>
        <w:t>the insurance company knows, she has made the choice to take her case to</w:t>
      </w:r>
      <w:r>
        <w:rPr>
          <w:spacing w:val="-13"/>
          <w:sz w:val="24"/>
        </w:rPr>
        <w:t> </w:t>
      </w:r>
      <w:r>
        <w:rPr>
          <w:sz w:val="24"/>
        </w:rPr>
        <w:t>trial.</w:t>
      </w:r>
    </w:p>
    <w:p>
      <w:pPr>
        <w:pStyle w:val="ListParagraph"/>
        <w:numPr>
          <w:ilvl w:val="0"/>
          <w:numId w:val="2"/>
        </w:numPr>
        <w:tabs>
          <w:tab w:pos="840" w:val="left" w:leader="none"/>
        </w:tabs>
        <w:spacing w:line="240" w:lineRule="auto" w:before="238" w:after="0"/>
        <w:ind w:left="120" w:right="1054" w:firstLine="360"/>
        <w:jc w:val="left"/>
        <w:rPr>
          <w:sz w:val="24"/>
        </w:rPr>
      </w:pPr>
      <w:r>
        <w:rPr>
          <w:sz w:val="24"/>
        </w:rPr>
        <w:t>Mediations take roughly a day of preparation, and then roughly a day to attend. Justice Neighbors charges $420.00/hour for preparing for and conducting a mediation. Bills</w:t>
      </w:r>
      <w:r>
        <w:rPr>
          <w:spacing w:val="-4"/>
          <w:sz w:val="24"/>
        </w:rPr>
        <w:t> </w:t>
      </w:r>
      <w:r>
        <w:rPr>
          <w:sz w:val="24"/>
        </w:rPr>
        <w:t>for</w:t>
      </w:r>
      <w:r>
        <w:rPr>
          <w:spacing w:val="-4"/>
          <w:sz w:val="24"/>
        </w:rPr>
        <w:t> </w:t>
      </w:r>
      <w:r>
        <w:rPr>
          <w:sz w:val="24"/>
        </w:rPr>
        <w:t>the</w:t>
      </w:r>
      <w:r>
        <w:rPr>
          <w:spacing w:val="-3"/>
          <w:sz w:val="24"/>
        </w:rPr>
        <w:t> </w:t>
      </w:r>
      <w:r>
        <w:rPr>
          <w:sz w:val="24"/>
        </w:rPr>
        <w:t>organization</w:t>
      </w:r>
      <w:r>
        <w:rPr>
          <w:spacing w:val="-3"/>
          <w:sz w:val="24"/>
        </w:rPr>
        <w:t> </w:t>
      </w:r>
      <w:r>
        <w:rPr>
          <w:sz w:val="24"/>
        </w:rPr>
        <w:t>where</w:t>
      </w:r>
      <w:r>
        <w:rPr>
          <w:spacing w:val="-3"/>
          <w:sz w:val="24"/>
        </w:rPr>
        <w:t> </w:t>
      </w:r>
      <w:r>
        <w:rPr>
          <w:sz w:val="24"/>
        </w:rPr>
        <w:t>he</w:t>
      </w:r>
      <w:r>
        <w:rPr>
          <w:spacing w:val="-3"/>
          <w:sz w:val="24"/>
        </w:rPr>
        <w:t> </w:t>
      </w:r>
      <w:r>
        <w:rPr>
          <w:sz w:val="24"/>
        </w:rPr>
        <w:t>works,</w:t>
      </w:r>
      <w:r>
        <w:rPr>
          <w:spacing w:val="-2"/>
          <w:sz w:val="24"/>
        </w:rPr>
        <w:t> </w:t>
      </w:r>
      <w:r>
        <w:rPr>
          <w:sz w:val="24"/>
        </w:rPr>
        <w:t>Judicial</w:t>
      </w:r>
      <w:r>
        <w:rPr>
          <w:spacing w:val="-3"/>
          <w:sz w:val="24"/>
        </w:rPr>
        <w:t> </w:t>
      </w:r>
      <w:r>
        <w:rPr>
          <w:sz w:val="24"/>
        </w:rPr>
        <w:t>Arbiter</w:t>
      </w:r>
      <w:r>
        <w:rPr>
          <w:spacing w:val="-4"/>
          <w:sz w:val="24"/>
        </w:rPr>
        <w:t> </w:t>
      </w:r>
      <w:r>
        <w:rPr>
          <w:sz w:val="24"/>
        </w:rPr>
        <w:t>Group,</w:t>
      </w:r>
      <w:r>
        <w:rPr>
          <w:spacing w:val="-2"/>
          <w:sz w:val="24"/>
        </w:rPr>
        <w:t> </w:t>
      </w:r>
      <w:r>
        <w:rPr>
          <w:sz w:val="24"/>
        </w:rPr>
        <w:t>generally</w:t>
      </w:r>
      <w:r>
        <w:rPr>
          <w:spacing w:val="-3"/>
          <w:sz w:val="24"/>
        </w:rPr>
        <w:t> </w:t>
      </w:r>
      <w:r>
        <w:rPr>
          <w:sz w:val="24"/>
        </w:rPr>
        <w:t>run</w:t>
      </w:r>
      <w:r>
        <w:rPr>
          <w:spacing w:val="-3"/>
          <w:sz w:val="24"/>
        </w:rPr>
        <w:t> </w:t>
      </w:r>
      <w:r>
        <w:rPr>
          <w:sz w:val="24"/>
        </w:rPr>
        <w:t>a</w:t>
      </w:r>
      <w:r>
        <w:rPr>
          <w:spacing w:val="-3"/>
          <w:sz w:val="24"/>
        </w:rPr>
        <w:t> </w:t>
      </w:r>
      <w:r>
        <w:rPr>
          <w:sz w:val="24"/>
        </w:rPr>
        <w:t>couple thousand of dollars or more for a</w:t>
      </w:r>
      <w:r>
        <w:rPr>
          <w:spacing w:val="-4"/>
          <w:sz w:val="24"/>
        </w:rPr>
        <w:t> </w:t>
      </w:r>
      <w:r>
        <w:rPr>
          <w:sz w:val="24"/>
        </w:rPr>
        <w:t>mediation.</w:t>
      </w:r>
    </w:p>
    <w:p>
      <w:pPr>
        <w:pStyle w:val="ListParagraph"/>
        <w:numPr>
          <w:ilvl w:val="0"/>
          <w:numId w:val="2"/>
        </w:numPr>
        <w:tabs>
          <w:tab w:pos="840" w:val="left" w:leader="none"/>
        </w:tabs>
        <w:spacing w:line="240" w:lineRule="auto" w:before="240" w:after="0"/>
        <w:ind w:left="120" w:right="710" w:firstLine="360"/>
        <w:jc w:val="left"/>
        <w:rPr>
          <w:sz w:val="24"/>
        </w:rPr>
      </w:pPr>
      <w:r>
        <w:rPr>
          <w:sz w:val="24"/>
        </w:rPr>
        <w:t>Insurance defense counsel is paid by the hour, and gets to charge for preparation and attendance of the mediation. Not so for Mrs. Windt.</w:t>
      </w:r>
      <w:r>
        <w:rPr>
          <w:spacing w:val="14"/>
          <w:sz w:val="24"/>
        </w:rPr>
        <w:t> </w:t>
      </w:r>
      <w:r>
        <w:rPr>
          <w:sz w:val="24"/>
        </w:rPr>
        <w:t>She would have to take the day off work to attend the mediation: she is school bus driver and works for an hourly wage. Insurance defense counsel and the mediator would benefit financially from a mediation. Mrs. Windt would</w:t>
      </w:r>
      <w:r>
        <w:rPr>
          <w:spacing w:val="-2"/>
          <w:sz w:val="24"/>
        </w:rPr>
        <w:t> </w:t>
      </w:r>
      <w:r>
        <w:rPr>
          <w:sz w:val="24"/>
        </w:rPr>
        <w:t>not.</w:t>
      </w:r>
    </w:p>
    <w:p>
      <w:pPr>
        <w:pStyle w:val="ListParagraph"/>
        <w:numPr>
          <w:ilvl w:val="0"/>
          <w:numId w:val="2"/>
        </w:numPr>
        <w:tabs>
          <w:tab w:pos="840" w:val="left" w:leader="none"/>
        </w:tabs>
        <w:spacing w:line="240" w:lineRule="auto" w:before="242" w:after="0"/>
        <w:ind w:left="120" w:right="668" w:firstLine="360"/>
        <w:jc w:val="left"/>
        <w:rPr>
          <w:sz w:val="24"/>
        </w:rPr>
      </w:pPr>
      <w:r>
        <w:rPr>
          <w:sz w:val="24"/>
        </w:rPr>
        <w:t>Defense counsel represents to this court that Mrs. Windt “has yet to respond to Defendants’ offer” of $25,000, the only amount that will ever be offered by the insurance company. Defense counsel fails to disclose to the Court of, for example, this communication by Mrs. Windt’s</w:t>
      </w:r>
      <w:r>
        <w:rPr>
          <w:spacing w:val="-1"/>
          <w:sz w:val="24"/>
        </w:rPr>
        <w:t> </w:t>
      </w:r>
      <w:r>
        <w:rPr>
          <w:sz w:val="24"/>
        </w:rPr>
        <w:t>counsel:</w:t>
      </w:r>
    </w:p>
    <w:p>
      <w:pPr>
        <w:pStyle w:val="BodyText"/>
        <w:spacing w:before="238"/>
        <w:ind w:left="839" w:right="840"/>
      </w:pPr>
      <w:r>
        <w:rPr/>
        <w:t>“Since Occidental has now offered the policy limits of $25,000 the only decision for her is whether to accept it or not. There is no purpose for mediation, or for her to pay the cost and time associated with it. Am I missing something?”</w:t>
      </w:r>
    </w:p>
    <w:p>
      <w:pPr>
        <w:pStyle w:val="BodyText"/>
      </w:pPr>
    </w:p>
    <w:p>
      <w:pPr>
        <w:spacing w:before="0"/>
        <w:ind w:left="119" w:right="0" w:firstLine="0"/>
        <w:jc w:val="left"/>
        <w:rPr>
          <w:i/>
          <w:sz w:val="24"/>
        </w:rPr>
      </w:pPr>
      <w:r>
        <w:rPr>
          <w:i/>
          <w:sz w:val="24"/>
        </w:rPr>
        <w:t>See, Exhibit 1, Email January 25, 2017 at 7:06 pm.</w:t>
      </w:r>
    </w:p>
    <w:p>
      <w:pPr>
        <w:pStyle w:val="BodyText"/>
        <w:spacing w:before="1"/>
        <w:rPr>
          <w:i/>
        </w:rPr>
      </w:pPr>
    </w:p>
    <w:p>
      <w:pPr>
        <w:pStyle w:val="ListParagraph"/>
        <w:numPr>
          <w:ilvl w:val="0"/>
          <w:numId w:val="2"/>
        </w:numPr>
        <w:tabs>
          <w:tab w:pos="893" w:val="left" w:leader="none"/>
        </w:tabs>
        <w:spacing w:line="240" w:lineRule="auto" w:before="0" w:after="0"/>
        <w:ind w:left="120" w:right="685" w:firstLine="360"/>
        <w:jc w:val="left"/>
        <w:rPr>
          <w:sz w:val="24"/>
        </w:rPr>
      </w:pPr>
      <w:r>
        <w:rPr>
          <w:sz w:val="24"/>
        </w:rPr>
        <w:t>When defense counsel insisted that he nonetheless wanted to schedule a mediation, again Mrs. Windt responded:</w:t>
      </w:r>
    </w:p>
    <w:p>
      <w:pPr>
        <w:pStyle w:val="BodyText"/>
        <w:spacing w:before="1"/>
      </w:pPr>
    </w:p>
    <w:p>
      <w:pPr>
        <w:pStyle w:val="BodyText"/>
        <w:ind w:left="840" w:right="643"/>
      </w:pPr>
      <w:r>
        <w:rPr/>
        <w:t>“Certainly, mediation often serves a purpose, but there are occasions where it only results in expense (typically thousands of dollars anymore); wasted time, and sometimes thereafter, frustration. As I recall Mrs. Windt has special damages in the range of $45,000. With the cell phone use [by defendant while she was driving] the liability case is aggravated. [Mrs. Windt] has the choice of accepting the $25,000 Occidental has offered, or going to trial . . . And if you have some other proposal, we can communicate directly without the expense of a mediator. Just send it and let me know. Thanks.”</w:t>
      </w:r>
    </w:p>
    <w:p>
      <w:pPr>
        <w:spacing w:after="0"/>
        <w:sectPr>
          <w:footerReference w:type="default" r:id="rId5"/>
          <w:pgSz w:w="12240" w:h="15840"/>
          <w:pgMar w:footer="1024" w:header="0" w:top="1500" w:bottom="1220" w:left="1320" w:right="780"/>
          <w:pgNumType w:start="2"/>
        </w:sectPr>
      </w:pPr>
    </w:p>
    <w:p>
      <w:pPr>
        <w:pStyle w:val="BodyText"/>
        <w:spacing w:before="5"/>
        <w:rPr>
          <w:sz w:val="9"/>
        </w:rPr>
      </w:pPr>
    </w:p>
    <w:p>
      <w:pPr>
        <w:spacing w:before="100"/>
        <w:ind w:left="120" w:right="0" w:firstLine="0"/>
        <w:jc w:val="left"/>
        <w:rPr>
          <w:i/>
          <w:sz w:val="24"/>
        </w:rPr>
      </w:pPr>
      <w:r>
        <w:rPr>
          <w:i/>
          <w:sz w:val="24"/>
        </w:rPr>
        <w:t>Id, Email of Friday January 27, 2015 at 3:59 pm.</w:t>
      </w:r>
    </w:p>
    <w:p>
      <w:pPr>
        <w:pStyle w:val="BodyText"/>
        <w:spacing w:before="11"/>
        <w:rPr>
          <w:i/>
          <w:sz w:val="23"/>
        </w:rPr>
      </w:pPr>
    </w:p>
    <w:p>
      <w:pPr>
        <w:pStyle w:val="ListParagraph"/>
        <w:numPr>
          <w:ilvl w:val="0"/>
          <w:numId w:val="2"/>
        </w:numPr>
        <w:tabs>
          <w:tab w:pos="840" w:val="left" w:leader="none"/>
        </w:tabs>
        <w:spacing w:line="240" w:lineRule="auto" w:before="0" w:after="0"/>
        <w:ind w:left="120" w:right="794" w:firstLine="360"/>
        <w:jc w:val="left"/>
        <w:rPr>
          <w:sz w:val="24"/>
        </w:rPr>
      </w:pPr>
      <w:r>
        <w:rPr>
          <w:sz w:val="24"/>
        </w:rPr>
        <w:t>Defense counsel has chosen not to communicate any other proposal then the policy limits, nor will Occidental ever do</w:t>
      </w:r>
      <w:r>
        <w:rPr>
          <w:spacing w:val="-5"/>
          <w:sz w:val="24"/>
        </w:rPr>
        <w:t> </w:t>
      </w:r>
      <w:r>
        <w:rPr>
          <w:sz w:val="24"/>
        </w:rPr>
        <w:t>so.</w:t>
      </w:r>
    </w:p>
    <w:p>
      <w:pPr>
        <w:pStyle w:val="BodyText"/>
      </w:pPr>
    </w:p>
    <w:p>
      <w:pPr>
        <w:pStyle w:val="ListParagraph"/>
        <w:numPr>
          <w:ilvl w:val="0"/>
          <w:numId w:val="2"/>
        </w:numPr>
        <w:tabs>
          <w:tab w:pos="840" w:val="left" w:leader="none"/>
        </w:tabs>
        <w:spacing w:line="240" w:lineRule="auto" w:before="1" w:after="0"/>
        <w:ind w:left="120" w:right="983" w:firstLine="360"/>
        <w:jc w:val="left"/>
        <w:rPr>
          <w:sz w:val="24"/>
        </w:rPr>
      </w:pPr>
      <w:r>
        <w:rPr>
          <w:sz w:val="24"/>
        </w:rPr>
        <w:t>There is no meaningful basis for requiring Mrs. Windt to pay for a mediation.</w:t>
      </w:r>
      <w:r>
        <w:rPr>
          <w:spacing w:val="18"/>
          <w:sz w:val="24"/>
        </w:rPr>
        <w:t> </w:t>
      </w:r>
      <w:r>
        <w:rPr>
          <w:sz w:val="24"/>
        </w:rPr>
        <w:t>She should not be compelled to spend thousands of dollars, and lose income at work, at the purposeless whim of an insurance company for the</w:t>
      </w:r>
      <w:r>
        <w:rPr>
          <w:spacing w:val="-6"/>
          <w:sz w:val="24"/>
        </w:rPr>
        <w:t> </w:t>
      </w:r>
      <w:r>
        <w:rPr>
          <w:sz w:val="24"/>
        </w:rPr>
        <w:t>defendants.</w:t>
      </w:r>
    </w:p>
    <w:p>
      <w:pPr>
        <w:pStyle w:val="BodyText"/>
      </w:pPr>
    </w:p>
    <w:p>
      <w:pPr>
        <w:pStyle w:val="ListParagraph"/>
        <w:numPr>
          <w:ilvl w:val="0"/>
          <w:numId w:val="2"/>
        </w:numPr>
        <w:tabs>
          <w:tab w:pos="840" w:val="left" w:leader="none"/>
        </w:tabs>
        <w:spacing w:line="240" w:lineRule="auto" w:before="0" w:after="0"/>
        <w:ind w:left="120" w:right="756" w:firstLine="360"/>
        <w:jc w:val="left"/>
        <w:rPr>
          <w:sz w:val="24"/>
        </w:rPr>
      </w:pPr>
      <w:r>
        <w:rPr>
          <w:sz w:val="24"/>
        </w:rPr>
        <w:t>Defendant cites no statutory authority or case law in support of its contention that the Court may compel Mrs. Windt to attend a mediation that the insurance company wants (and can easily afford). It causes her to incur expense for no</w:t>
      </w:r>
      <w:r>
        <w:rPr>
          <w:spacing w:val="-12"/>
          <w:sz w:val="24"/>
        </w:rPr>
        <w:t> </w:t>
      </w:r>
      <w:r>
        <w:rPr>
          <w:sz w:val="24"/>
        </w:rPr>
        <w:t>purpose.</w:t>
      </w:r>
    </w:p>
    <w:p>
      <w:pPr>
        <w:pStyle w:val="BodyText"/>
      </w:pPr>
    </w:p>
    <w:p>
      <w:pPr>
        <w:pStyle w:val="BodyText"/>
        <w:ind w:left="120" w:right="659" w:firstLine="720"/>
      </w:pPr>
      <w:r>
        <w:rPr/>
        <w:t>Wherefore, Mrs. Windt requests that this Court deny defendants’ Motion to force her to participate in a mediation which will serve no purpose, and which will not change anyone’s position in this matter, and will serve no purpose other than to generate billing for insurance defense counsel and the mediator and incur expense and lost wages for Mrs. Windt.</w:t>
      </w:r>
    </w:p>
    <w:p>
      <w:pPr>
        <w:pStyle w:val="BodyText"/>
        <w:spacing w:before="4"/>
        <w:rPr>
          <w:sz w:val="15"/>
        </w:rPr>
      </w:pPr>
    </w:p>
    <w:p>
      <w:pPr>
        <w:spacing w:after="0"/>
        <w:rPr>
          <w:sz w:val="15"/>
        </w:rPr>
        <w:sectPr>
          <w:pgSz w:w="12240" w:h="15840"/>
          <w:pgMar w:header="0" w:footer="1024" w:top="1500" w:bottom="1220" w:left="1320" w:right="780"/>
        </w:sectPr>
      </w:pPr>
    </w:p>
    <w:p>
      <w:pPr>
        <w:pStyle w:val="BodyText"/>
        <w:spacing w:before="100"/>
        <w:ind w:left="840"/>
      </w:pPr>
      <w:r>
        <w:rPr/>
        <w:t>Dated: February 6, 2017.</w:t>
      </w:r>
    </w:p>
    <w:p>
      <w:pPr>
        <w:pStyle w:val="BodyText"/>
        <w:spacing w:before="6"/>
        <w:rPr>
          <w:sz w:val="32"/>
        </w:rPr>
      </w:pPr>
      <w:r>
        <w:rPr/>
        <w:br w:type="column"/>
      </w:r>
      <w:r>
        <w:rPr>
          <w:sz w:val="32"/>
        </w:rPr>
      </w:r>
    </w:p>
    <w:p>
      <w:pPr>
        <w:spacing w:line="280" w:lineRule="exact" w:before="0"/>
        <w:ind w:left="840" w:right="0" w:firstLine="0"/>
        <w:jc w:val="left"/>
        <w:rPr>
          <w:b/>
          <w:sz w:val="24"/>
        </w:rPr>
      </w:pPr>
      <w:r>
        <w:rPr>
          <w:b/>
          <w:sz w:val="24"/>
        </w:rPr>
        <w:t>T</w:t>
      </w:r>
      <w:r>
        <w:rPr>
          <w:b/>
          <w:sz w:val="19"/>
        </w:rPr>
        <w:t>HE </w:t>
      </w:r>
      <w:r>
        <w:rPr>
          <w:b/>
          <w:sz w:val="24"/>
        </w:rPr>
        <w:t>L</w:t>
      </w:r>
      <w:r>
        <w:rPr>
          <w:b/>
          <w:sz w:val="19"/>
        </w:rPr>
        <w:t>AW </w:t>
      </w:r>
      <w:r>
        <w:rPr>
          <w:b/>
          <w:sz w:val="24"/>
        </w:rPr>
        <w:t>F</w:t>
      </w:r>
      <w:r>
        <w:rPr>
          <w:b/>
          <w:sz w:val="19"/>
        </w:rPr>
        <w:t>IRM OF </w:t>
      </w:r>
      <w:r>
        <w:rPr>
          <w:b/>
          <w:sz w:val="24"/>
        </w:rPr>
        <w:t>S</w:t>
      </w:r>
      <w:r>
        <w:rPr>
          <w:b/>
          <w:sz w:val="19"/>
        </w:rPr>
        <w:t>TEPHEN </w:t>
      </w:r>
      <w:r>
        <w:rPr>
          <w:b/>
          <w:sz w:val="24"/>
        </w:rPr>
        <w:t>H. C</w:t>
      </w:r>
      <w:r>
        <w:rPr>
          <w:b/>
          <w:sz w:val="19"/>
        </w:rPr>
        <w:t>OOK</w:t>
      </w:r>
      <w:r>
        <w:rPr>
          <w:b/>
          <w:sz w:val="24"/>
        </w:rPr>
        <w:t>, P.C.</w:t>
      </w:r>
    </w:p>
    <w:p>
      <w:pPr>
        <w:spacing w:line="209" w:lineRule="exact" w:before="0"/>
        <w:ind w:left="840" w:right="0" w:firstLine="0"/>
        <w:jc w:val="left"/>
        <w:rPr>
          <w:i/>
          <w:sz w:val="18"/>
        </w:rPr>
      </w:pPr>
      <w:r>
        <w:rPr>
          <w:i/>
          <w:sz w:val="18"/>
        </w:rPr>
        <w:t>Original Signature on file at The Law Firm of Stephen H. Cook, P.C.</w:t>
      </w:r>
    </w:p>
    <w:p>
      <w:pPr>
        <w:pStyle w:val="BodyText"/>
        <w:rPr>
          <w:i/>
          <w:sz w:val="20"/>
        </w:rPr>
      </w:pPr>
    </w:p>
    <w:p>
      <w:pPr>
        <w:pStyle w:val="BodyText"/>
        <w:spacing w:before="5"/>
        <w:rPr>
          <w:i/>
          <w:sz w:val="22"/>
        </w:rPr>
      </w:pPr>
    </w:p>
    <w:p>
      <w:pPr>
        <w:tabs>
          <w:tab w:pos="5879" w:val="left" w:leader="none"/>
        </w:tabs>
        <w:spacing w:line="281" w:lineRule="exact" w:before="0"/>
        <w:ind w:left="840" w:right="0" w:firstLine="0"/>
        <w:jc w:val="left"/>
        <w:rPr>
          <w:i/>
          <w:sz w:val="24"/>
        </w:rPr>
      </w:pPr>
      <w:r>
        <w:rPr>
          <w:sz w:val="24"/>
          <w:u w:val="single"/>
        </w:rPr>
        <w:t>By:  </w:t>
      </w:r>
      <w:r>
        <w:rPr>
          <w:i/>
          <w:sz w:val="24"/>
          <w:u w:val="single"/>
        </w:rPr>
        <w:t>/s/ Stephen H.</w:t>
      </w:r>
      <w:r>
        <w:rPr>
          <w:i/>
          <w:spacing w:val="-5"/>
          <w:sz w:val="24"/>
          <w:u w:val="single"/>
        </w:rPr>
        <w:t> </w:t>
      </w:r>
      <w:r>
        <w:rPr>
          <w:i/>
          <w:sz w:val="24"/>
          <w:u w:val="single"/>
        </w:rPr>
        <w:t>Cook</w:t>
        <w:tab/>
      </w:r>
    </w:p>
    <w:p>
      <w:pPr>
        <w:pStyle w:val="BodyText"/>
        <w:spacing w:line="281" w:lineRule="exact"/>
        <w:ind w:left="840"/>
      </w:pPr>
      <w:r>
        <w:rPr/>
        <w:t>Stephen H. Cook</w:t>
      </w:r>
    </w:p>
    <w:p>
      <w:pPr>
        <w:pStyle w:val="BodyText"/>
        <w:spacing w:line="281" w:lineRule="exact"/>
        <w:ind w:left="840"/>
      </w:pPr>
      <w:r>
        <w:rPr/>
        <w:t>Attorney for Kathryn Windt</w:t>
      </w:r>
    </w:p>
    <w:p>
      <w:pPr>
        <w:spacing w:after="0" w:line="281" w:lineRule="exact"/>
        <w:sectPr>
          <w:type w:val="continuous"/>
          <w:pgSz w:w="12240" w:h="15840"/>
          <w:pgMar w:top="1500" w:bottom="280" w:left="1320" w:right="780"/>
          <w:cols w:num="2" w:equalWidth="0">
            <w:col w:w="3418" w:space="182"/>
            <w:col w:w="6540"/>
          </w:cols>
        </w:sectPr>
      </w:pPr>
    </w:p>
    <w:p>
      <w:pPr>
        <w:pStyle w:val="BodyText"/>
        <w:rPr>
          <w:sz w:val="20"/>
        </w:rPr>
      </w:pPr>
    </w:p>
    <w:p>
      <w:pPr>
        <w:pStyle w:val="BodyText"/>
        <w:rPr>
          <w:sz w:val="20"/>
        </w:rPr>
      </w:pPr>
    </w:p>
    <w:p>
      <w:pPr>
        <w:pStyle w:val="BodyText"/>
        <w:spacing w:before="2"/>
        <w:rPr>
          <w:sz w:val="20"/>
        </w:rPr>
      </w:pPr>
    </w:p>
    <w:p>
      <w:pPr>
        <w:spacing w:before="101"/>
        <w:ind w:left="3393" w:right="0" w:firstLine="0"/>
        <w:jc w:val="left"/>
        <w:rPr>
          <w:b/>
          <w:sz w:val="24"/>
        </w:rPr>
      </w:pPr>
      <w:bookmarkStart w:name="CERTIFICATE OF SERVICE" w:id="1"/>
      <w:bookmarkEnd w:id="1"/>
      <w:r>
        <w:rPr/>
      </w:r>
      <w:r>
        <w:rPr>
          <w:b/>
          <w:sz w:val="24"/>
        </w:rPr>
        <w:t>CERTIFICATE OF SERVICE</w:t>
      </w:r>
    </w:p>
    <w:p>
      <w:pPr>
        <w:pStyle w:val="BodyText"/>
        <w:spacing w:before="241"/>
        <w:ind w:left="480" w:right="643" w:firstLine="360"/>
      </w:pPr>
      <w:r>
        <w:rPr/>
        <w:t>I hereby certify that a true and correct copy of the foregoing was served on February 6, 2017 via </w:t>
      </w:r>
      <w:r>
        <w:rPr>
          <w:i/>
        </w:rPr>
        <w:t>CCES </w:t>
      </w:r>
      <w:r>
        <w:rPr/>
        <w:t>to the following:</w:t>
      </w:r>
    </w:p>
    <w:p>
      <w:pPr>
        <w:pStyle w:val="BodyText"/>
        <w:spacing w:before="6"/>
        <w:rPr>
          <w:sz w:val="15"/>
        </w:rPr>
      </w:pPr>
    </w:p>
    <w:p>
      <w:pPr>
        <w:spacing w:after="0"/>
        <w:rPr>
          <w:sz w:val="15"/>
        </w:rPr>
        <w:sectPr>
          <w:type w:val="continuous"/>
          <w:pgSz w:w="12240" w:h="15840"/>
          <w:pgMar w:top="1500" w:bottom="280" w:left="1320" w:right="780"/>
        </w:sectPr>
      </w:pPr>
    </w:p>
    <w:p>
      <w:pPr>
        <w:pStyle w:val="BodyText"/>
        <w:spacing w:before="101"/>
        <w:ind w:left="588" w:right="1619"/>
      </w:pPr>
      <w:r>
        <w:rPr/>
        <w:t>Jeffrey Ruebel Katherine Brim Casey Quillen</w:t>
      </w:r>
    </w:p>
    <w:p>
      <w:pPr>
        <w:spacing w:line="279" w:lineRule="exact" w:before="0"/>
        <w:ind w:left="588" w:right="0" w:firstLine="0"/>
        <w:jc w:val="left"/>
        <w:rPr>
          <w:sz w:val="24"/>
        </w:rPr>
      </w:pPr>
      <w:r>
        <w:rPr>
          <w:sz w:val="24"/>
        </w:rPr>
        <w:t>R</w:t>
      </w:r>
      <w:r>
        <w:rPr>
          <w:sz w:val="19"/>
        </w:rPr>
        <w:t>UEBEL </w:t>
      </w:r>
      <w:r>
        <w:rPr>
          <w:sz w:val="24"/>
        </w:rPr>
        <w:t>&amp; Q</w:t>
      </w:r>
      <w:r>
        <w:rPr>
          <w:sz w:val="19"/>
        </w:rPr>
        <w:t>UILLEN</w:t>
      </w:r>
      <w:r>
        <w:rPr>
          <w:sz w:val="24"/>
        </w:rPr>
        <w:t>, LLC</w:t>
      </w:r>
    </w:p>
    <w:p>
      <w:pPr>
        <w:pStyle w:val="BodyText"/>
        <w:spacing w:line="281" w:lineRule="exact"/>
        <w:ind w:left="588"/>
      </w:pPr>
      <w:r>
        <w:rPr/>
        <w:t>8501 Turnpike Drive, Suite</w:t>
      </w:r>
      <w:r>
        <w:rPr>
          <w:spacing w:val="-11"/>
        </w:rPr>
        <w:t> </w:t>
      </w:r>
      <w:r>
        <w:rPr/>
        <w:t>106</w:t>
      </w:r>
    </w:p>
    <w:p>
      <w:pPr>
        <w:pStyle w:val="BodyText"/>
        <w:spacing w:before="2"/>
        <w:ind w:left="588"/>
      </w:pPr>
      <w:r>
        <w:rPr/>
        <w:t>Westminster, CO 80031</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44"/>
        <w:ind w:left="587" w:right="0" w:firstLine="0"/>
        <w:jc w:val="left"/>
        <w:rPr>
          <w:i/>
          <w:sz w:val="18"/>
        </w:rPr>
      </w:pPr>
      <w:r>
        <w:rPr>
          <w:i/>
          <w:sz w:val="18"/>
        </w:rPr>
        <w:t>Signature on file at C</w:t>
      </w:r>
      <w:r>
        <w:rPr>
          <w:i/>
          <w:sz w:val="14"/>
        </w:rPr>
        <w:t>OOK </w:t>
      </w:r>
      <w:r>
        <w:rPr>
          <w:i/>
          <w:sz w:val="18"/>
        </w:rPr>
        <w:t>&amp; P</w:t>
      </w:r>
      <w:r>
        <w:rPr>
          <w:i/>
          <w:sz w:val="14"/>
        </w:rPr>
        <w:t>AGANO</w:t>
      </w:r>
      <w:r>
        <w:rPr>
          <w:i/>
          <w:sz w:val="18"/>
        </w:rPr>
        <w:t>, P.C.</w:t>
      </w:r>
    </w:p>
    <w:p>
      <w:pPr>
        <w:pStyle w:val="BodyText"/>
        <w:spacing w:before="2"/>
        <w:rPr>
          <w:i/>
        </w:rPr>
      </w:pPr>
    </w:p>
    <w:p>
      <w:pPr>
        <w:tabs>
          <w:tab w:pos="4907" w:val="left" w:leader="none"/>
        </w:tabs>
        <w:spacing w:line="281" w:lineRule="exact" w:before="0"/>
        <w:ind w:left="587" w:right="0" w:firstLine="0"/>
        <w:jc w:val="left"/>
        <w:rPr>
          <w:i/>
          <w:sz w:val="24"/>
        </w:rPr>
      </w:pPr>
      <w:r>
        <w:rPr>
          <w:i/>
          <w:sz w:val="24"/>
          <w:u w:val="single"/>
        </w:rPr>
        <w:t>/s/ Ashley</w:t>
      </w:r>
      <w:r>
        <w:rPr>
          <w:i/>
          <w:spacing w:val="-5"/>
          <w:sz w:val="24"/>
          <w:u w:val="single"/>
        </w:rPr>
        <w:t> </w:t>
      </w:r>
      <w:r>
        <w:rPr>
          <w:i/>
          <w:sz w:val="24"/>
          <w:u w:val="single"/>
        </w:rPr>
        <w:t>Neumann</w:t>
        <w:tab/>
      </w:r>
    </w:p>
    <w:p>
      <w:pPr>
        <w:pStyle w:val="BodyText"/>
        <w:spacing w:line="281" w:lineRule="exact"/>
        <w:ind w:left="587"/>
      </w:pPr>
      <w:r>
        <w:rPr/>
        <w:t>Ashley Neumann</w:t>
      </w:r>
    </w:p>
    <w:sectPr>
      <w:type w:val="continuous"/>
      <w:pgSz w:w="12240" w:h="15840"/>
      <w:pgMar w:top="1500" w:bottom="280" w:left="1320" w:right="780"/>
      <w:cols w:num="2" w:equalWidth="0">
        <w:col w:w="3809" w:space="43"/>
        <w:col w:w="62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Minion Pro">
    <w:altName w:val="Minion Pro"/>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802124pt;width:9.550pt;height:14.25pt;mso-position-horizontal-relative:page;mso-position-vertical-relative:page;z-index:-6016"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93" w:hanging="322"/>
      </w:pPr>
      <w:rPr>
        <w:rFonts w:hint="default" w:ascii="Wingdings" w:hAnsi="Wingdings" w:eastAsia="Wingdings" w:cs="Wingdings"/>
        <w:w w:val="100"/>
        <w:sz w:val="24"/>
        <w:szCs w:val="24"/>
        <w:lang w:val="en-us" w:eastAsia="en-us" w:bidi="en-us"/>
      </w:rPr>
    </w:lvl>
    <w:lvl w:ilvl="1">
      <w:start w:val="0"/>
      <w:numFmt w:val="bullet"/>
      <w:lvlText w:val="•"/>
      <w:lvlJc w:val="left"/>
      <w:pPr>
        <w:ind w:left="1277" w:hanging="322"/>
      </w:pPr>
      <w:rPr>
        <w:rFonts w:hint="default"/>
        <w:lang w:val="en-us" w:eastAsia="en-us" w:bidi="en-us"/>
      </w:rPr>
    </w:lvl>
    <w:lvl w:ilvl="2">
      <w:start w:val="0"/>
      <w:numFmt w:val="bullet"/>
      <w:lvlText w:val="•"/>
      <w:lvlJc w:val="left"/>
      <w:pPr>
        <w:ind w:left="1554" w:hanging="322"/>
      </w:pPr>
      <w:rPr>
        <w:rFonts w:hint="default"/>
        <w:lang w:val="en-us" w:eastAsia="en-us" w:bidi="en-us"/>
      </w:rPr>
    </w:lvl>
    <w:lvl w:ilvl="3">
      <w:start w:val="0"/>
      <w:numFmt w:val="bullet"/>
      <w:lvlText w:val="•"/>
      <w:lvlJc w:val="left"/>
      <w:pPr>
        <w:ind w:left="1831" w:hanging="322"/>
      </w:pPr>
      <w:rPr>
        <w:rFonts w:hint="default"/>
        <w:lang w:val="en-us" w:eastAsia="en-us" w:bidi="en-us"/>
      </w:rPr>
    </w:lvl>
    <w:lvl w:ilvl="4">
      <w:start w:val="0"/>
      <w:numFmt w:val="bullet"/>
      <w:lvlText w:val="•"/>
      <w:lvlJc w:val="left"/>
      <w:pPr>
        <w:ind w:left="2108" w:hanging="322"/>
      </w:pPr>
      <w:rPr>
        <w:rFonts w:hint="default"/>
        <w:lang w:val="en-us" w:eastAsia="en-us" w:bidi="en-us"/>
      </w:rPr>
    </w:lvl>
    <w:lvl w:ilvl="5">
      <w:start w:val="0"/>
      <w:numFmt w:val="bullet"/>
      <w:lvlText w:val="•"/>
      <w:lvlJc w:val="left"/>
      <w:pPr>
        <w:ind w:left="2385" w:hanging="322"/>
      </w:pPr>
      <w:rPr>
        <w:rFonts w:hint="default"/>
        <w:lang w:val="en-us" w:eastAsia="en-us" w:bidi="en-us"/>
      </w:rPr>
    </w:lvl>
    <w:lvl w:ilvl="6">
      <w:start w:val="0"/>
      <w:numFmt w:val="bullet"/>
      <w:lvlText w:val="•"/>
      <w:lvlJc w:val="left"/>
      <w:pPr>
        <w:ind w:left="2662" w:hanging="322"/>
      </w:pPr>
      <w:rPr>
        <w:rFonts w:hint="default"/>
        <w:lang w:val="en-us" w:eastAsia="en-us" w:bidi="en-us"/>
      </w:rPr>
    </w:lvl>
    <w:lvl w:ilvl="7">
      <w:start w:val="0"/>
      <w:numFmt w:val="bullet"/>
      <w:lvlText w:val="•"/>
      <w:lvlJc w:val="left"/>
      <w:pPr>
        <w:ind w:left="2939" w:hanging="322"/>
      </w:pPr>
      <w:rPr>
        <w:rFonts w:hint="default"/>
        <w:lang w:val="en-us" w:eastAsia="en-us" w:bidi="en-us"/>
      </w:rPr>
    </w:lvl>
    <w:lvl w:ilvl="8">
      <w:start w:val="0"/>
      <w:numFmt w:val="bullet"/>
      <w:lvlText w:val="•"/>
      <w:lvlJc w:val="left"/>
      <w:pPr>
        <w:ind w:left="3216" w:hanging="322"/>
      </w:pPr>
      <w:rPr>
        <w:rFonts w:hint="default"/>
        <w:lang w:val="en-us" w:eastAsia="en-us" w:bidi="en-us"/>
      </w:rPr>
    </w:lvl>
  </w:abstractNum>
  <w:abstractNum w:abstractNumId="1">
    <w:multiLevelType w:val="hybridMultilevel"/>
    <w:lvl w:ilvl="0">
      <w:start w:val="1"/>
      <w:numFmt w:val="decimal"/>
      <w:lvlText w:val="%1."/>
      <w:lvlJc w:val="left"/>
      <w:pPr>
        <w:ind w:left="120" w:hanging="360"/>
        <w:jc w:val="left"/>
      </w:pPr>
      <w:rPr>
        <w:rFonts w:hint="default" w:ascii="Cambria" w:hAnsi="Cambria" w:eastAsia="Cambria" w:cs="Cambria"/>
        <w:spacing w:val="-3"/>
        <w:w w:val="100"/>
        <w:sz w:val="24"/>
        <w:szCs w:val="24"/>
        <w:lang w:val="en-us" w:eastAsia="en-us" w:bidi="en-us"/>
      </w:rPr>
    </w:lvl>
    <w:lvl w:ilvl="1">
      <w:start w:val="0"/>
      <w:numFmt w:val="bullet"/>
      <w:lvlText w:val="•"/>
      <w:lvlJc w:val="left"/>
      <w:pPr>
        <w:ind w:left="480" w:hanging="360"/>
      </w:pPr>
      <w:rPr>
        <w:rFonts w:hint="default"/>
        <w:lang w:val="en-us" w:eastAsia="en-us" w:bidi="en-us"/>
      </w:rPr>
    </w:lvl>
    <w:lvl w:ilvl="2">
      <w:start w:val="0"/>
      <w:numFmt w:val="bullet"/>
      <w:lvlText w:val="•"/>
      <w:lvlJc w:val="left"/>
      <w:pPr>
        <w:ind w:left="1553" w:hanging="360"/>
      </w:pPr>
      <w:rPr>
        <w:rFonts w:hint="default"/>
        <w:lang w:val="en-us" w:eastAsia="en-us" w:bidi="en-us"/>
      </w:rPr>
    </w:lvl>
    <w:lvl w:ilvl="3">
      <w:start w:val="0"/>
      <w:numFmt w:val="bullet"/>
      <w:lvlText w:val="•"/>
      <w:lvlJc w:val="left"/>
      <w:pPr>
        <w:ind w:left="2626" w:hanging="360"/>
      </w:pPr>
      <w:rPr>
        <w:rFonts w:hint="default"/>
        <w:lang w:val="en-us" w:eastAsia="en-us" w:bidi="en-us"/>
      </w:rPr>
    </w:lvl>
    <w:lvl w:ilvl="4">
      <w:start w:val="0"/>
      <w:numFmt w:val="bullet"/>
      <w:lvlText w:val="•"/>
      <w:lvlJc w:val="left"/>
      <w:pPr>
        <w:ind w:left="3700" w:hanging="360"/>
      </w:pPr>
      <w:rPr>
        <w:rFonts w:hint="default"/>
        <w:lang w:val="en-us" w:eastAsia="en-us" w:bidi="en-us"/>
      </w:rPr>
    </w:lvl>
    <w:lvl w:ilvl="5">
      <w:start w:val="0"/>
      <w:numFmt w:val="bullet"/>
      <w:lvlText w:val="•"/>
      <w:lvlJc w:val="left"/>
      <w:pPr>
        <w:ind w:left="4773" w:hanging="360"/>
      </w:pPr>
      <w:rPr>
        <w:rFonts w:hint="default"/>
        <w:lang w:val="en-us" w:eastAsia="en-us" w:bidi="en-us"/>
      </w:rPr>
    </w:lvl>
    <w:lvl w:ilvl="6">
      <w:start w:val="0"/>
      <w:numFmt w:val="bullet"/>
      <w:lvlText w:val="•"/>
      <w:lvlJc w:val="left"/>
      <w:pPr>
        <w:ind w:left="5846" w:hanging="360"/>
      </w:pPr>
      <w:rPr>
        <w:rFonts w:hint="default"/>
        <w:lang w:val="en-us" w:eastAsia="en-us" w:bidi="en-us"/>
      </w:rPr>
    </w:lvl>
    <w:lvl w:ilvl="7">
      <w:start w:val="0"/>
      <w:numFmt w:val="bullet"/>
      <w:lvlText w:val="•"/>
      <w:lvlJc w:val="left"/>
      <w:pPr>
        <w:ind w:left="6920" w:hanging="360"/>
      </w:pPr>
      <w:rPr>
        <w:rFonts w:hint="default"/>
        <w:lang w:val="en-us" w:eastAsia="en-us" w:bidi="en-us"/>
      </w:rPr>
    </w:lvl>
    <w:lvl w:ilvl="8">
      <w:start w:val="0"/>
      <w:numFmt w:val="bullet"/>
      <w:lvlText w:val="•"/>
      <w:lvlJc w:val="left"/>
      <w:pPr>
        <w:ind w:left="7993"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ListParagraph" w:type="paragraph">
    <w:name w:val="List Paragraph"/>
    <w:basedOn w:val="Normal"/>
    <w:uiPriority w:val="1"/>
    <w:qFormat/>
    <w:pPr>
      <w:ind w:left="120" w:firstLine="360"/>
    </w:pPr>
    <w:rPr>
      <w:rFonts w:ascii="Cambria" w:hAnsi="Cambria" w:eastAsia="Cambria" w:cs="Cambria"/>
      <w:lang w:val="en-us" w:eastAsia="en-us" w:bidi="en-us"/>
    </w:rPr>
  </w:style>
  <w:style w:styleId="TableParagraph" w:type="paragraph">
    <w:name w:val="Table Paragraph"/>
    <w:basedOn w:val="Normal"/>
    <w:uiPriority w:val="1"/>
    <w:qFormat/>
    <w:pPr>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2019-03-22T16:02:32Z</dcterms:created>
  <dcterms:modified xsi:type="dcterms:W3CDTF">2019-03-22T16:02:32Z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Acrobat PDFMaker 15 for Word</vt:lpwstr>
  </property>
  <property fmtid="{D5CDD505-2E9C-101B-9397-08002B2CF9AE}" pid="4" name="LastSaved">
    <vt:filetime>2019-03-22T00:00:00Z</vt:filetime>
  </property>
</Properties>
</file>