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5"/>
        <w:rPr>
          <w:rFonts w:ascii="Times New Roman"/>
          <w:sz w:val="25"/>
        </w:rPr>
      </w:pPr>
    </w:p>
    <w:p>
      <w:pPr>
        <w:spacing w:before="107"/>
        <w:ind w:left="0" w:right="108" w:firstLine="0"/>
        <w:jc w:val="right"/>
        <w:rPr>
          <w:rFonts w:ascii="Minion Pro"/>
          <w:sz w:val="19"/>
        </w:rPr>
      </w:pPr>
      <w:r>
        <w:rPr/>
        <w:pict>
          <v:shapetype id="_x0000_t202" o:spt="202" coordsize="21600,21600" path="m,l,21600r21600,l21600,xe">
            <v:stroke joinstyle="miter"/>
            <v:path gradientshapeok="t" o:connecttype="rect"/>
          </v:shapetype>
          <v:shape style="position:absolute;margin-left:66.360001pt;margin-top:-15.557049pt;width:474.15pt;height:431.4pt;mso-position-horizontal-relative:page;mso-position-vertical-relative:paragraph;z-index:102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79"/>
                    <w:gridCol w:w="3689"/>
                  </w:tblGrid>
                  <w:tr>
                    <w:trPr>
                      <w:trHeight w:val="681" w:hRule="atLeast"/>
                    </w:trPr>
                    <w:tc>
                      <w:tcPr>
                        <w:tcW w:w="5779" w:type="dxa"/>
                      </w:tcPr>
                      <w:p>
                        <w:pPr>
                          <w:pStyle w:val="TableParagraph"/>
                          <w:spacing w:line="281" w:lineRule="exact" w:before="119"/>
                          <w:rPr>
                            <w:sz w:val="24"/>
                          </w:rPr>
                        </w:pPr>
                        <w:r>
                          <w:rPr>
                            <w:sz w:val="24"/>
                          </w:rPr>
                          <w:t>DISTRICT COURT, ADAMS COUNTY, COLORADO</w:t>
                        </w:r>
                      </w:p>
                      <w:p>
                        <w:pPr>
                          <w:pStyle w:val="TableParagraph"/>
                          <w:spacing w:line="260" w:lineRule="exact"/>
                          <w:rPr>
                            <w:sz w:val="24"/>
                          </w:rPr>
                        </w:pPr>
                        <w:r>
                          <w:rPr>
                            <w:sz w:val="24"/>
                          </w:rPr>
                          <w:t>1100 Judicial Center Drive, Brighton, CO 80601</w:t>
                        </w:r>
                      </w:p>
                    </w:tc>
                    <w:tc>
                      <w:tcPr>
                        <w:tcW w:w="3689" w:type="dxa"/>
                        <w:vMerge w:val="restart"/>
                        <w:tcBorders>
                          <w:bottom w:val="nil"/>
                        </w:tcBorders>
                      </w:tcPr>
                      <w:p>
                        <w:pPr>
                          <w:pStyle w:val="TableParagraph"/>
                          <w:spacing w:before="1"/>
                          <w:ind w:left="0"/>
                          <w:rPr>
                            <w:i/>
                            <w:sz w:val="36"/>
                          </w:rPr>
                        </w:pPr>
                      </w:p>
                      <w:p>
                        <w:pPr>
                          <w:pStyle w:val="TableParagraph"/>
                          <w:spacing w:line="220" w:lineRule="auto"/>
                          <w:ind w:left="1065" w:right="-4"/>
                          <w:rPr>
                            <w:rFonts w:ascii="Minion Pro"/>
                            <w:sz w:val="19"/>
                          </w:rPr>
                        </w:pPr>
                        <w:r>
                          <w:rPr>
                            <w:rFonts w:ascii="Minion Pro"/>
                            <w:color w:val="0000FF"/>
                            <w:spacing w:val="-6"/>
                            <w:w w:val="105"/>
                            <w:sz w:val="19"/>
                          </w:rPr>
                          <w:t>DATE</w:t>
                        </w:r>
                        <w:r>
                          <w:rPr>
                            <w:rFonts w:ascii="Minion Pro"/>
                            <w:color w:val="0000FF"/>
                            <w:spacing w:val="-10"/>
                            <w:w w:val="105"/>
                            <w:sz w:val="19"/>
                          </w:rPr>
                          <w:t> </w:t>
                        </w:r>
                        <w:r>
                          <w:rPr>
                            <w:rFonts w:ascii="Minion Pro"/>
                            <w:color w:val="0000FF"/>
                            <w:w w:val="105"/>
                            <w:sz w:val="19"/>
                          </w:rPr>
                          <w:t>FILED:</w:t>
                        </w:r>
                        <w:r>
                          <w:rPr>
                            <w:rFonts w:ascii="Minion Pro"/>
                            <w:color w:val="0000FF"/>
                            <w:spacing w:val="-9"/>
                            <w:w w:val="105"/>
                            <w:sz w:val="19"/>
                          </w:rPr>
                          <w:t> </w:t>
                        </w:r>
                        <w:r>
                          <w:rPr>
                            <w:rFonts w:ascii="Minion Pro"/>
                            <w:color w:val="0000FF"/>
                            <w:w w:val="105"/>
                            <w:sz w:val="19"/>
                          </w:rPr>
                          <w:t>February</w:t>
                        </w:r>
                        <w:r>
                          <w:rPr>
                            <w:rFonts w:ascii="Minion Pro"/>
                            <w:color w:val="0000FF"/>
                            <w:spacing w:val="-9"/>
                            <w:w w:val="105"/>
                            <w:sz w:val="19"/>
                          </w:rPr>
                          <w:t> </w:t>
                        </w:r>
                        <w:r>
                          <w:rPr>
                            <w:rFonts w:ascii="Minion Pro"/>
                            <w:color w:val="0000FF"/>
                            <w:w w:val="105"/>
                            <w:sz w:val="19"/>
                          </w:rPr>
                          <w:t>6,</w:t>
                        </w:r>
                        <w:r>
                          <w:rPr>
                            <w:rFonts w:ascii="Minion Pro"/>
                            <w:color w:val="0000FF"/>
                            <w:spacing w:val="-9"/>
                            <w:w w:val="105"/>
                            <w:sz w:val="19"/>
                          </w:rPr>
                          <w:t> </w:t>
                        </w:r>
                        <w:r>
                          <w:rPr>
                            <w:rFonts w:ascii="Minion Pro"/>
                            <w:color w:val="0000FF"/>
                            <w:w w:val="105"/>
                            <w:sz w:val="19"/>
                          </w:rPr>
                          <w:t>2017</w:t>
                        </w:r>
                        <w:r>
                          <w:rPr>
                            <w:rFonts w:ascii="Minion Pro"/>
                            <w:color w:val="0000FF"/>
                            <w:spacing w:val="-9"/>
                            <w:w w:val="105"/>
                            <w:sz w:val="19"/>
                          </w:rPr>
                          <w:t> </w:t>
                        </w:r>
                        <w:r>
                          <w:rPr>
                            <w:rFonts w:ascii="Minion Pro"/>
                            <w:color w:val="0000FF"/>
                            <w:spacing w:val="-11"/>
                            <w:w w:val="105"/>
                            <w:sz w:val="19"/>
                          </w:rPr>
                          <w:t>4 </w:t>
                        </w:r>
                        <w:r>
                          <w:rPr>
                            <w:rFonts w:ascii="Minion Pro"/>
                            <w:color w:val="0000FF"/>
                            <w:w w:val="105"/>
                            <w:sz w:val="19"/>
                          </w:rPr>
                          <w:t>FILING ID: A2840CCB49164 CASE NUMBER:</w:t>
                        </w:r>
                        <w:r>
                          <w:rPr>
                            <w:rFonts w:ascii="Minion Pro"/>
                            <w:color w:val="0000FF"/>
                            <w:spacing w:val="-28"/>
                            <w:w w:val="105"/>
                            <w:sz w:val="19"/>
                          </w:rPr>
                          <w:t> </w:t>
                        </w:r>
                        <w:r>
                          <w:rPr>
                            <w:rFonts w:ascii="Minion Pro"/>
                            <w:color w:val="0000FF"/>
                            <w:w w:val="105"/>
                            <w:sz w:val="19"/>
                          </w:rPr>
                          <w:t>2015CV31808</w:t>
                        </w:r>
                      </w:p>
                    </w:tc>
                  </w:tr>
                  <w:tr>
                    <w:trPr>
                      <w:trHeight w:val="1084" w:hRule="atLeast"/>
                    </w:trPr>
                    <w:tc>
                      <w:tcPr>
                        <w:tcW w:w="5779" w:type="dxa"/>
                        <w:tcBorders>
                          <w:bottom w:val="nil"/>
                        </w:tcBorders>
                      </w:tcPr>
                      <w:p>
                        <w:pPr>
                          <w:pStyle w:val="TableParagraph"/>
                          <w:spacing w:before="119"/>
                          <w:ind w:right="1248"/>
                          <w:jc w:val="both"/>
                          <w:rPr>
                            <w:b/>
                            <w:sz w:val="24"/>
                          </w:rPr>
                        </w:pPr>
                        <w:r>
                          <w:rPr>
                            <w:b/>
                            <w:sz w:val="24"/>
                          </w:rPr>
                          <w:t>PLAINTIFF: AMERICAN FAMILY</w:t>
                        </w:r>
                        <w:r>
                          <w:rPr>
                            <w:b/>
                            <w:spacing w:val="-37"/>
                            <w:sz w:val="24"/>
                          </w:rPr>
                          <w:t> </w:t>
                        </w:r>
                        <w:r>
                          <w:rPr>
                            <w:b/>
                            <w:sz w:val="24"/>
                          </w:rPr>
                          <w:t>MUTUAL INSURANCE</w:t>
                        </w:r>
                        <w:r>
                          <w:rPr>
                            <w:b/>
                            <w:spacing w:val="-14"/>
                            <w:sz w:val="24"/>
                          </w:rPr>
                          <w:t> </w:t>
                        </w:r>
                        <w:r>
                          <w:rPr>
                            <w:b/>
                            <w:sz w:val="24"/>
                          </w:rPr>
                          <w:t>COMPANY,</w:t>
                        </w:r>
                        <w:r>
                          <w:rPr>
                            <w:b/>
                            <w:spacing w:val="-14"/>
                            <w:sz w:val="24"/>
                          </w:rPr>
                          <w:t> </w:t>
                        </w:r>
                        <w:r>
                          <w:rPr>
                            <w:b/>
                            <w:sz w:val="24"/>
                          </w:rPr>
                          <w:t>AS</w:t>
                        </w:r>
                        <w:r>
                          <w:rPr>
                            <w:b/>
                            <w:spacing w:val="-13"/>
                            <w:sz w:val="24"/>
                          </w:rPr>
                          <w:t> </w:t>
                        </w:r>
                        <w:r>
                          <w:rPr>
                            <w:b/>
                            <w:sz w:val="24"/>
                          </w:rPr>
                          <w:t>SUBROGEE</w:t>
                        </w:r>
                        <w:r>
                          <w:rPr>
                            <w:b/>
                            <w:spacing w:val="-13"/>
                            <w:sz w:val="24"/>
                          </w:rPr>
                          <w:t> </w:t>
                        </w:r>
                        <w:r>
                          <w:rPr>
                            <w:b/>
                            <w:sz w:val="24"/>
                          </w:rPr>
                          <w:t>OF KATHRYN</w:t>
                        </w:r>
                        <w:r>
                          <w:rPr>
                            <w:b/>
                            <w:spacing w:val="-11"/>
                            <w:sz w:val="24"/>
                          </w:rPr>
                          <w:t> </w:t>
                        </w:r>
                        <w:r>
                          <w:rPr>
                            <w:b/>
                            <w:sz w:val="24"/>
                          </w:rPr>
                          <w:t>WINDT</w:t>
                        </w:r>
                      </w:p>
                    </w:tc>
                    <w:tc>
                      <w:tcPr>
                        <w:tcW w:w="3689" w:type="dxa"/>
                        <w:vMerge/>
                        <w:tcBorders>
                          <w:top w:val="nil"/>
                          <w:bottom w:val="nil"/>
                        </w:tcBorders>
                      </w:tcPr>
                      <w:p>
                        <w:pPr>
                          <w:rPr>
                            <w:sz w:val="2"/>
                            <w:szCs w:val="2"/>
                          </w:rPr>
                        </w:pPr>
                      </w:p>
                    </w:tc>
                  </w:tr>
                  <w:tr>
                    <w:trPr>
                      <w:trHeight w:val="520" w:hRule="atLeast"/>
                    </w:trPr>
                    <w:tc>
                      <w:tcPr>
                        <w:tcW w:w="5779" w:type="dxa"/>
                        <w:tcBorders>
                          <w:top w:val="nil"/>
                          <w:bottom w:val="nil"/>
                        </w:tcBorders>
                      </w:tcPr>
                      <w:p>
                        <w:pPr>
                          <w:pStyle w:val="TableParagraph"/>
                          <w:spacing w:before="119"/>
                          <w:rPr>
                            <w:b/>
                            <w:sz w:val="24"/>
                          </w:rPr>
                        </w:pPr>
                        <w:r>
                          <w:rPr>
                            <w:b/>
                            <w:sz w:val="24"/>
                          </w:rPr>
                          <w:t>V.</w:t>
                        </w:r>
                      </w:p>
                    </w:tc>
                    <w:tc>
                      <w:tcPr>
                        <w:tcW w:w="3689" w:type="dxa"/>
                        <w:tcBorders>
                          <w:top w:val="nil"/>
                          <w:bottom w:val="nil"/>
                        </w:tcBorders>
                      </w:tcPr>
                      <w:p>
                        <w:pPr>
                          <w:pStyle w:val="TableParagraph"/>
                          <w:ind w:left="0"/>
                          <w:rPr>
                            <w:rFonts w:ascii="Times New Roman"/>
                            <w:sz w:val="22"/>
                          </w:rPr>
                        </w:pPr>
                      </w:p>
                    </w:tc>
                  </w:tr>
                  <w:tr>
                    <w:trPr>
                      <w:trHeight w:val="802" w:hRule="atLeast"/>
                    </w:trPr>
                    <w:tc>
                      <w:tcPr>
                        <w:tcW w:w="5779" w:type="dxa"/>
                        <w:tcBorders>
                          <w:top w:val="nil"/>
                          <w:bottom w:val="nil"/>
                        </w:tcBorders>
                      </w:tcPr>
                      <w:p>
                        <w:pPr>
                          <w:pStyle w:val="TableParagraph"/>
                          <w:spacing w:before="119"/>
                          <w:ind w:right="704"/>
                          <w:rPr>
                            <w:b/>
                            <w:sz w:val="24"/>
                          </w:rPr>
                        </w:pPr>
                        <w:r>
                          <w:rPr>
                            <w:b/>
                            <w:sz w:val="24"/>
                          </w:rPr>
                          <w:t>DEFENDANTS: JVONNE BECERRIL &amp; AURELIO MEZA-CUEVAS</w:t>
                        </w:r>
                      </w:p>
                    </w:tc>
                    <w:tc>
                      <w:tcPr>
                        <w:tcW w:w="3689" w:type="dxa"/>
                        <w:tcBorders>
                          <w:top w:val="nil"/>
                          <w:bottom w:val="nil"/>
                        </w:tcBorders>
                      </w:tcPr>
                      <w:p>
                        <w:pPr>
                          <w:pStyle w:val="TableParagraph"/>
                          <w:numPr>
                            <w:ilvl w:val="0"/>
                            <w:numId w:val="1"/>
                          </w:numPr>
                          <w:tabs>
                            <w:tab w:pos="945" w:val="left" w:leader="none"/>
                            <w:tab w:pos="946" w:val="left" w:leader="none"/>
                          </w:tabs>
                          <w:spacing w:line="240" w:lineRule="auto" w:before="235" w:after="0"/>
                          <w:ind w:left="945" w:right="0" w:hanging="321"/>
                          <w:jc w:val="left"/>
                          <w:rPr>
                            <w:rFonts w:ascii="Wingdings" w:hAnsi="Wingdings"/>
                            <w:sz w:val="24"/>
                          </w:rPr>
                        </w:pPr>
                        <w:r>
                          <w:rPr>
                            <w:sz w:val="24"/>
                          </w:rPr>
                          <w:t>COURT USE ONLY</w:t>
                        </w:r>
                        <w:r>
                          <w:rPr>
                            <w:spacing w:val="50"/>
                            <w:sz w:val="24"/>
                          </w:rPr>
                          <w:t> </w:t>
                        </w:r>
                        <w:r>
                          <w:rPr>
                            <w:rFonts w:ascii="Wingdings" w:hAnsi="Wingdings"/>
                            <w:sz w:val="24"/>
                          </w:rPr>
                          <w:t></w:t>
                        </w:r>
                      </w:p>
                    </w:tc>
                  </w:tr>
                  <w:tr>
                    <w:trPr>
                      <w:trHeight w:val="521" w:hRule="atLeast"/>
                    </w:trPr>
                    <w:tc>
                      <w:tcPr>
                        <w:tcW w:w="5779" w:type="dxa"/>
                        <w:tcBorders>
                          <w:top w:val="nil"/>
                          <w:bottom w:val="nil"/>
                        </w:tcBorders>
                      </w:tcPr>
                      <w:p>
                        <w:pPr>
                          <w:pStyle w:val="TableParagraph"/>
                          <w:spacing w:before="121"/>
                          <w:rPr>
                            <w:b/>
                            <w:sz w:val="24"/>
                          </w:rPr>
                        </w:pPr>
                        <w:r>
                          <w:rPr>
                            <w:b/>
                            <w:sz w:val="24"/>
                          </w:rPr>
                          <w:t>&amp;</w:t>
                        </w:r>
                      </w:p>
                    </w:tc>
                    <w:tc>
                      <w:tcPr>
                        <w:tcW w:w="3689" w:type="dxa"/>
                        <w:tcBorders>
                          <w:top w:val="nil"/>
                          <w:bottom w:val="nil"/>
                        </w:tcBorders>
                      </w:tcPr>
                      <w:p>
                        <w:pPr>
                          <w:pStyle w:val="TableParagraph"/>
                          <w:ind w:left="0"/>
                          <w:rPr>
                            <w:rFonts w:ascii="Times New Roman"/>
                            <w:sz w:val="22"/>
                          </w:rPr>
                        </w:pPr>
                      </w:p>
                    </w:tc>
                  </w:tr>
                  <w:tr>
                    <w:trPr>
                      <w:trHeight w:val="801" w:hRule="atLeast"/>
                    </w:trPr>
                    <w:tc>
                      <w:tcPr>
                        <w:tcW w:w="5779" w:type="dxa"/>
                        <w:tcBorders>
                          <w:top w:val="nil"/>
                          <w:bottom w:val="nil"/>
                        </w:tcBorders>
                      </w:tcPr>
                      <w:p>
                        <w:pPr>
                          <w:pStyle w:val="TableParagraph"/>
                          <w:spacing w:before="119"/>
                          <w:ind w:right="198"/>
                          <w:rPr>
                            <w:b/>
                            <w:sz w:val="24"/>
                          </w:rPr>
                        </w:pPr>
                        <w:r>
                          <w:rPr>
                            <w:b/>
                            <w:sz w:val="24"/>
                          </w:rPr>
                          <w:t>DEFENDANTS:/THIRD PARTY PLAINTIFFS: IVONNE BECERRIL &amp; AURELIO MEZA-CUEVAS</w:t>
                        </w:r>
                      </w:p>
                    </w:tc>
                    <w:tc>
                      <w:tcPr>
                        <w:tcW w:w="3689" w:type="dxa"/>
                        <w:tcBorders>
                          <w:top w:val="nil"/>
                          <w:bottom w:val="nil"/>
                        </w:tcBorders>
                      </w:tcPr>
                      <w:p>
                        <w:pPr>
                          <w:pStyle w:val="TableParagraph"/>
                          <w:ind w:left="0"/>
                          <w:rPr>
                            <w:rFonts w:ascii="Times New Roman"/>
                            <w:sz w:val="22"/>
                          </w:rPr>
                        </w:pPr>
                      </w:p>
                    </w:tc>
                  </w:tr>
                  <w:tr>
                    <w:trPr>
                      <w:trHeight w:val="521" w:hRule="atLeast"/>
                    </w:trPr>
                    <w:tc>
                      <w:tcPr>
                        <w:tcW w:w="5779" w:type="dxa"/>
                        <w:tcBorders>
                          <w:top w:val="nil"/>
                          <w:bottom w:val="nil"/>
                        </w:tcBorders>
                      </w:tcPr>
                      <w:p>
                        <w:pPr>
                          <w:pStyle w:val="TableParagraph"/>
                          <w:spacing w:before="119"/>
                          <w:rPr>
                            <w:b/>
                            <w:sz w:val="24"/>
                          </w:rPr>
                        </w:pPr>
                        <w:r>
                          <w:rPr>
                            <w:b/>
                            <w:sz w:val="24"/>
                          </w:rPr>
                          <w:t>V.</w:t>
                        </w:r>
                      </w:p>
                    </w:tc>
                    <w:tc>
                      <w:tcPr>
                        <w:tcW w:w="3689" w:type="dxa"/>
                        <w:tcBorders>
                          <w:top w:val="nil"/>
                          <w:bottom w:val="nil"/>
                        </w:tcBorders>
                      </w:tcPr>
                      <w:p>
                        <w:pPr>
                          <w:pStyle w:val="TableParagraph"/>
                          <w:ind w:left="0"/>
                          <w:rPr>
                            <w:rFonts w:ascii="Times New Roman"/>
                            <w:sz w:val="22"/>
                          </w:rPr>
                        </w:pPr>
                      </w:p>
                    </w:tc>
                  </w:tr>
                  <w:tr>
                    <w:trPr>
                      <w:trHeight w:val="922" w:hRule="atLeast"/>
                    </w:trPr>
                    <w:tc>
                      <w:tcPr>
                        <w:tcW w:w="5779" w:type="dxa"/>
                        <w:tcBorders>
                          <w:top w:val="nil"/>
                        </w:tcBorders>
                      </w:tcPr>
                      <w:p>
                        <w:pPr>
                          <w:pStyle w:val="TableParagraph"/>
                          <w:spacing w:before="121"/>
                          <w:ind w:right="198"/>
                          <w:rPr>
                            <w:b/>
                            <w:sz w:val="24"/>
                          </w:rPr>
                        </w:pPr>
                        <w:r>
                          <w:rPr>
                            <w:b/>
                            <w:sz w:val="24"/>
                          </w:rPr>
                          <w:t>THIRD PARTY DEFENDANT/COUNTERCLAIMANT: KATHRYN WINDT</w:t>
                        </w:r>
                      </w:p>
                    </w:tc>
                    <w:tc>
                      <w:tcPr>
                        <w:tcW w:w="3689" w:type="dxa"/>
                        <w:tcBorders>
                          <w:top w:val="nil"/>
                        </w:tcBorders>
                      </w:tcPr>
                      <w:p>
                        <w:pPr>
                          <w:pStyle w:val="TableParagraph"/>
                          <w:ind w:left="0"/>
                          <w:rPr>
                            <w:rFonts w:ascii="Times New Roman"/>
                            <w:sz w:val="22"/>
                          </w:rPr>
                        </w:pPr>
                      </w:p>
                    </w:tc>
                  </w:tr>
                  <w:tr>
                    <w:trPr>
                      <w:trHeight w:val="1929" w:hRule="atLeast"/>
                    </w:trPr>
                    <w:tc>
                      <w:tcPr>
                        <w:tcW w:w="5779" w:type="dxa"/>
                      </w:tcPr>
                      <w:p>
                        <w:pPr>
                          <w:pStyle w:val="TableParagraph"/>
                          <w:tabs>
                            <w:tab w:pos="1547" w:val="left" w:leader="none"/>
                          </w:tabs>
                          <w:spacing w:before="119"/>
                          <w:rPr>
                            <w:b/>
                            <w:sz w:val="24"/>
                          </w:rPr>
                        </w:pPr>
                        <w:r>
                          <w:rPr>
                            <w:sz w:val="24"/>
                          </w:rPr>
                          <w:t>Name:</w:t>
                          <w:tab/>
                        </w:r>
                        <w:r>
                          <w:rPr>
                            <w:b/>
                            <w:sz w:val="24"/>
                          </w:rPr>
                          <w:t>T</w:t>
                        </w:r>
                        <w:r>
                          <w:rPr>
                            <w:b/>
                            <w:sz w:val="19"/>
                          </w:rPr>
                          <w:t>HE </w:t>
                        </w:r>
                        <w:r>
                          <w:rPr>
                            <w:b/>
                            <w:sz w:val="24"/>
                          </w:rPr>
                          <w:t>L</w:t>
                        </w:r>
                        <w:r>
                          <w:rPr>
                            <w:b/>
                            <w:sz w:val="19"/>
                          </w:rPr>
                          <w:t>AW </w:t>
                        </w:r>
                        <w:r>
                          <w:rPr>
                            <w:b/>
                            <w:sz w:val="24"/>
                          </w:rPr>
                          <w:t>F</w:t>
                        </w:r>
                        <w:r>
                          <w:rPr>
                            <w:b/>
                            <w:sz w:val="19"/>
                          </w:rPr>
                          <w:t>IRM OF </w:t>
                        </w:r>
                        <w:r>
                          <w:rPr>
                            <w:b/>
                            <w:sz w:val="24"/>
                          </w:rPr>
                          <w:t>S</w:t>
                        </w:r>
                        <w:r>
                          <w:rPr>
                            <w:b/>
                            <w:sz w:val="19"/>
                          </w:rPr>
                          <w:t>TEPHEN </w:t>
                        </w:r>
                        <w:r>
                          <w:rPr>
                            <w:b/>
                            <w:sz w:val="24"/>
                          </w:rPr>
                          <w:t>H. C</w:t>
                        </w:r>
                        <w:r>
                          <w:rPr>
                            <w:b/>
                            <w:sz w:val="19"/>
                          </w:rPr>
                          <w:t>OOK</w:t>
                        </w:r>
                        <w:r>
                          <w:rPr>
                            <w:b/>
                            <w:sz w:val="24"/>
                          </w:rPr>
                          <w:t>,</w:t>
                        </w:r>
                        <w:r>
                          <w:rPr>
                            <w:b/>
                            <w:spacing w:val="-34"/>
                            <w:sz w:val="24"/>
                          </w:rPr>
                          <w:t> </w:t>
                        </w:r>
                        <w:r>
                          <w:rPr>
                            <w:b/>
                            <w:sz w:val="24"/>
                          </w:rPr>
                          <w:t>P.C.</w:t>
                        </w:r>
                      </w:p>
                      <w:p>
                        <w:pPr>
                          <w:pStyle w:val="TableParagraph"/>
                          <w:tabs>
                            <w:tab w:pos="1547" w:val="left" w:leader="none"/>
                          </w:tabs>
                          <w:spacing w:before="2"/>
                          <w:ind w:left="1547" w:right="433" w:hanging="1440"/>
                          <w:rPr>
                            <w:sz w:val="24"/>
                          </w:rPr>
                        </w:pPr>
                        <w:r>
                          <w:rPr>
                            <w:sz w:val="24"/>
                          </w:rPr>
                          <w:t>Address:</w:t>
                          <w:tab/>
                          <w:t>2590 Trailridge Drive East, Suite</w:t>
                        </w:r>
                        <w:r>
                          <w:rPr>
                            <w:spacing w:val="-14"/>
                            <w:sz w:val="24"/>
                          </w:rPr>
                          <w:t> </w:t>
                        </w:r>
                        <w:r>
                          <w:rPr>
                            <w:sz w:val="24"/>
                          </w:rPr>
                          <w:t>202 Lafayette, Colorado</w:t>
                        </w:r>
                        <w:r>
                          <w:rPr>
                            <w:spacing w:val="51"/>
                            <w:sz w:val="24"/>
                          </w:rPr>
                          <w:t> </w:t>
                        </w:r>
                        <w:r>
                          <w:rPr>
                            <w:sz w:val="24"/>
                          </w:rPr>
                          <w:t>80026</w:t>
                        </w:r>
                      </w:p>
                      <w:p>
                        <w:pPr>
                          <w:pStyle w:val="TableParagraph"/>
                          <w:tabs>
                            <w:tab w:pos="1547" w:val="left" w:leader="none"/>
                          </w:tabs>
                          <w:spacing w:line="280" w:lineRule="exact"/>
                          <w:rPr>
                            <w:sz w:val="24"/>
                          </w:rPr>
                        </w:pPr>
                        <w:r>
                          <w:rPr>
                            <w:sz w:val="24"/>
                          </w:rPr>
                          <w:t>Telephone:</w:t>
                          <w:tab/>
                          <w:t>303-543-1000</w:t>
                        </w:r>
                      </w:p>
                      <w:p>
                        <w:pPr>
                          <w:pStyle w:val="TableParagraph"/>
                          <w:tabs>
                            <w:tab w:pos="1547" w:val="left" w:leader="none"/>
                          </w:tabs>
                          <w:spacing w:line="281" w:lineRule="exact"/>
                          <w:rPr>
                            <w:sz w:val="24"/>
                          </w:rPr>
                        </w:pPr>
                        <w:r>
                          <w:rPr>
                            <w:sz w:val="24"/>
                          </w:rPr>
                          <w:t>Facsimile:</w:t>
                          <w:tab/>
                          <w:t>303-543-8582</w:t>
                        </w:r>
                      </w:p>
                      <w:p>
                        <w:pPr>
                          <w:pStyle w:val="TableParagraph"/>
                          <w:tabs>
                            <w:tab w:pos="1547" w:val="left" w:leader="none"/>
                          </w:tabs>
                          <w:spacing w:line="281" w:lineRule="exact"/>
                          <w:rPr>
                            <w:sz w:val="24"/>
                          </w:rPr>
                        </w:pPr>
                        <w:r>
                          <w:rPr>
                            <w:sz w:val="24"/>
                          </w:rPr>
                          <w:t>Atty.</w:t>
                        </w:r>
                        <w:r>
                          <w:rPr>
                            <w:spacing w:val="-1"/>
                            <w:sz w:val="24"/>
                          </w:rPr>
                          <w:t> </w:t>
                        </w:r>
                        <w:r>
                          <w:rPr>
                            <w:sz w:val="24"/>
                          </w:rPr>
                          <w:t>Reg#:</w:t>
                          <w:tab/>
                          <w:t>Stephen H. Cook:</w:t>
                        </w:r>
                        <w:r>
                          <w:rPr>
                            <w:spacing w:val="49"/>
                            <w:sz w:val="24"/>
                          </w:rPr>
                          <w:t> </w:t>
                        </w:r>
                        <w:r>
                          <w:rPr>
                            <w:sz w:val="24"/>
                          </w:rPr>
                          <w:t>6692</w:t>
                        </w:r>
                      </w:p>
                    </w:tc>
                    <w:tc>
                      <w:tcPr>
                        <w:tcW w:w="3689" w:type="dxa"/>
                      </w:tcPr>
                      <w:p>
                        <w:pPr>
                          <w:pStyle w:val="TableParagraph"/>
                          <w:spacing w:before="1"/>
                          <w:ind w:left="0"/>
                          <w:rPr>
                            <w:i/>
                            <w:sz w:val="24"/>
                          </w:rPr>
                        </w:pPr>
                      </w:p>
                      <w:p>
                        <w:pPr>
                          <w:pStyle w:val="TableParagraph"/>
                          <w:ind w:left="105"/>
                          <w:rPr>
                            <w:sz w:val="24"/>
                          </w:rPr>
                        </w:pPr>
                        <w:r>
                          <w:rPr>
                            <w:sz w:val="24"/>
                          </w:rPr>
                          <w:t>Case No. 2015CV31808</w:t>
                        </w:r>
                      </w:p>
                      <w:p>
                        <w:pPr>
                          <w:pStyle w:val="TableParagraph"/>
                          <w:spacing w:before="11"/>
                          <w:ind w:left="0"/>
                          <w:rPr>
                            <w:i/>
                            <w:sz w:val="23"/>
                          </w:rPr>
                        </w:pPr>
                      </w:p>
                      <w:p>
                        <w:pPr>
                          <w:pStyle w:val="TableParagraph"/>
                          <w:ind w:left="105"/>
                          <w:rPr>
                            <w:sz w:val="24"/>
                          </w:rPr>
                        </w:pPr>
                        <w:r>
                          <w:rPr>
                            <w:sz w:val="24"/>
                          </w:rPr>
                          <w:t>Ctrm:</w:t>
                        </w:r>
                      </w:p>
                    </w:tc>
                  </w:tr>
                  <w:tr>
                    <w:trPr>
                      <w:trHeight w:val="791" w:hRule="atLeast"/>
                    </w:trPr>
                    <w:tc>
                      <w:tcPr>
                        <w:tcW w:w="9468" w:type="dxa"/>
                        <w:gridSpan w:val="2"/>
                      </w:tcPr>
                      <w:p>
                        <w:pPr>
                          <w:pStyle w:val="TableParagraph"/>
                          <w:spacing w:before="172"/>
                          <w:ind w:left="4134" w:hanging="4006"/>
                          <w:rPr>
                            <w:b/>
                            <w:sz w:val="19"/>
                          </w:rPr>
                        </w:pPr>
                        <w:r>
                          <w:rPr>
                            <w:b/>
                            <w:sz w:val="24"/>
                          </w:rPr>
                          <w:t>K</w:t>
                        </w:r>
                        <w:r>
                          <w:rPr>
                            <w:b/>
                            <w:sz w:val="19"/>
                          </w:rPr>
                          <w:t>ATHRYN </w:t>
                        </w:r>
                        <w:r>
                          <w:rPr>
                            <w:b/>
                            <w:sz w:val="24"/>
                          </w:rPr>
                          <w:t>W</w:t>
                        </w:r>
                        <w:r>
                          <w:rPr>
                            <w:b/>
                            <w:sz w:val="19"/>
                          </w:rPr>
                          <w:t>INDT</w:t>
                        </w:r>
                        <w:r>
                          <w:rPr>
                            <w:b/>
                            <w:sz w:val="24"/>
                          </w:rPr>
                          <w:t>’</w:t>
                        </w:r>
                        <w:r>
                          <w:rPr>
                            <w:b/>
                            <w:sz w:val="19"/>
                          </w:rPr>
                          <w:t>S </w:t>
                        </w:r>
                        <w:r>
                          <w:rPr>
                            <w:b/>
                            <w:sz w:val="24"/>
                          </w:rPr>
                          <w:t>R</w:t>
                        </w:r>
                        <w:r>
                          <w:rPr>
                            <w:b/>
                            <w:sz w:val="19"/>
                          </w:rPr>
                          <w:t>ESPONSE TO </w:t>
                        </w:r>
                        <w:r>
                          <w:rPr>
                            <w:b/>
                            <w:sz w:val="24"/>
                          </w:rPr>
                          <w:t>D</w:t>
                        </w:r>
                        <w:r>
                          <w:rPr>
                            <w:b/>
                            <w:sz w:val="19"/>
                          </w:rPr>
                          <w:t>EFENDANTS</w:t>
                        </w:r>
                        <w:r>
                          <w:rPr>
                            <w:b/>
                            <w:sz w:val="24"/>
                          </w:rPr>
                          <w:t>’ M</w:t>
                        </w:r>
                        <w:r>
                          <w:rPr>
                            <w:b/>
                            <w:sz w:val="19"/>
                          </w:rPr>
                          <w:t>OTION </w:t>
                        </w:r>
                        <w:r>
                          <w:rPr>
                            <w:b/>
                            <w:sz w:val="24"/>
                          </w:rPr>
                          <w:t>F</w:t>
                        </w:r>
                        <w:r>
                          <w:rPr>
                            <w:b/>
                            <w:sz w:val="19"/>
                          </w:rPr>
                          <w:t>OR </w:t>
                        </w:r>
                        <w:r>
                          <w:rPr>
                            <w:b/>
                            <w:sz w:val="24"/>
                          </w:rPr>
                          <w:t>S</w:t>
                        </w:r>
                        <w:r>
                          <w:rPr>
                            <w:b/>
                            <w:sz w:val="19"/>
                          </w:rPr>
                          <w:t>ANCTIONS </w:t>
                        </w:r>
                        <w:r>
                          <w:rPr>
                            <w:b/>
                            <w:sz w:val="24"/>
                          </w:rPr>
                          <w:t>F</w:t>
                        </w:r>
                        <w:r>
                          <w:rPr>
                            <w:b/>
                            <w:sz w:val="19"/>
                          </w:rPr>
                          <w:t>OR </w:t>
                        </w:r>
                        <w:r>
                          <w:rPr>
                            <w:b/>
                            <w:sz w:val="24"/>
                          </w:rPr>
                          <w:t>W</w:t>
                        </w:r>
                        <w:r>
                          <w:rPr>
                            <w:b/>
                            <w:sz w:val="19"/>
                          </w:rPr>
                          <w:t>INDT</w:t>
                        </w:r>
                        <w:r>
                          <w:rPr>
                            <w:b/>
                            <w:sz w:val="24"/>
                          </w:rPr>
                          <w:t>’</w:t>
                        </w:r>
                        <w:r>
                          <w:rPr>
                            <w:b/>
                            <w:sz w:val="19"/>
                          </w:rPr>
                          <w:t>S </w:t>
                        </w:r>
                        <w:r>
                          <w:rPr>
                            <w:b/>
                            <w:sz w:val="24"/>
                          </w:rPr>
                          <w:t>S</w:t>
                        </w:r>
                        <w:r>
                          <w:rPr>
                            <w:b/>
                            <w:sz w:val="19"/>
                          </w:rPr>
                          <w:t>POLIATION OF </w:t>
                        </w:r>
                        <w:r>
                          <w:rPr>
                            <w:b/>
                            <w:sz w:val="24"/>
                          </w:rPr>
                          <w:t>E</w:t>
                        </w:r>
                        <w:r>
                          <w:rPr>
                            <w:b/>
                            <w:sz w:val="19"/>
                          </w:rPr>
                          <w:t>VIDENCE</w:t>
                        </w:r>
                      </w:p>
                    </w:tc>
                  </w:tr>
                </w:tbl>
                <w:p>
                  <w:pPr>
                    <w:pStyle w:val="BodyText"/>
                  </w:pPr>
                </w:p>
              </w:txbxContent>
            </v:textbox>
            <w10:wrap type="none"/>
          </v:shape>
        </w:pict>
      </w:r>
      <w:r>
        <w:rPr>
          <w:rFonts w:ascii="Minion Pro"/>
          <w:color w:val="0000FF"/>
          <w:w w:val="105"/>
          <w:sz w:val="19"/>
        </w:rPr>
        <w:t>:57 PM</w:t>
      </w: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spacing w:before="5"/>
        <w:rPr>
          <w:rFonts w:ascii="Minion Pro"/>
          <w:sz w:val="38"/>
        </w:rPr>
      </w:pPr>
    </w:p>
    <w:p>
      <w:pPr>
        <w:pStyle w:val="BodyText"/>
        <w:ind w:left="940"/>
      </w:pPr>
      <w:r>
        <w:rPr/>
        <w:t>Kathryn Windt responds to Defendants’ motion for sanctions as follows:</w:t>
      </w:r>
    </w:p>
    <w:p>
      <w:pPr>
        <w:pStyle w:val="BodyText"/>
        <w:spacing w:before="10"/>
        <w:rPr>
          <w:sz w:val="23"/>
        </w:rPr>
      </w:pPr>
    </w:p>
    <w:p>
      <w:pPr>
        <w:spacing w:before="1"/>
        <w:ind w:left="4124" w:right="0" w:firstLine="0"/>
        <w:jc w:val="left"/>
        <w:rPr>
          <w:sz w:val="19"/>
        </w:rPr>
      </w:pPr>
      <w:r>
        <w:rPr>
          <w:sz w:val="24"/>
        </w:rPr>
        <w:t>R</w:t>
      </w:r>
      <w:r>
        <w:rPr>
          <w:sz w:val="19"/>
        </w:rPr>
        <w:t>ELEVANT </w:t>
      </w:r>
      <w:r>
        <w:rPr>
          <w:sz w:val="24"/>
        </w:rPr>
        <w:t>F</w:t>
      </w:r>
      <w:r>
        <w:rPr>
          <w:sz w:val="19"/>
        </w:rPr>
        <w:t>ACTS</w:t>
      </w:r>
    </w:p>
    <w:p>
      <w:pPr>
        <w:pStyle w:val="BodyText"/>
        <w:spacing w:before="1"/>
      </w:pPr>
    </w:p>
    <w:p>
      <w:pPr>
        <w:pStyle w:val="ListParagraph"/>
        <w:numPr>
          <w:ilvl w:val="0"/>
          <w:numId w:val="2"/>
        </w:numPr>
        <w:tabs>
          <w:tab w:pos="940" w:val="left" w:leader="none"/>
        </w:tabs>
        <w:spacing w:line="480" w:lineRule="auto" w:before="0" w:after="0"/>
        <w:ind w:left="220" w:right="994" w:firstLine="360"/>
        <w:jc w:val="left"/>
        <w:rPr>
          <w:i/>
          <w:sz w:val="24"/>
        </w:rPr>
      </w:pPr>
      <w:r>
        <w:rPr>
          <w:sz w:val="24"/>
        </w:rPr>
        <w:t>The collision giving rise to this action occurred on October 3, 2014. The collision involved vehicles driven, respectively, by Mrs. Windt and Mrs. Becerril. The collision occurred at the intersection of 104</w:t>
      </w:r>
      <w:r>
        <w:rPr>
          <w:position w:val="6"/>
          <w:sz w:val="16"/>
        </w:rPr>
        <w:t>th </w:t>
      </w:r>
      <w:r>
        <w:rPr>
          <w:sz w:val="24"/>
        </w:rPr>
        <w:t>Avenue and Fox Run in Thornton Colorado.</w:t>
      </w:r>
      <w:r>
        <w:rPr>
          <w:spacing w:val="2"/>
          <w:sz w:val="24"/>
        </w:rPr>
        <w:t> </w:t>
      </w:r>
      <w:r>
        <w:rPr>
          <w:i/>
          <w:sz w:val="24"/>
        </w:rPr>
        <w:t>Motion,</w:t>
      </w:r>
    </w:p>
    <w:p>
      <w:pPr>
        <w:spacing w:after="0" w:line="480" w:lineRule="auto"/>
        <w:jc w:val="left"/>
        <w:rPr>
          <w:sz w:val="24"/>
        </w:rPr>
        <w:sectPr>
          <w:type w:val="continuous"/>
          <w:pgSz w:w="12240" w:h="15840"/>
          <w:pgMar w:top="1500" w:bottom="280" w:left="1220" w:right="780"/>
        </w:sectPr>
      </w:pPr>
    </w:p>
    <w:p>
      <w:pPr>
        <w:pStyle w:val="BodyText"/>
        <w:spacing w:before="5"/>
        <w:rPr>
          <w:i/>
          <w:sz w:val="9"/>
        </w:rPr>
      </w:pPr>
    </w:p>
    <w:p>
      <w:pPr>
        <w:pStyle w:val="BodyText"/>
        <w:spacing w:line="480" w:lineRule="auto" w:before="100"/>
        <w:ind w:left="220" w:right="732"/>
      </w:pPr>
      <w:r>
        <w:rPr>
          <w:i/>
        </w:rPr>
        <w:t>Relevant Facts, #1. </w:t>
      </w:r>
      <w:r>
        <w:rPr/>
        <w:t>Mrs. Windt was traveling north on Fox Run. Ms. Becerril was traveling east on 104</w:t>
      </w:r>
      <w:r>
        <w:rPr>
          <w:position w:val="6"/>
          <w:sz w:val="16"/>
        </w:rPr>
        <w:t>th</w:t>
      </w:r>
      <w:r>
        <w:rPr/>
        <w:t>. They entered the intersection at right angles</w:t>
      </w:r>
      <w:hyperlink w:history="true" w:anchor="_bookmark0">
        <w:r>
          <w:rPr>
            <w:position w:val="6"/>
            <w:sz w:val="16"/>
          </w:rPr>
          <w:t>1</w:t>
        </w:r>
      </w:hyperlink>
      <w:r>
        <w:rPr/>
        <w:t>.</w:t>
      </w:r>
    </w:p>
    <w:p>
      <w:pPr>
        <w:pStyle w:val="ListParagraph"/>
        <w:numPr>
          <w:ilvl w:val="0"/>
          <w:numId w:val="2"/>
        </w:numPr>
        <w:tabs>
          <w:tab w:pos="940" w:val="left" w:leader="none"/>
        </w:tabs>
        <w:spacing w:line="279" w:lineRule="exact" w:before="0" w:after="0"/>
        <w:ind w:left="940" w:right="0" w:hanging="360"/>
        <w:jc w:val="left"/>
        <w:rPr>
          <w:sz w:val="24"/>
        </w:rPr>
      </w:pPr>
      <w:r>
        <w:rPr>
          <w:sz w:val="24"/>
        </w:rPr>
        <w:t>Both Mrs. Windt and Mrs. Becerril have testified that they each faced a green</w:t>
      </w:r>
      <w:r>
        <w:rPr>
          <w:spacing w:val="-18"/>
          <w:sz w:val="24"/>
        </w:rPr>
        <w:t> </w:t>
      </w:r>
      <w:r>
        <w:rPr>
          <w:sz w:val="24"/>
        </w:rPr>
        <w:t>light.</w:t>
      </w:r>
    </w:p>
    <w:p>
      <w:pPr>
        <w:pStyle w:val="BodyText"/>
        <w:spacing w:before="1"/>
      </w:pPr>
    </w:p>
    <w:p>
      <w:pPr>
        <w:spacing w:before="1"/>
        <w:ind w:left="220" w:right="0" w:firstLine="0"/>
        <w:jc w:val="left"/>
        <w:rPr>
          <w:sz w:val="24"/>
        </w:rPr>
      </w:pPr>
      <w:r>
        <w:rPr>
          <w:i/>
          <w:sz w:val="24"/>
        </w:rPr>
        <w:t>Id. </w:t>
      </w:r>
      <w:r>
        <w:rPr>
          <w:sz w:val="24"/>
        </w:rPr>
        <w:t>#3-4.</w:t>
      </w:r>
    </w:p>
    <w:p>
      <w:pPr>
        <w:pStyle w:val="BodyText"/>
        <w:spacing w:before="10"/>
        <w:rPr>
          <w:sz w:val="23"/>
        </w:rPr>
      </w:pPr>
    </w:p>
    <w:p>
      <w:pPr>
        <w:pStyle w:val="ListParagraph"/>
        <w:numPr>
          <w:ilvl w:val="0"/>
          <w:numId w:val="2"/>
        </w:numPr>
        <w:tabs>
          <w:tab w:pos="940" w:val="left" w:leader="none"/>
        </w:tabs>
        <w:spacing w:line="240" w:lineRule="auto" w:before="0" w:after="0"/>
        <w:ind w:left="940" w:right="0" w:hanging="360"/>
        <w:jc w:val="left"/>
        <w:rPr>
          <w:sz w:val="24"/>
        </w:rPr>
      </w:pPr>
      <w:r>
        <w:rPr>
          <w:sz w:val="24"/>
        </w:rPr>
        <w:t>Mrs. Windt is a school bus driver for the past 12 years. </w:t>
      </w:r>
      <w:r>
        <w:rPr>
          <w:i/>
          <w:sz w:val="24"/>
        </w:rPr>
        <w:t>Exhibit 1, </w:t>
      </w:r>
      <w:r>
        <w:rPr>
          <w:sz w:val="24"/>
        </w:rPr>
        <w:t>Windt Dep.</w:t>
      </w:r>
      <w:r>
        <w:rPr>
          <w:spacing w:val="-17"/>
          <w:sz w:val="24"/>
        </w:rPr>
        <w:t> </w:t>
      </w:r>
      <w:r>
        <w:rPr>
          <w:sz w:val="24"/>
        </w:rPr>
        <w:t>9:6-10.</w:t>
      </w:r>
    </w:p>
    <w:p>
      <w:pPr>
        <w:pStyle w:val="BodyText"/>
        <w:spacing w:before="1"/>
      </w:pPr>
    </w:p>
    <w:p>
      <w:pPr>
        <w:pStyle w:val="BodyText"/>
        <w:spacing w:line="480" w:lineRule="auto"/>
        <w:ind w:left="220" w:right="732"/>
      </w:pPr>
      <w:r>
        <w:rPr/>
        <w:t>She was driving through an intersection near her house. </w:t>
      </w:r>
      <w:r>
        <w:rPr>
          <w:i/>
        </w:rPr>
        <w:t>Id. </w:t>
      </w:r>
      <w:r>
        <w:rPr/>
        <w:t>at 23:11-17.  On the other hand, Ms. Becerril has admitted she was on her cell phone, getting driving directions as she entered the intersection. </w:t>
      </w:r>
      <w:r>
        <w:rPr>
          <w:i/>
        </w:rPr>
        <w:t>Exhibit 2, </w:t>
      </w:r>
      <w:r>
        <w:rPr/>
        <w:t>Becerril Dep. 35:10-18 (talking on phone receiving directions); </w:t>
      </w:r>
      <w:r>
        <w:rPr>
          <w:i/>
        </w:rPr>
        <w:t>Exhibit 3, </w:t>
      </w:r>
      <w:r>
        <w:rPr/>
        <w:t>Traffic Accident Report (driving</w:t>
      </w:r>
      <w:r>
        <w:rPr>
          <w:spacing w:val="-5"/>
        </w:rPr>
        <w:t> </w:t>
      </w:r>
      <w:r>
        <w:rPr/>
        <w:t>east).</w:t>
      </w:r>
    </w:p>
    <w:p>
      <w:pPr>
        <w:pStyle w:val="ListParagraph"/>
        <w:numPr>
          <w:ilvl w:val="0"/>
          <w:numId w:val="2"/>
        </w:numPr>
        <w:tabs>
          <w:tab w:pos="940" w:val="left" w:leader="none"/>
        </w:tabs>
        <w:spacing w:line="240" w:lineRule="auto" w:before="1" w:after="0"/>
        <w:ind w:left="940" w:right="0" w:hanging="360"/>
        <w:jc w:val="left"/>
        <w:rPr>
          <w:sz w:val="24"/>
        </w:rPr>
      </w:pPr>
      <w:r>
        <w:rPr>
          <w:sz w:val="24"/>
        </w:rPr>
        <w:t>The disputed issue as to liability for the collision is who had the green</w:t>
      </w:r>
      <w:r>
        <w:rPr>
          <w:spacing w:val="-17"/>
          <w:sz w:val="24"/>
        </w:rPr>
        <w:t> </w:t>
      </w:r>
      <w:r>
        <w:rPr>
          <w:sz w:val="24"/>
        </w:rPr>
        <w:t>light.</w:t>
      </w:r>
    </w:p>
    <w:p>
      <w:pPr>
        <w:pStyle w:val="BodyText"/>
        <w:spacing w:before="10"/>
        <w:rPr>
          <w:sz w:val="23"/>
        </w:rPr>
      </w:pPr>
    </w:p>
    <w:p>
      <w:pPr>
        <w:pStyle w:val="ListParagraph"/>
        <w:numPr>
          <w:ilvl w:val="0"/>
          <w:numId w:val="2"/>
        </w:numPr>
        <w:tabs>
          <w:tab w:pos="940" w:val="left" w:leader="none"/>
        </w:tabs>
        <w:spacing w:line="480" w:lineRule="auto" w:before="0" w:after="0"/>
        <w:ind w:left="220" w:right="870" w:firstLine="360"/>
        <w:jc w:val="left"/>
        <w:rPr>
          <w:sz w:val="24"/>
        </w:rPr>
      </w:pPr>
      <w:r>
        <w:rPr>
          <w:sz w:val="24"/>
        </w:rPr>
        <w:t>After the collision, Mrs. Windt never again had possession of her car. </w:t>
      </w:r>
      <w:r>
        <w:rPr>
          <w:i/>
          <w:sz w:val="24"/>
        </w:rPr>
        <w:t>Exhibit 4, </w:t>
      </w:r>
      <w:r>
        <w:rPr>
          <w:sz w:val="24"/>
        </w:rPr>
        <w:t>Windt Affidavit, ¶5. She gathered her personal belongings from the car in the weeks after the collision. </w:t>
      </w:r>
      <w:r>
        <w:rPr>
          <w:i/>
          <w:sz w:val="24"/>
        </w:rPr>
        <w:t>Id. </w:t>
      </w:r>
      <w:r>
        <w:rPr>
          <w:sz w:val="24"/>
        </w:rPr>
        <w:t>She never saw her car again. </w:t>
      </w:r>
      <w:r>
        <w:rPr>
          <w:i/>
          <w:sz w:val="24"/>
        </w:rPr>
        <w:t>Id. </w:t>
      </w:r>
      <w:r>
        <w:rPr>
          <w:sz w:val="24"/>
        </w:rPr>
        <w:t>Her car was controlled by American Family Insurance, who provided Mrs. Windt’s collision coverage. It evaluated the car as a total loss not worth repairing. </w:t>
      </w:r>
      <w:r>
        <w:rPr>
          <w:i/>
          <w:sz w:val="24"/>
        </w:rPr>
        <w:t>Id</w:t>
      </w:r>
      <w:r>
        <w:rPr>
          <w:sz w:val="24"/>
        </w:rPr>
        <w:t>, ¶3. It salvaged the</w:t>
      </w:r>
      <w:r>
        <w:rPr>
          <w:spacing w:val="-6"/>
          <w:sz w:val="24"/>
        </w:rPr>
        <w:t> </w:t>
      </w:r>
      <w:r>
        <w:rPr>
          <w:sz w:val="24"/>
        </w:rPr>
        <w:t>vehicle.</w:t>
      </w:r>
    </w:p>
    <w:p>
      <w:pPr>
        <w:pStyle w:val="ListParagraph"/>
        <w:numPr>
          <w:ilvl w:val="0"/>
          <w:numId w:val="2"/>
        </w:numPr>
        <w:tabs>
          <w:tab w:pos="940" w:val="left" w:leader="none"/>
        </w:tabs>
        <w:spacing w:line="480" w:lineRule="auto" w:before="2" w:after="0"/>
        <w:ind w:left="220" w:right="997" w:firstLine="360"/>
        <w:jc w:val="left"/>
        <w:rPr>
          <w:i/>
          <w:sz w:val="24"/>
        </w:rPr>
      </w:pPr>
      <w:r>
        <w:rPr>
          <w:sz w:val="24"/>
        </w:rPr>
        <w:t>A complaint in subrogation was filed by American Family, Mrs. Windt’s insurance carrier, against Defendants on November 6, 2015. This was for property damage to the Windt vehicle which had been paid for by American Family. </w:t>
      </w:r>
      <w:r>
        <w:rPr>
          <w:i/>
          <w:sz w:val="24"/>
        </w:rPr>
        <w:t>Complaint, </w:t>
      </w:r>
      <w:r>
        <w:rPr>
          <w:sz w:val="24"/>
        </w:rPr>
        <w:t>filing ID 77CA3ADD2D625. Mrs. Windt was not a party to that action.</w:t>
      </w:r>
      <w:r>
        <w:rPr>
          <w:spacing w:val="47"/>
          <w:sz w:val="24"/>
        </w:rPr>
        <w:t> </w:t>
      </w:r>
      <w:r>
        <w:rPr>
          <w:i/>
          <w:sz w:val="24"/>
        </w:rPr>
        <w:t>Id.</w:t>
      </w:r>
    </w:p>
    <w:p>
      <w:pPr>
        <w:pStyle w:val="ListParagraph"/>
        <w:numPr>
          <w:ilvl w:val="0"/>
          <w:numId w:val="2"/>
        </w:numPr>
        <w:tabs>
          <w:tab w:pos="940" w:val="left" w:leader="none"/>
        </w:tabs>
        <w:spacing w:line="480" w:lineRule="auto" w:before="0" w:after="0"/>
        <w:ind w:left="220" w:right="876" w:firstLine="360"/>
        <w:jc w:val="both"/>
        <w:rPr>
          <w:sz w:val="24"/>
        </w:rPr>
      </w:pPr>
      <w:r>
        <w:rPr/>
        <w:pict>
          <v:line style="position:absolute;mso-position-horizontal-relative:page;mso-position-vertical-relative:paragraph;z-index:-6688" from="72pt,81.902344pt" to="216pt,81.902344pt" stroked="true" strokeweight=".6pt" strokecolor="#000000">
            <v:stroke dashstyle="solid"/>
            <w10:wrap type="none"/>
          </v:line>
        </w:pict>
      </w:r>
      <w:r>
        <w:rPr>
          <w:sz w:val="24"/>
        </w:rPr>
        <w:t>On December 23, 2015 Defendants filed a third-party claim against Mrs. Windt for personal injuries and property damage. </w:t>
      </w:r>
      <w:r>
        <w:rPr>
          <w:i/>
          <w:sz w:val="24"/>
        </w:rPr>
        <w:t>Answer, Jury Demand, and Third-Party Complaint, </w:t>
      </w:r>
      <w:r>
        <w:rPr>
          <w:sz w:val="24"/>
        </w:rPr>
        <w:t>filing ID</w:t>
      </w:r>
      <w:r>
        <w:rPr>
          <w:spacing w:val="-4"/>
          <w:sz w:val="24"/>
        </w:rPr>
        <w:t> </w:t>
      </w:r>
      <w:r>
        <w:rPr>
          <w:sz w:val="24"/>
        </w:rPr>
        <w:t>1C35E9B161609.</w:t>
      </w:r>
    </w:p>
    <w:p>
      <w:pPr>
        <w:spacing w:before="54"/>
        <w:ind w:left="220" w:right="975" w:hanging="1"/>
        <w:jc w:val="left"/>
        <w:rPr>
          <w:sz w:val="20"/>
        </w:rPr>
      </w:pPr>
      <w:bookmarkStart w:name="_bookmark0" w:id="1"/>
      <w:bookmarkEnd w:id="1"/>
      <w:r>
        <w:rPr/>
      </w:r>
      <w:r>
        <w:rPr>
          <w:position w:val="5"/>
          <w:sz w:val="13"/>
        </w:rPr>
        <w:t>1 </w:t>
      </w:r>
      <w:r>
        <w:rPr>
          <w:sz w:val="20"/>
        </w:rPr>
        <w:t>Defendants’ Motion at p 2 inaccurately states that the parties entered the intersection “from the opposite direction.”</w:t>
      </w:r>
    </w:p>
    <w:p>
      <w:pPr>
        <w:spacing w:after="0"/>
        <w:jc w:val="left"/>
        <w:rPr>
          <w:sz w:val="20"/>
        </w:rPr>
        <w:sectPr>
          <w:footerReference w:type="default" r:id="rId5"/>
          <w:pgSz w:w="12240" w:h="15840"/>
          <w:pgMar w:footer="948" w:header="0" w:top="1500" w:bottom="1140" w:left="1220" w:right="780"/>
          <w:pgNumType w:start="2"/>
        </w:sectPr>
      </w:pPr>
    </w:p>
    <w:p>
      <w:pPr>
        <w:pStyle w:val="BodyText"/>
        <w:spacing w:before="5"/>
        <w:rPr>
          <w:sz w:val="9"/>
        </w:rPr>
      </w:pPr>
    </w:p>
    <w:p>
      <w:pPr>
        <w:pStyle w:val="ListParagraph"/>
        <w:numPr>
          <w:ilvl w:val="0"/>
          <w:numId w:val="2"/>
        </w:numPr>
        <w:tabs>
          <w:tab w:pos="940" w:val="left" w:leader="none"/>
        </w:tabs>
        <w:spacing w:line="480" w:lineRule="auto" w:before="100" w:after="0"/>
        <w:ind w:left="220" w:right="1006" w:firstLine="360"/>
        <w:jc w:val="left"/>
        <w:rPr>
          <w:sz w:val="24"/>
        </w:rPr>
      </w:pPr>
      <w:r>
        <w:rPr>
          <w:sz w:val="24"/>
        </w:rPr>
        <w:t>On January 18, 2016 Mrs. Windt filed a counterclaim for personal injuries against Defendants. </w:t>
      </w:r>
      <w:r>
        <w:rPr>
          <w:i/>
          <w:sz w:val="24"/>
        </w:rPr>
        <w:t>Counterclaims Against Third Party Plaintiffs, </w:t>
      </w:r>
      <w:r>
        <w:rPr>
          <w:sz w:val="24"/>
        </w:rPr>
        <w:t>filing ID</w:t>
      </w:r>
      <w:r>
        <w:rPr>
          <w:spacing w:val="-20"/>
          <w:sz w:val="24"/>
        </w:rPr>
        <w:t> </w:t>
      </w:r>
      <w:r>
        <w:rPr>
          <w:sz w:val="24"/>
        </w:rPr>
        <w:t>C2548E97B1C04.</w:t>
      </w:r>
    </w:p>
    <w:p>
      <w:pPr>
        <w:pStyle w:val="ListParagraph"/>
        <w:numPr>
          <w:ilvl w:val="0"/>
          <w:numId w:val="2"/>
        </w:numPr>
        <w:tabs>
          <w:tab w:pos="940" w:val="left" w:leader="none"/>
        </w:tabs>
        <w:spacing w:line="480" w:lineRule="auto" w:before="0" w:after="0"/>
        <w:ind w:left="220" w:right="704" w:firstLine="360"/>
        <w:jc w:val="left"/>
        <w:rPr>
          <w:sz w:val="24"/>
        </w:rPr>
      </w:pPr>
      <w:r>
        <w:rPr>
          <w:sz w:val="24"/>
        </w:rPr>
        <w:t>Defendants never communicated any desire to review information from any “event data recorder” until November 28, 2016, more than two-years after the collision and over a year after litigation commenced. </w:t>
      </w:r>
      <w:r>
        <w:rPr>
          <w:i/>
          <w:sz w:val="24"/>
        </w:rPr>
        <w:t>Exhibit 5, </w:t>
      </w:r>
      <w:r>
        <w:rPr>
          <w:sz w:val="24"/>
        </w:rPr>
        <w:t>email string discussing “black</w:t>
      </w:r>
      <w:r>
        <w:rPr>
          <w:spacing w:val="-14"/>
          <w:sz w:val="24"/>
        </w:rPr>
        <w:t> </w:t>
      </w:r>
      <w:r>
        <w:rPr>
          <w:sz w:val="24"/>
        </w:rPr>
        <w:t>box”.</w:t>
      </w:r>
    </w:p>
    <w:p>
      <w:pPr>
        <w:pStyle w:val="ListParagraph"/>
        <w:numPr>
          <w:ilvl w:val="0"/>
          <w:numId w:val="2"/>
        </w:numPr>
        <w:tabs>
          <w:tab w:pos="940" w:val="left" w:leader="none"/>
        </w:tabs>
        <w:spacing w:line="480" w:lineRule="auto" w:before="0" w:after="0"/>
        <w:ind w:left="220" w:right="902" w:firstLine="360"/>
        <w:jc w:val="left"/>
        <w:rPr>
          <w:sz w:val="24"/>
        </w:rPr>
      </w:pPr>
      <w:r>
        <w:rPr>
          <w:sz w:val="24"/>
        </w:rPr>
        <w:t>Defendants never asked to inspect Mrs. Windt’s vehicle at any time after the collision occurred. Defendants did not send or serve a letter or other communication at any time to American Family, or Mrs. Windt, asking for preservation of as event data recorder. Defendants themselves made no effort to inspect or obtain such an</w:t>
      </w:r>
      <w:r>
        <w:rPr>
          <w:spacing w:val="-34"/>
          <w:sz w:val="24"/>
        </w:rPr>
        <w:t> </w:t>
      </w:r>
      <w:r>
        <w:rPr>
          <w:sz w:val="24"/>
        </w:rPr>
        <w:t>instrument.</w:t>
      </w:r>
    </w:p>
    <w:p>
      <w:pPr>
        <w:pStyle w:val="ListParagraph"/>
        <w:numPr>
          <w:ilvl w:val="0"/>
          <w:numId w:val="2"/>
        </w:numPr>
        <w:tabs>
          <w:tab w:pos="940" w:val="left" w:leader="none"/>
        </w:tabs>
        <w:spacing w:line="240" w:lineRule="auto" w:before="0" w:after="0"/>
        <w:ind w:left="940" w:right="0" w:hanging="360"/>
        <w:jc w:val="left"/>
        <w:rPr>
          <w:sz w:val="24"/>
        </w:rPr>
      </w:pPr>
      <w:r>
        <w:rPr>
          <w:sz w:val="24"/>
        </w:rPr>
        <w:t>Mrs. Windt has no understanding of what an “event data recorder” is. Affidavit</w:t>
      </w:r>
      <w:r>
        <w:rPr>
          <w:spacing w:val="-15"/>
          <w:sz w:val="24"/>
        </w:rPr>
        <w:t> </w:t>
      </w:r>
      <w:r>
        <w:rPr>
          <w:sz w:val="24"/>
        </w:rPr>
        <w:t>at</w:t>
      </w:r>
    </w:p>
    <w:p>
      <w:pPr>
        <w:pStyle w:val="BodyText"/>
        <w:spacing w:before="10"/>
        <w:rPr>
          <w:sz w:val="23"/>
        </w:rPr>
      </w:pPr>
    </w:p>
    <w:p>
      <w:pPr>
        <w:pStyle w:val="BodyText"/>
        <w:spacing w:line="480" w:lineRule="auto"/>
        <w:ind w:left="219" w:right="732"/>
        <w:rPr>
          <w:i/>
        </w:rPr>
      </w:pPr>
      <w:r>
        <w:rPr/>
        <w:t>¶6. She does not know how to “download” information from it. </w:t>
      </w:r>
      <w:r>
        <w:rPr>
          <w:i/>
        </w:rPr>
        <w:t>Id. </w:t>
      </w:r>
      <w:r>
        <w:rPr/>
        <w:t>She was unaware that her car even had one, if it did. </w:t>
      </w:r>
      <w:r>
        <w:rPr>
          <w:i/>
        </w:rPr>
        <w:t>Id.</w:t>
      </w:r>
    </w:p>
    <w:p>
      <w:pPr>
        <w:pStyle w:val="ListParagraph"/>
        <w:numPr>
          <w:ilvl w:val="0"/>
          <w:numId w:val="2"/>
        </w:numPr>
        <w:tabs>
          <w:tab w:pos="940" w:val="left" w:leader="none"/>
        </w:tabs>
        <w:spacing w:line="480" w:lineRule="auto" w:before="0" w:after="0"/>
        <w:ind w:left="220" w:right="908" w:firstLine="360"/>
        <w:jc w:val="left"/>
        <w:rPr>
          <w:sz w:val="24"/>
        </w:rPr>
      </w:pPr>
      <w:r>
        <w:rPr>
          <w:sz w:val="24"/>
        </w:rPr>
        <w:t>Mrs. Windt has never heard from anyone about preserving information that</w:t>
      </w:r>
      <w:r>
        <w:rPr>
          <w:spacing w:val="-28"/>
          <w:sz w:val="24"/>
        </w:rPr>
        <w:t> </w:t>
      </w:r>
      <w:r>
        <w:rPr>
          <w:sz w:val="24"/>
        </w:rPr>
        <w:t>might come from an “event data recorder”. </w:t>
      </w:r>
      <w:r>
        <w:rPr>
          <w:i/>
          <w:sz w:val="24"/>
        </w:rPr>
        <w:t>Id. </w:t>
      </w:r>
      <w:r>
        <w:rPr>
          <w:sz w:val="24"/>
        </w:rPr>
        <w:t>at</w:t>
      </w:r>
      <w:r>
        <w:rPr>
          <w:spacing w:val="-3"/>
          <w:sz w:val="24"/>
        </w:rPr>
        <w:t> </w:t>
      </w:r>
      <w:r>
        <w:rPr>
          <w:sz w:val="24"/>
        </w:rPr>
        <w:t>¶7.</w:t>
      </w:r>
    </w:p>
    <w:p>
      <w:pPr>
        <w:spacing w:before="1"/>
        <w:ind w:left="4573" w:right="0" w:firstLine="0"/>
        <w:jc w:val="left"/>
        <w:rPr>
          <w:sz w:val="19"/>
        </w:rPr>
      </w:pPr>
      <w:r>
        <w:rPr>
          <w:sz w:val="24"/>
        </w:rPr>
        <w:t>A</w:t>
      </w:r>
      <w:r>
        <w:rPr>
          <w:sz w:val="19"/>
        </w:rPr>
        <w:t>RGUMENT</w:t>
      </w:r>
    </w:p>
    <w:p>
      <w:pPr>
        <w:pStyle w:val="BodyText"/>
        <w:spacing w:before="1"/>
      </w:pPr>
    </w:p>
    <w:p>
      <w:pPr>
        <w:pStyle w:val="BodyText"/>
        <w:spacing w:line="480" w:lineRule="auto"/>
        <w:ind w:left="219" w:right="723" w:firstLine="720"/>
      </w:pPr>
      <w:r>
        <w:rPr/>
        <w:t>Mrs. Windt first notes that defendant’s motion is characterized as a request for sanctions “for Windt’s spoliation of evidence.” Of course, Mrs. Windt did not destroy the car after it was salvaged. If anyone did, that was American Family. Generally, sanctions for pre-complaint destruction of evidence are only available in limited circumstance, one of which is where spoliator is the party against whom the sanction is sought. </w:t>
      </w:r>
      <w:r>
        <w:rPr>
          <w:i/>
        </w:rPr>
        <w:t>Castillo v. Chief </w:t>
      </w:r>
      <w:r>
        <w:rPr>
          <w:i/>
        </w:rPr>
        <w:t>Alternative, LLC, </w:t>
      </w:r>
      <w:r>
        <w:rPr/>
        <w:t>140 P.3d 234, 237 (Colo. App 2006). Since Mrs. Windt was not the person in possession of the vehicle at the time it was allegedly destroyed, sanctions are not available against</w:t>
      </w:r>
      <w:r>
        <w:rPr>
          <w:spacing w:val="-1"/>
        </w:rPr>
        <w:t> </w:t>
      </w:r>
      <w:r>
        <w:rPr/>
        <w:t>her.</w:t>
      </w:r>
    </w:p>
    <w:p>
      <w:pPr>
        <w:spacing w:after="0" w:line="480" w:lineRule="auto"/>
        <w:sectPr>
          <w:pgSz w:w="12240" w:h="15840"/>
          <w:pgMar w:header="0" w:footer="948" w:top="1500" w:bottom="1220" w:left="1220" w:right="780"/>
        </w:sectPr>
      </w:pPr>
    </w:p>
    <w:p>
      <w:pPr>
        <w:pStyle w:val="BodyText"/>
        <w:spacing w:before="5"/>
        <w:rPr>
          <w:sz w:val="9"/>
        </w:rPr>
      </w:pPr>
    </w:p>
    <w:p>
      <w:pPr>
        <w:spacing w:line="480" w:lineRule="auto" w:before="100"/>
        <w:ind w:left="220" w:right="651" w:firstLine="720"/>
        <w:jc w:val="left"/>
        <w:rPr>
          <w:sz w:val="24"/>
        </w:rPr>
      </w:pPr>
      <w:r>
        <w:rPr>
          <w:i/>
          <w:sz w:val="24"/>
        </w:rPr>
        <w:t>Defendants have failed to make a showing that any information that was allegedly </w:t>
      </w:r>
      <w:r>
        <w:rPr>
          <w:i/>
          <w:sz w:val="24"/>
        </w:rPr>
        <w:t>available from the “event data recorder” was relevant to a disputed issue: </w:t>
      </w:r>
      <w:r>
        <w:rPr>
          <w:sz w:val="24"/>
        </w:rPr>
        <w:t>Without stating its proposed contents, Defendants seek an adverse inference instruction because of a claim that Mrs. Windt was “grossly negligent” in failing to “download” information from an “event data recorder” that Defendants’ counsel believes was installed in her car. </w:t>
      </w:r>
      <w:r>
        <w:rPr>
          <w:i/>
          <w:sz w:val="24"/>
        </w:rPr>
        <w:t>Motion</w:t>
      </w:r>
      <w:r>
        <w:rPr>
          <w:sz w:val="24"/>
        </w:rPr>
        <w:t>, p. 6.</w:t>
      </w:r>
    </w:p>
    <w:p>
      <w:pPr>
        <w:pStyle w:val="BodyText"/>
        <w:spacing w:line="280" w:lineRule="exact"/>
        <w:ind w:left="220"/>
      </w:pPr>
      <w:r>
        <w:rPr/>
        <w:t>Defendants fail to meet their burden to receive such an instruction.</w:t>
      </w:r>
    </w:p>
    <w:p>
      <w:pPr>
        <w:pStyle w:val="BodyText"/>
        <w:spacing w:before="11"/>
        <w:rPr>
          <w:sz w:val="23"/>
        </w:rPr>
      </w:pPr>
    </w:p>
    <w:p>
      <w:pPr>
        <w:pStyle w:val="BodyText"/>
        <w:spacing w:line="480" w:lineRule="auto"/>
        <w:ind w:left="220" w:right="803" w:firstLine="720"/>
        <w:rPr>
          <w:i/>
        </w:rPr>
      </w:pPr>
      <w:r>
        <w:rPr/>
        <w:t>Defendants note that an adverse instruction is only warranted when the lost evidence is relevant to a contested issue at trial. </w:t>
      </w:r>
      <w:r>
        <w:rPr>
          <w:i/>
        </w:rPr>
        <w:t>Motion, </w:t>
      </w:r>
      <w:r>
        <w:rPr/>
        <w:t>p. 5, citing </w:t>
      </w:r>
      <w:r>
        <w:rPr>
          <w:i/>
        </w:rPr>
        <w:t>Aloi v. Union Pacific, </w:t>
      </w:r>
      <w:r>
        <w:rPr/>
        <w:t>129 P.3d 999, 1002 (Colo. 2006). Here, assuming </w:t>
      </w:r>
      <w:r>
        <w:rPr>
          <w:i/>
        </w:rPr>
        <w:t>arguendo, </w:t>
      </w:r>
      <w:r>
        <w:rPr/>
        <w:t>that data existed</w:t>
      </w:r>
      <w:hyperlink w:history="true" w:anchor="_bookmark1">
        <w:r>
          <w:rPr>
            <w:position w:val="6"/>
            <w:sz w:val="16"/>
          </w:rPr>
          <w:t>2</w:t>
        </w:r>
      </w:hyperlink>
      <w:r>
        <w:rPr/>
        <w:t>, it is not relevant to a contested issue at trial. Defendants argue that the event data recorder would have shown Mrs. Windt’s speed, acceleration, and braking. </w:t>
      </w:r>
      <w:r>
        <w:rPr>
          <w:i/>
        </w:rPr>
        <w:t>Motion, Relevant Facts, 7.</w:t>
      </w:r>
    </w:p>
    <w:p>
      <w:pPr>
        <w:pStyle w:val="BodyText"/>
        <w:spacing w:line="480" w:lineRule="auto" w:before="1"/>
        <w:ind w:left="220" w:right="681"/>
      </w:pPr>
      <w:r>
        <w:rPr/>
        <w:t>However, Defendants recite no basis in support of their contention. First, no affidavit from a qualified expert, or anyone else, is offered to establish what information the data</w:t>
      </w:r>
      <w:r>
        <w:rPr>
          <w:spacing w:val="-38"/>
        </w:rPr>
        <w:t> </w:t>
      </w:r>
      <w:r>
        <w:rPr/>
        <w:t>recorder might show. Second, no evidence or affidavit is presented to establish how the data allegedly available from an event data recorder would assist the jury in determining the color of the traffic lights. Defendants’ argue that such data might have revealed “information which would have been useful to any accident reconstruction expert analyzing the case.” </w:t>
      </w:r>
      <w:r>
        <w:rPr>
          <w:i/>
        </w:rPr>
        <w:t>Motion</w:t>
      </w:r>
      <w:r>
        <w:rPr/>
        <w:t>, p. 5. However, that is merely argument of counsel. Defendants have submitted no affidavit from a qualified expert that substantiates its argument. There is no showing by Defendants that the alleged data makes it more or less probable that Mrs. Windt, or Mrs. Becerril, had a green light.  Even if there was information from the event data recorder, Defendants have not established that such information is relevant to</w:t>
      </w:r>
      <w:r>
        <w:rPr>
          <w:spacing w:val="-17"/>
        </w:rPr>
        <w:t> </w:t>
      </w:r>
      <w:r>
        <w:rPr/>
        <w:t>a</w:t>
      </w:r>
    </w:p>
    <w:p>
      <w:pPr>
        <w:pStyle w:val="BodyText"/>
        <w:spacing w:before="9"/>
        <w:rPr>
          <w:sz w:val="11"/>
        </w:rPr>
      </w:pPr>
      <w:r>
        <w:rPr/>
        <w:pict>
          <v:line style="position:absolute;mso-position-horizontal-relative:page;mso-position-vertical-relative:paragraph;z-index:-976;mso-wrap-distance-left:0;mso-wrap-distance-right:0" from="72pt,9.196875pt" to="216pt,9.196875pt" stroked="true" strokeweight=".599pt" strokecolor="#000000">
            <v:stroke dashstyle="solid"/>
            <w10:wrap type="topAndBottom"/>
          </v:line>
        </w:pict>
      </w:r>
    </w:p>
    <w:p>
      <w:pPr>
        <w:spacing w:before="69"/>
        <w:ind w:left="220" w:right="0" w:firstLine="0"/>
        <w:jc w:val="left"/>
        <w:rPr>
          <w:sz w:val="20"/>
        </w:rPr>
      </w:pPr>
      <w:bookmarkStart w:name="_bookmark1" w:id="2"/>
      <w:bookmarkEnd w:id="2"/>
      <w:r>
        <w:rPr/>
      </w:r>
      <w:r>
        <w:rPr>
          <w:position w:val="5"/>
          <w:sz w:val="13"/>
        </w:rPr>
        <w:t>2 </w:t>
      </w:r>
      <w:r>
        <w:rPr>
          <w:sz w:val="20"/>
        </w:rPr>
        <w:t>Mrs. Windt does not know if her car had an event data recorder, or if it did, what information it contained.</w:t>
      </w:r>
    </w:p>
    <w:p>
      <w:pPr>
        <w:spacing w:after="0"/>
        <w:jc w:val="left"/>
        <w:rPr>
          <w:sz w:val="20"/>
        </w:rPr>
        <w:sectPr>
          <w:pgSz w:w="12240" w:h="15840"/>
          <w:pgMar w:header="0" w:footer="948" w:top="1500" w:bottom="1140" w:left="1220" w:right="780"/>
        </w:sectPr>
      </w:pPr>
    </w:p>
    <w:p>
      <w:pPr>
        <w:pStyle w:val="BodyText"/>
        <w:spacing w:before="5"/>
        <w:rPr>
          <w:sz w:val="9"/>
        </w:rPr>
      </w:pPr>
    </w:p>
    <w:p>
      <w:pPr>
        <w:pStyle w:val="BodyText"/>
        <w:spacing w:line="480" w:lineRule="auto" w:before="100"/>
        <w:ind w:left="219" w:right="732"/>
      </w:pPr>
      <w:r>
        <w:rPr/>
        <w:t>contested issue at trial. Defendants can establish no prejudice caused by the absence of speculative data. Without establishing prejudice, there is no remedial purpose underlying an adverse inference instruction. Defendants’ motion fails for this reason.</w:t>
      </w:r>
    </w:p>
    <w:p>
      <w:pPr>
        <w:pStyle w:val="BodyText"/>
        <w:spacing w:line="480" w:lineRule="auto"/>
        <w:ind w:left="219" w:right="672" w:firstLine="720"/>
      </w:pPr>
      <w:r>
        <w:rPr>
          <w:i/>
        </w:rPr>
        <w:t>Gross Negligence: </w:t>
      </w:r>
      <w:r>
        <w:rPr/>
        <w:t>Defendants are correct that an adverse inference instruction is only warranted when the loss of evidence was the result of recklessness or gross negligence or a “surprising lack of care”. </w:t>
      </w:r>
      <w:r>
        <w:rPr>
          <w:i/>
        </w:rPr>
        <w:t>Motion, </w:t>
      </w:r>
      <w:r>
        <w:rPr/>
        <w:t>p. 6, citing </w:t>
      </w:r>
      <w:r>
        <w:rPr>
          <w:i/>
        </w:rPr>
        <w:t>Pfantz v. Kmart, </w:t>
      </w:r>
      <w:r>
        <w:rPr/>
        <w:t>85 P.3d 564, 568-69 (Colo. App. 2003). Citing </w:t>
      </w:r>
      <w:r>
        <w:rPr>
          <w:i/>
        </w:rPr>
        <w:t>Castillo, </w:t>
      </w:r>
      <w:r>
        <w:rPr/>
        <w:t>Defendants’ argue that Courts “typically impose sanctions for the pre-complaint destruction of evidence where the spoliator is the Plaintiff.” </w:t>
      </w:r>
      <w:r>
        <w:rPr>
          <w:i/>
        </w:rPr>
        <w:t>Motion, p. 3. </w:t>
      </w:r>
      <w:r>
        <w:rPr/>
        <w:t>It is first noted that </w:t>
      </w:r>
      <w:r>
        <w:rPr>
          <w:i/>
        </w:rPr>
        <w:t>Castillo </w:t>
      </w:r>
      <w:r>
        <w:rPr/>
        <w:t>affirmed a Court’s </w:t>
      </w:r>
      <w:r>
        <w:rPr>
          <w:i/>
        </w:rPr>
        <w:t>refusal </w:t>
      </w:r>
      <w:r>
        <w:rPr/>
        <w:t>to give an adverse instruction for alleged spoliation. And while defendants overstate the holding in </w:t>
      </w:r>
      <w:r>
        <w:rPr>
          <w:i/>
        </w:rPr>
        <w:t>Castillo, </w:t>
      </w:r>
      <w:r>
        <w:rPr/>
        <w:t>their argument fails for this simple reason: Mrs. Windt did not own or have control over the vehicle after American Family took possession, which occurred </w:t>
      </w:r>
      <w:r>
        <w:rPr>
          <w:i/>
        </w:rPr>
        <w:t>before </w:t>
      </w:r>
      <w:r>
        <w:rPr/>
        <w:t>the vehicle was salvaged.  Assuming data was spoliated, that occurred as a result of the conduct of American Family. And Defendants and American Family have settled their dispute over the property damage to the vehicles, and American Family has been dismissed from the case with the Defendants’</w:t>
      </w:r>
      <w:r>
        <w:rPr>
          <w:spacing w:val="-3"/>
        </w:rPr>
        <w:t> </w:t>
      </w:r>
      <w:r>
        <w:rPr/>
        <w:t>agreement.</w:t>
      </w:r>
    </w:p>
    <w:p>
      <w:pPr>
        <w:pStyle w:val="BodyText"/>
        <w:spacing w:line="480" w:lineRule="auto"/>
        <w:ind w:left="219" w:right="668" w:firstLine="720"/>
      </w:pPr>
      <w:r>
        <w:rPr/>
        <w:t>Although relying on </w:t>
      </w:r>
      <w:r>
        <w:rPr>
          <w:i/>
        </w:rPr>
        <w:t>Castillo, </w:t>
      </w:r>
      <w:r>
        <w:rPr/>
        <w:t>Defendants fail to note that the ruling states Courts “typically impose sanctions for pre-complaint destruction </w:t>
      </w:r>
      <w:r>
        <w:rPr>
          <w:i/>
        </w:rPr>
        <w:t>only in three circumstances.” </w:t>
      </w:r>
      <w:r>
        <w:rPr>
          <w:i/>
        </w:rPr>
        <w:t>Castillo, </w:t>
      </w:r>
      <w:r>
        <w:rPr/>
        <w:t>140 P.3d at 236 </w:t>
      </w:r>
      <w:r>
        <w:rPr>
          <w:i/>
        </w:rPr>
        <w:t>(emphasis added). </w:t>
      </w:r>
      <w:r>
        <w:rPr/>
        <w:t>Those circumstances are: (1) the Defendant knew litigation would be filed and willfully destroyed evidence it knew would be relevant to the case; (2) the party against whom an adverse interest is sought “engage in a series of lawsuits and destroys evidence after litigating a first lawsuit but before another lawsuit has</w:t>
      </w:r>
    </w:p>
    <w:p>
      <w:pPr>
        <w:spacing w:after="0" w:line="480" w:lineRule="auto"/>
        <w:sectPr>
          <w:pgSz w:w="12240" w:h="15840"/>
          <w:pgMar w:header="0" w:footer="948" w:top="1500" w:bottom="1220" w:left="1220" w:right="780"/>
        </w:sectPr>
      </w:pPr>
    </w:p>
    <w:p>
      <w:pPr>
        <w:pStyle w:val="BodyText"/>
        <w:spacing w:before="5"/>
        <w:rPr>
          <w:sz w:val="9"/>
        </w:rPr>
      </w:pPr>
    </w:p>
    <w:p>
      <w:pPr>
        <w:pStyle w:val="BodyText"/>
        <w:spacing w:line="480" w:lineRule="auto" w:before="100"/>
        <w:ind w:left="220" w:right="732"/>
      </w:pPr>
      <w:r>
        <w:rPr/>
        <w:t>been filed”; and (3) the spoliator is the plaintiff. </w:t>
      </w:r>
      <w:r>
        <w:rPr>
          <w:i/>
        </w:rPr>
        <w:t>Castillo, </w:t>
      </w:r>
      <w:r>
        <w:rPr/>
        <w:t>140 P.3d at 236-37. Obviously, none of those circumstances apply to Mrs. Windt.</w:t>
      </w:r>
    </w:p>
    <w:p>
      <w:pPr>
        <w:pStyle w:val="BodyText"/>
        <w:spacing w:line="480" w:lineRule="auto"/>
        <w:ind w:left="220" w:right="727" w:firstLine="720"/>
      </w:pPr>
      <w:r>
        <w:rPr/>
        <w:t>Here, Mrs. Windt does not know if her car had an event data recorder, or even what an event data recorder is. Defendants never requested that any evidence, much less an event data recorder, be preserved. The first time Defendants ever mentioned the event data recorder was over a year after litigation commenced and two-years after the collision. Mrs. Windt never had possession of her car after the collision. And, it was not Mrs. Windt who salvaged her vehicle, it was her insurance company. </w:t>
      </w:r>
      <w:r>
        <w:rPr>
          <w:i/>
        </w:rPr>
        <w:t>Motion, Relevant Facts #8. </w:t>
      </w:r>
      <w:r>
        <w:rPr/>
        <w:t>Mrs. Windt’s alleged inaction with respect to an unknown component somewhere in the engine of her car is not negligent, much less grossly negligent or reckless. She had no role in the destruction of any event data recorder, assuming one existed, and is not the spoliator.</w:t>
      </w:r>
    </w:p>
    <w:p>
      <w:pPr>
        <w:pStyle w:val="BodyText"/>
        <w:spacing w:line="480" w:lineRule="auto"/>
        <w:ind w:left="220" w:right="732"/>
      </w:pPr>
      <w:r>
        <w:rPr/>
        <w:t>Sanctions are not warranted. </w:t>
      </w:r>
      <w:r>
        <w:rPr>
          <w:i/>
        </w:rPr>
        <w:t>Castillo, </w:t>
      </w:r>
      <w:r>
        <w:rPr/>
        <w:t>140 P.3d at 236. Defendants’ motion fails for this reason also.</w:t>
      </w:r>
    </w:p>
    <w:p>
      <w:pPr>
        <w:pStyle w:val="BodyText"/>
        <w:spacing w:line="480" w:lineRule="auto"/>
        <w:ind w:left="220" w:right="732" w:firstLine="720"/>
      </w:pPr>
      <w:r>
        <w:rPr>
          <w:i/>
        </w:rPr>
        <w:t>Defendants’ Conduct: </w:t>
      </w:r>
      <w:r>
        <w:rPr/>
        <w:t>The conduct of Defendants is an “important factor for assessing whether sanctions are appropriate.” </w:t>
      </w:r>
      <w:r>
        <w:rPr>
          <w:i/>
        </w:rPr>
        <w:t>Id. </w:t>
      </w:r>
      <w:r>
        <w:rPr/>
        <w:t>at 237. Did the party seeking sanctions ever seek to inspect the evidence or request that it be retained? </w:t>
      </w:r>
      <w:r>
        <w:rPr>
          <w:i/>
        </w:rPr>
        <w:t>Id. </w:t>
      </w:r>
      <w:r>
        <w:rPr/>
        <w:t>Here, no such requests were made. It was not until years after the collision that the event data recorder was referenced. Further, for Defendants to argue that Mrs. Windt was somehow grossly negligent, then they must explain why they have not disclosed any such information from Defendants’ vehicle. Because Defendants took no steps to request inspection of Mrs.</w:t>
      </w:r>
    </w:p>
    <w:p>
      <w:pPr>
        <w:pStyle w:val="BodyText"/>
        <w:spacing w:line="480" w:lineRule="auto"/>
        <w:ind w:left="220" w:right="922"/>
      </w:pPr>
      <w:r>
        <w:rPr/>
        <w:t>Windt’s vehicle, nor did they request that any specific evidence be preserved or retained, their motion fails.</w:t>
      </w:r>
    </w:p>
    <w:p>
      <w:pPr>
        <w:spacing w:before="0"/>
        <w:ind w:left="3500" w:right="3942" w:firstLine="0"/>
        <w:jc w:val="center"/>
        <w:rPr>
          <w:sz w:val="19"/>
        </w:rPr>
      </w:pPr>
      <w:r>
        <w:rPr>
          <w:sz w:val="24"/>
        </w:rPr>
        <w:t>C</w:t>
      </w:r>
      <w:r>
        <w:rPr>
          <w:sz w:val="19"/>
        </w:rPr>
        <w:t>ONCLUSION</w:t>
      </w:r>
    </w:p>
    <w:p>
      <w:pPr>
        <w:spacing w:after="0"/>
        <w:jc w:val="center"/>
        <w:rPr>
          <w:sz w:val="19"/>
        </w:rPr>
        <w:sectPr>
          <w:pgSz w:w="12240" w:h="15840"/>
          <w:pgMar w:header="0" w:footer="948" w:top="1500" w:bottom="1220" w:left="1220" w:right="780"/>
        </w:sectPr>
      </w:pPr>
    </w:p>
    <w:p>
      <w:pPr>
        <w:pStyle w:val="BodyText"/>
        <w:spacing w:before="5"/>
        <w:rPr>
          <w:sz w:val="9"/>
        </w:rPr>
      </w:pPr>
    </w:p>
    <w:p>
      <w:pPr>
        <w:pStyle w:val="BodyText"/>
        <w:spacing w:line="480" w:lineRule="auto" w:before="100"/>
        <w:ind w:left="220" w:right="803" w:firstLine="720"/>
      </w:pPr>
      <w:r>
        <w:rPr/>
        <w:t>Defendants fail to carry their burden to receive an adverse inference instruction. Defendants do not state what the adverse instruction they seek. Defendants fail to show that the information from the event data recorder (if it was installed, and working, in Mrs. Windt’s car) is relevant to a contested issue. Defendants fail to show that the loss of the event data recorder was the result of Mrs. Windt’s gross negligence, willful conduct, or surprising lack of care. Since she was not the one who allegedly spoliated the data recorder, she could not be guilty of gross negligence or willful conduct. The motion should be denied.</w:t>
      </w:r>
    </w:p>
    <w:p>
      <w:pPr>
        <w:pStyle w:val="BodyText"/>
        <w:spacing w:before="6"/>
        <w:rPr>
          <w:sz w:val="15"/>
        </w:rPr>
      </w:pPr>
    </w:p>
    <w:p>
      <w:pPr>
        <w:spacing w:after="0"/>
        <w:rPr>
          <w:sz w:val="15"/>
        </w:rPr>
        <w:sectPr>
          <w:pgSz w:w="12240" w:h="15840"/>
          <w:pgMar w:header="0" w:footer="948" w:top="1500" w:bottom="1220" w:left="1220" w:right="780"/>
        </w:sectPr>
      </w:pPr>
    </w:p>
    <w:p>
      <w:pPr>
        <w:pStyle w:val="BodyText"/>
        <w:spacing w:before="100"/>
        <w:ind w:left="940"/>
      </w:pPr>
      <w:r>
        <w:rPr/>
        <w:t>Dated: February 6, 2017.</w:t>
      </w:r>
    </w:p>
    <w:p>
      <w:pPr>
        <w:pStyle w:val="BodyText"/>
        <w:rPr>
          <w:sz w:val="28"/>
        </w:rPr>
      </w:pPr>
      <w:r>
        <w:rPr/>
        <w:br w:type="column"/>
      </w:r>
      <w:r>
        <w:rPr>
          <w:sz w:val="28"/>
        </w:rPr>
      </w:r>
    </w:p>
    <w:p>
      <w:pPr>
        <w:pStyle w:val="BodyText"/>
        <w:spacing w:before="5"/>
        <w:rPr>
          <w:sz w:val="28"/>
        </w:rPr>
      </w:pPr>
    </w:p>
    <w:p>
      <w:pPr>
        <w:pStyle w:val="Heading1"/>
      </w:pPr>
      <w:r>
        <w:rPr/>
        <w:t>The Law Firm of Stephen H. Cook, P.C.</w:t>
      </w:r>
    </w:p>
    <w:p>
      <w:pPr>
        <w:pStyle w:val="BodyText"/>
        <w:spacing w:before="7"/>
        <w:rPr>
          <w:b/>
          <w:sz w:val="23"/>
        </w:rPr>
      </w:pPr>
    </w:p>
    <w:p>
      <w:pPr>
        <w:spacing w:before="0"/>
        <w:ind w:left="940" w:right="0" w:firstLine="0"/>
        <w:jc w:val="left"/>
        <w:rPr>
          <w:i/>
          <w:sz w:val="18"/>
        </w:rPr>
      </w:pPr>
      <w:r>
        <w:rPr>
          <w:i/>
          <w:sz w:val="18"/>
        </w:rPr>
        <w:t>Original Signature on file at The Law Firm of Stephen H. Cook, P.C.</w:t>
      </w:r>
    </w:p>
    <w:p>
      <w:pPr>
        <w:pStyle w:val="BodyText"/>
        <w:spacing w:before="5"/>
        <w:rPr>
          <w:i/>
        </w:rPr>
      </w:pPr>
    </w:p>
    <w:p>
      <w:pPr>
        <w:tabs>
          <w:tab w:pos="5979" w:val="left" w:leader="none"/>
        </w:tabs>
        <w:spacing w:line="281" w:lineRule="exact" w:before="0"/>
        <w:ind w:left="940" w:right="0" w:firstLine="0"/>
        <w:jc w:val="left"/>
        <w:rPr>
          <w:i/>
          <w:sz w:val="24"/>
        </w:rPr>
      </w:pPr>
      <w:r>
        <w:rPr>
          <w:sz w:val="24"/>
          <w:u w:val="single"/>
        </w:rPr>
        <w:t>By:  </w:t>
      </w:r>
      <w:r>
        <w:rPr>
          <w:i/>
          <w:sz w:val="24"/>
          <w:u w:val="single"/>
        </w:rPr>
        <w:t>/s/ Stephen H.</w:t>
      </w:r>
      <w:r>
        <w:rPr>
          <w:i/>
          <w:spacing w:val="-5"/>
          <w:sz w:val="24"/>
          <w:u w:val="single"/>
        </w:rPr>
        <w:t> </w:t>
      </w:r>
      <w:r>
        <w:rPr>
          <w:i/>
          <w:sz w:val="24"/>
          <w:u w:val="single"/>
        </w:rPr>
        <w:t>Cook</w:t>
        <w:tab/>
      </w:r>
    </w:p>
    <w:p>
      <w:pPr>
        <w:pStyle w:val="BodyText"/>
        <w:spacing w:line="281" w:lineRule="exact"/>
        <w:ind w:left="940"/>
      </w:pPr>
      <w:r>
        <w:rPr/>
        <w:t>Stephen H. Cook</w:t>
      </w:r>
    </w:p>
    <w:p>
      <w:pPr>
        <w:pStyle w:val="BodyText"/>
        <w:spacing w:line="281" w:lineRule="exact"/>
        <w:ind w:left="940"/>
      </w:pPr>
      <w:r>
        <w:rPr/>
        <w:t>Attorney for Kathryn Windt</w:t>
      </w:r>
    </w:p>
    <w:p>
      <w:pPr>
        <w:spacing w:after="0" w:line="281" w:lineRule="exact"/>
        <w:sectPr>
          <w:type w:val="continuous"/>
          <w:pgSz w:w="12240" w:h="15840"/>
          <w:pgMar w:top="1500" w:bottom="280" w:left="1220" w:right="780"/>
          <w:cols w:num="2" w:equalWidth="0">
            <w:col w:w="3519" w:space="81"/>
            <w:col w:w="6640"/>
          </w:cols>
        </w:sectPr>
      </w:pPr>
    </w:p>
    <w:p>
      <w:pPr>
        <w:pStyle w:val="BodyText"/>
        <w:spacing w:before="5"/>
        <w:rPr>
          <w:sz w:val="9"/>
        </w:rPr>
      </w:pPr>
    </w:p>
    <w:p>
      <w:pPr>
        <w:pStyle w:val="Heading1"/>
        <w:spacing w:before="100"/>
        <w:ind w:left="3493"/>
      </w:pPr>
      <w:r>
        <w:rPr/>
        <w:t>CERTIFICATE OF SERVICE</w:t>
      </w:r>
    </w:p>
    <w:p>
      <w:pPr>
        <w:pStyle w:val="BodyText"/>
        <w:spacing w:before="11"/>
        <w:rPr>
          <w:b/>
          <w:sz w:val="23"/>
        </w:rPr>
      </w:pPr>
    </w:p>
    <w:p>
      <w:pPr>
        <w:pStyle w:val="BodyText"/>
        <w:ind w:left="580" w:right="643" w:firstLine="360"/>
      </w:pPr>
      <w:r>
        <w:rPr/>
        <w:t>I hereby certify that a true and correct copy of the foregoing was served on February 6, 2017 via </w:t>
      </w:r>
      <w:r>
        <w:rPr>
          <w:i/>
        </w:rPr>
        <w:t>ICCES </w:t>
      </w:r>
      <w:r>
        <w:rPr/>
        <w:t>to the following:</w:t>
      </w:r>
    </w:p>
    <w:p>
      <w:pPr>
        <w:pStyle w:val="BodyText"/>
      </w:pPr>
    </w:p>
    <w:p>
      <w:pPr>
        <w:pStyle w:val="BodyText"/>
        <w:spacing w:before="1"/>
        <w:ind w:left="580" w:right="8058"/>
      </w:pPr>
      <w:r>
        <w:rPr/>
        <w:t>Jeffrey Ruebel Katherine Brim Casey Quillen</w:t>
      </w:r>
    </w:p>
    <w:p>
      <w:pPr>
        <w:spacing w:line="280" w:lineRule="exact" w:before="0"/>
        <w:ind w:left="580" w:right="0" w:firstLine="0"/>
        <w:jc w:val="left"/>
        <w:rPr>
          <w:sz w:val="24"/>
        </w:rPr>
      </w:pPr>
      <w:r>
        <w:rPr>
          <w:sz w:val="24"/>
        </w:rPr>
        <w:t>R</w:t>
      </w:r>
      <w:r>
        <w:rPr>
          <w:sz w:val="19"/>
        </w:rPr>
        <w:t>UEBEL </w:t>
      </w:r>
      <w:r>
        <w:rPr>
          <w:sz w:val="24"/>
        </w:rPr>
        <w:t>&amp; Q</w:t>
      </w:r>
      <w:r>
        <w:rPr>
          <w:sz w:val="19"/>
        </w:rPr>
        <w:t>UILLEN</w:t>
      </w:r>
      <w:r>
        <w:rPr>
          <w:sz w:val="24"/>
        </w:rPr>
        <w:t>, LLC</w:t>
      </w:r>
    </w:p>
    <w:p>
      <w:pPr>
        <w:pStyle w:val="BodyText"/>
        <w:spacing w:line="281" w:lineRule="exact" w:before="1"/>
        <w:ind w:left="580"/>
      </w:pPr>
      <w:r>
        <w:rPr/>
        <w:t>8501 Turnpike Drive, Suite 106</w:t>
      </w:r>
    </w:p>
    <w:p>
      <w:pPr>
        <w:pStyle w:val="BodyText"/>
        <w:spacing w:line="281" w:lineRule="exact"/>
        <w:ind w:left="580"/>
      </w:pPr>
      <w:r>
        <w:rPr/>
        <w:t>Westminster, CO 80031</w:t>
      </w:r>
    </w:p>
    <w:p>
      <w:pPr>
        <w:pStyle w:val="BodyText"/>
        <w:rPr>
          <w:sz w:val="28"/>
        </w:rPr>
      </w:pPr>
    </w:p>
    <w:p>
      <w:pPr>
        <w:spacing w:before="233"/>
        <w:ind w:left="4540" w:right="0" w:firstLine="0"/>
        <w:jc w:val="left"/>
        <w:rPr>
          <w:i/>
          <w:sz w:val="18"/>
        </w:rPr>
      </w:pPr>
      <w:r>
        <w:rPr>
          <w:i/>
          <w:sz w:val="18"/>
        </w:rPr>
        <w:t>Signature on file at C</w:t>
      </w:r>
      <w:r>
        <w:rPr>
          <w:i/>
          <w:sz w:val="14"/>
        </w:rPr>
        <w:t>OOK </w:t>
      </w:r>
      <w:r>
        <w:rPr>
          <w:i/>
          <w:sz w:val="18"/>
        </w:rPr>
        <w:t>&amp; P</w:t>
      </w:r>
      <w:r>
        <w:rPr>
          <w:i/>
          <w:sz w:val="14"/>
        </w:rPr>
        <w:t>AGANO</w:t>
      </w:r>
      <w:r>
        <w:rPr>
          <w:i/>
          <w:sz w:val="18"/>
        </w:rPr>
        <w:t>, P.C.</w:t>
      </w:r>
    </w:p>
    <w:p>
      <w:pPr>
        <w:pStyle w:val="BodyText"/>
        <w:rPr>
          <w:i/>
          <w:sz w:val="20"/>
        </w:rPr>
      </w:pPr>
    </w:p>
    <w:p>
      <w:pPr>
        <w:pStyle w:val="BodyText"/>
        <w:spacing w:before="1"/>
        <w:rPr>
          <w:i/>
          <w:sz w:val="28"/>
        </w:rPr>
      </w:pPr>
    </w:p>
    <w:p>
      <w:pPr>
        <w:tabs>
          <w:tab w:pos="8859" w:val="left" w:leader="none"/>
        </w:tabs>
        <w:spacing w:line="281" w:lineRule="exact" w:before="1"/>
        <w:ind w:left="4540" w:right="0" w:firstLine="0"/>
        <w:jc w:val="left"/>
        <w:rPr>
          <w:i/>
          <w:sz w:val="24"/>
        </w:rPr>
      </w:pPr>
      <w:r>
        <w:rPr>
          <w:i/>
          <w:sz w:val="24"/>
          <w:u w:val="single"/>
        </w:rPr>
        <w:t>/s/ Ashley</w:t>
      </w:r>
      <w:r>
        <w:rPr>
          <w:i/>
          <w:spacing w:val="-5"/>
          <w:sz w:val="24"/>
          <w:u w:val="single"/>
        </w:rPr>
        <w:t> </w:t>
      </w:r>
      <w:r>
        <w:rPr>
          <w:i/>
          <w:sz w:val="24"/>
          <w:u w:val="single"/>
        </w:rPr>
        <w:t>Neumann</w:t>
        <w:tab/>
      </w:r>
    </w:p>
    <w:p>
      <w:pPr>
        <w:pStyle w:val="BodyText"/>
        <w:spacing w:line="281" w:lineRule="exact"/>
        <w:ind w:left="4314" w:right="3737"/>
        <w:jc w:val="center"/>
      </w:pPr>
      <w:r>
        <w:rPr/>
        <w:t>Ashley Neumann</w:t>
      </w:r>
    </w:p>
    <w:sectPr>
      <w:pgSz w:w="12240" w:h="15840"/>
      <w:pgMar w:header="0" w:footer="948" w:top="1500" w:bottom="1220" w:left="12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Minion Pro">
    <w:altName w:val="Minion Pro"/>
    <w:charset w:val="0"/>
    <w:family w:val="roman"/>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239990pt;margin-top:729.802124pt;width:9.550pt;height:14.25pt;mso-position-horizontal-relative:page;mso-position-vertical-relative:page;z-index:-6712" type="#_x0000_t202" filled="false" stroked="false">
          <v:textbox inset="0,0,0,0">
            <w:txbxContent>
              <w:p>
                <w:pPr>
                  <w:spacing w:before="11"/>
                  <w:ind w:left="40" w:right="0" w:firstLine="0"/>
                  <w:jc w:val="left"/>
                  <w:rPr>
                    <w:rFonts w:ascii="Times New Roman"/>
                    <w:sz w:val="22"/>
                  </w:rPr>
                </w:pPr>
                <w:r>
                  <w:rPr/>
                  <w:fldChar w:fldCharType="begin"/>
                </w:r>
                <w:r>
                  <w:rPr>
                    <w:rFonts w:ascii="Times New Roman"/>
                    <w:w w:val="100"/>
                    <w:sz w:val="2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45" w:hanging="322"/>
      </w:pPr>
      <w:rPr>
        <w:rFonts w:hint="default" w:ascii="Wingdings" w:hAnsi="Wingdings" w:eastAsia="Wingdings" w:cs="Wingdings"/>
        <w:w w:val="100"/>
        <w:sz w:val="24"/>
        <w:szCs w:val="24"/>
        <w:lang w:val="en-us" w:eastAsia="en-us" w:bidi="en-us"/>
      </w:rPr>
    </w:lvl>
    <w:lvl w:ilvl="1">
      <w:start w:val="0"/>
      <w:numFmt w:val="bullet"/>
      <w:lvlText w:val="•"/>
      <w:lvlJc w:val="left"/>
      <w:pPr>
        <w:ind w:left="1213" w:hanging="322"/>
      </w:pPr>
      <w:rPr>
        <w:rFonts w:hint="default"/>
        <w:lang w:val="en-us" w:eastAsia="en-us" w:bidi="en-us"/>
      </w:rPr>
    </w:lvl>
    <w:lvl w:ilvl="2">
      <w:start w:val="0"/>
      <w:numFmt w:val="bullet"/>
      <w:lvlText w:val="•"/>
      <w:lvlJc w:val="left"/>
      <w:pPr>
        <w:ind w:left="1487" w:hanging="322"/>
      </w:pPr>
      <w:rPr>
        <w:rFonts w:hint="default"/>
        <w:lang w:val="en-us" w:eastAsia="en-us" w:bidi="en-us"/>
      </w:rPr>
    </w:lvl>
    <w:lvl w:ilvl="3">
      <w:start w:val="0"/>
      <w:numFmt w:val="bullet"/>
      <w:lvlText w:val="•"/>
      <w:lvlJc w:val="left"/>
      <w:pPr>
        <w:ind w:left="1761" w:hanging="322"/>
      </w:pPr>
      <w:rPr>
        <w:rFonts w:hint="default"/>
        <w:lang w:val="en-us" w:eastAsia="en-us" w:bidi="en-us"/>
      </w:rPr>
    </w:lvl>
    <w:lvl w:ilvl="4">
      <w:start w:val="0"/>
      <w:numFmt w:val="bullet"/>
      <w:lvlText w:val="•"/>
      <w:lvlJc w:val="left"/>
      <w:pPr>
        <w:ind w:left="2035" w:hanging="322"/>
      </w:pPr>
      <w:rPr>
        <w:rFonts w:hint="default"/>
        <w:lang w:val="en-us" w:eastAsia="en-us" w:bidi="en-us"/>
      </w:rPr>
    </w:lvl>
    <w:lvl w:ilvl="5">
      <w:start w:val="0"/>
      <w:numFmt w:val="bullet"/>
      <w:lvlText w:val="•"/>
      <w:lvlJc w:val="left"/>
      <w:pPr>
        <w:ind w:left="2309" w:hanging="322"/>
      </w:pPr>
      <w:rPr>
        <w:rFonts w:hint="default"/>
        <w:lang w:val="en-us" w:eastAsia="en-us" w:bidi="en-us"/>
      </w:rPr>
    </w:lvl>
    <w:lvl w:ilvl="6">
      <w:start w:val="0"/>
      <w:numFmt w:val="bullet"/>
      <w:lvlText w:val="•"/>
      <w:lvlJc w:val="left"/>
      <w:pPr>
        <w:ind w:left="2583" w:hanging="322"/>
      </w:pPr>
      <w:rPr>
        <w:rFonts w:hint="default"/>
        <w:lang w:val="en-us" w:eastAsia="en-us" w:bidi="en-us"/>
      </w:rPr>
    </w:lvl>
    <w:lvl w:ilvl="7">
      <w:start w:val="0"/>
      <w:numFmt w:val="bullet"/>
      <w:lvlText w:val="•"/>
      <w:lvlJc w:val="left"/>
      <w:pPr>
        <w:ind w:left="2857" w:hanging="322"/>
      </w:pPr>
      <w:rPr>
        <w:rFonts w:hint="default"/>
        <w:lang w:val="en-us" w:eastAsia="en-us" w:bidi="en-us"/>
      </w:rPr>
    </w:lvl>
    <w:lvl w:ilvl="8">
      <w:start w:val="0"/>
      <w:numFmt w:val="bullet"/>
      <w:lvlText w:val="•"/>
      <w:lvlJc w:val="left"/>
      <w:pPr>
        <w:ind w:left="3131" w:hanging="322"/>
      </w:pPr>
      <w:rPr>
        <w:rFonts w:hint="default"/>
        <w:lang w:val="en-us" w:eastAsia="en-us" w:bidi="en-us"/>
      </w:rPr>
    </w:lvl>
  </w:abstractNum>
  <w:abstractNum w:abstractNumId="1">
    <w:multiLevelType w:val="hybridMultilevel"/>
    <w:lvl w:ilvl="0">
      <w:start w:val="1"/>
      <w:numFmt w:val="decimal"/>
      <w:lvlText w:val="%1."/>
      <w:lvlJc w:val="left"/>
      <w:pPr>
        <w:ind w:left="220" w:hanging="360"/>
        <w:jc w:val="left"/>
      </w:pPr>
      <w:rPr>
        <w:rFonts w:hint="default" w:ascii="Cambria" w:hAnsi="Cambria" w:eastAsia="Cambria" w:cs="Cambria"/>
        <w:spacing w:val="-18"/>
        <w:w w:val="100"/>
        <w:sz w:val="24"/>
        <w:szCs w:val="24"/>
        <w:lang w:val="en-us" w:eastAsia="en-us" w:bidi="en-us"/>
      </w:rPr>
    </w:lvl>
    <w:lvl w:ilvl="1">
      <w:start w:val="0"/>
      <w:numFmt w:val="bullet"/>
      <w:lvlText w:val="•"/>
      <w:lvlJc w:val="left"/>
      <w:pPr>
        <w:ind w:left="580" w:hanging="360"/>
      </w:pPr>
      <w:rPr>
        <w:rFonts w:hint="default"/>
        <w:lang w:val="en-us" w:eastAsia="en-us" w:bidi="en-us"/>
      </w:rPr>
    </w:lvl>
    <w:lvl w:ilvl="2">
      <w:start w:val="0"/>
      <w:numFmt w:val="bullet"/>
      <w:lvlText w:val="•"/>
      <w:lvlJc w:val="left"/>
      <w:pPr>
        <w:ind w:left="1653" w:hanging="360"/>
      </w:pPr>
      <w:rPr>
        <w:rFonts w:hint="default"/>
        <w:lang w:val="en-us" w:eastAsia="en-us" w:bidi="en-us"/>
      </w:rPr>
    </w:lvl>
    <w:lvl w:ilvl="3">
      <w:start w:val="0"/>
      <w:numFmt w:val="bullet"/>
      <w:lvlText w:val="•"/>
      <w:lvlJc w:val="left"/>
      <w:pPr>
        <w:ind w:left="2726" w:hanging="360"/>
      </w:pPr>
      <w:rPr>
        <w:rFonts w:hint="default"/>
        <w:lang w:val="en-us" w:eastAsia="en-us" w:bidi="en-us"/>
      </w:rPr>
    </w:lvl>
    <w:lvl w:ilvl="4">
      <w:start w:val="0"/>
      <w:numFmt w:val="bullet"/>
      <w:lvlText w:val="•"/>
      <w:lvlJc w:val="left"/>
      <w:pPr>
        <w:ind w:left="3800" w:hanging="360"/>
      </w:pPr>
      <w:rPr>
        <w:rFonts w:hint="default"/>
        <w:lang w:val="en-us" w:eastAsia="en-us" w:bidi="en-us"/>
      </w:rPr>
    </w:lvl>
    <w:lvl w:ilvl="5">
      <w:start w:val="0"/>
      <w:numFmt w:val="bullet"/>
      <w:lvlText w:val="•"/>
      <w:lvlJc w:val="left"/>
      <w:pPr>
        <w:ind w:left="4873" w:hanging="360"/>
      </w:pPr>
      <w:rPr>
        <w:rFonts w:hint="default"/>
        <w:lang w:val="en-us" w:eastAsia="en-us" w:bidi="en-us"/>
      </w:rPr>
    </w:lvl>
    <w:lvl w:ilvl="6">
      <w:start w:val="0"/>
      <w:numFmt w:val="bullet"/>
      <w:lvlText w:val="•"/>
      <w:lvlJc w:val="left"/>
      <w:pPr>
        <w:ind w:left="5946" w:hanging="360"/>
      </w:pPr>
      <w:rPr>
        <w:rFonts w:hint="default"/>
        <w:lang w:val="en-us" w:eastAsia="en-us" w:bidi="en-us"/>
      </w:rPr>
    </w:lvl>
    <w:lvl w:ilvl="7">
      <w:start w:val="0"/>
      <w:numFmt w:val="bullet"/>
      <w:lvlText w:val="•"/>
      <w:lvlJc w:val="left"/>
      <w:pPr>
        <w:ind w:left="7020" w:hanging="360"/>
      </w:pPr>
      <w:rPr>
        <w:rFonts w:hint="default"/>
        <w:lang w:val="en-us" w:eastAsia="en-us" w:bidi="en-us"/>
      </w:rPr>
    </w:lvl>
    <w:lvl w:ilvl="8">
      <w:start w:val="0"/>
      <w:numFmt w:val="bullet"/>
      <w:lvlText w:val="•"/>
      <w:lvlJc w:val="left"/>
      <w:pPr>
        <w:ind w:left="8093" w:hanging="360"/>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n-us" w:eastAsia="en-us" w:bidi="en-us"/>
    </w:rPr>
  </w:style>
  <w:style w:styleId="BodyText" w:type="paragraph">
    <w:name w:val="Body Text"/>
    <w:basedOn w:val="Normal"/>
    <w:uiPriority w:val="1"/>
    <w:qFormat/>
    <w:pPr/>
    <w:rPr>
      <w:rFonts w:ascii="Cambria" w:hAnsi="Cambria" w:eastAsia="Cambria" w:cs="Cambria"/>
      <w:sz w:val="24"/>
      <w:szCs w:val="24"/>
      <w:lang w:val="en-us" w:eastAsia="en-us" w:bidi="en-us"/>
    </w:rPr>
  </w:style>
  <w:style w:styleId="Heading1" w:type="paragraph">
    <w:name w:val="Heading 1"/>
    <w:basedOn w:val="Normal"/>
    <w:uiPriority w:val="1"/>
    <w:qFormat/>
    <w:pPr>
      <w:ind w:left="940"/>
      <w:outlineLvl w:val="1"/>
    </w:pPr>
    <w:rPr>
      <w:rFonts w:ascii="Cambria" w:hAnsi="Cambria" w:eastAsia="Cambria" w:cs="Cambria"/>
      <w:b/>
      <w:bCs/>
      <w:sz w:val="24"/>
      <w:szCs w:val="24"/>
      <w:lang w:val="en-us" w:eastAsia="en-us" w:bidi="en-us"/>
    </w:rPr>
  </w:style>
  <w:style w:styleId="ListParagraph" w:type="paragraph">
    <w:name w:val="List Paragraph"/>
    <w:basedOn w:val="Normal"/>
    <w:uiPriority w:val="1"/>
    <w:qFormat/>
    <w:pPr>
      <w:ind w:left="220" w:firstLine="360"/>
    </w:pPr>
    <w:rPr>
      <w:rFonts w:ascii="Cambria" w:hAnsi="Cambria" w:eastAsia="Cambria" w:cs="Cambria"/>
      <w:lang w:val="en-us" w:eastAsia="en-us" w:bidi="en-us"/>
    </w:rPr>
  </w:style>
  <w:style w:styleId="TableParagraph" w:type="paragraph">
    <w:name w:val="Table Paragraph"/>
    <w:basedOn w:val="Normal"/>
    <w:uiPriority w:val="1"/>
    <w:qFormat/>
    <w:pPr>
      <w:ind w:left="107"/>
    </w:pPr>
    <w:rPr>
      <w:rFonts w:ascii="Cambria" w:hAnsi="Cambria" w:eastAsia="Cambria" w:cs="Cambria"/>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Neumann</dc:creator>
  <dcterms:created xsi:type="dcterms:W3CDTF">2019-03-22T16:02:56Z</dcterms:created>
  <dcterms:modified xsi:type="dcterms:W3CDTF">2019-03-22T16:02:56Z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Creator">
    <vt:lpwstr>Acrobat PDFMaker 15 for Word</vt:lpwstr>
  </property>
  <property fmtid="{D5CDD505-2E9C-101B-9397-08002B2CF9AE}" pid="4" name="LastSaved">
    <vt:filetime>2019-03-22T00:00:00Z</vt:filetime>
  </property>
</Properties>
</file>