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4259" w:val="left" w:leader="none"/>
        </w:tabs>
        <w:spacing w:before="76"/>
      </w:pPr>
      <w:r>
        <w:rPr/>
        <w:t>STATE OF</w:t>
      </w:r>
      <w:r>
        <w:rPr>
          <w:spacing w:val="-6"/>
        </w:rPr>
        <w:t> </w:t>
      </w:r>
      <w:r>
        <w:rPr/>
        <w:t>NORTH</w:t>
      </w:r>
      <w:r>
        <w:rPr>
          <w:spacing w:val="-1"/>
        </w:rPr>
        <w:t> </w:t>
      </w:r>
      <w:r>
        <w:rPr/>
        <w:t>CAROLINA</w:t>
        <w:tab/>
        <w:t>IN THE GENERAL COURT OF</w:t>
      </w:r>
      <w:r>
        <w:rPr>
          <w:spacing w:val="-8"/>
        </w:rPr>
        <w:t> </w:t>
      </w:r>
      <w:r>
        <w:rPr/>
        <w:t>JUSTICE</w:t>
      </w:r>
    </w:p>
    <w:p>
      <w:pPr>
        <w:spacing w:before="0"/>
        <w:ind w:left="4800" w:right="0" w:firstLine="0"/>
        <w:jc w:val="left"/>
        <w:rPr>
          <w:b/>
          <w:sz w:val="24"/>
        </w:rPr>
      </w:pPr>
      <w:r>
        <w:rPr>
          <w:b/>
          <w:sz w:val="24"/>
        </w:rPr>
        <w:t>SUPERIOR COURT DIVISION</w:t>
      </w:r>
    </w:p>
    <w:p>
      <w:pPr>
        <w:tabs>
          <w:tab w:pos="4859" w:val="left" w:leader="none"/>
        </w:tabs>
        <w:spacing w:before="0"/>
        <w:ind w:left="119" w:right="0" w:firstLine="0"/>
        <w:jc w:val="left"/>
        <w:rPr>
          <w:b/>
          <w:sz w:val="24"/>
        </w:rPr>
      </w:pPr>
      <w:r>
        <w:rPr>
          <w:b/>
          <w:sz w:val="24"/>
        </w:rPr>
        <w:t>COUNTY</w:t>
      </w:r>
      <w:r>
        <w:rPr>
          <w:b/>
          <w:spacing w:val="-3"/>
          <w:sz w:val="24"/>
        </w:rPr>
        <w:t> </w:t>
      </w:r>
      <w:r>
        <w:rPr>
          <w:b/>
          <w:sz w:val="24"/>
        </w:rPr>
        <w:t>OF</w:t>
      </w:r>
      <w:r>
        <w:rPr>
          <w:b/>
          <w:spacing w:val="-4"/>
          <w:sz w:val="24"/>
        </w:rPr>
        <w:t> </w:t>
      </w:r>
      <w:r>
        <w:rPr>
          <w:b/>
          <w:sz w:val="24"/>
        </w:rPr>
        <w:t>WAKE</w:t>
        <w:tab/>
        <w:t>09 CRS XXXX</w:t>
      </w:r>
    </w:p>
    <w:p>
      <w:pPr>
        <w:pStyle w:val="BodyText"/>
        <w:rPr>
          <w:b/>
          <w:sz w:val="26"/>
        </w:rPr>
      </w:pPr>
    </w:p>
    <w:p>
      <w:pPr>
        <w:pStyle w:val="BodyText"/>
        <w:rPr>
          <w:b/>
          <w:sz w:val="22"/>
        </w:rPr>
      </w:pPr>
    </w:p>
    <w:p>
      <w:pPr>
        <w:tabs>
          <w:tab w:pos="4439" w:val="left" w:leader="none"/>
        </w:tabs>
        <w:spacing w:before="1"/>
        <w:ind w:left="119" w:right="0" w:firstLine="0"/>
        <w:jc w:val="left"/>
        <w:rPr>
          <w:b/>
          <w:sz w:val="24"/>
        </w:rPr>
      </w:pPr>
      <w:r>
        <w:rPr>
          <w:b/>
          <w:sz w:val="24"/>
        </w:rPr>
        <w:t>STATE OF</w:t>
      </w:r>
      <w:r>
        <w:rPr>
          <w:b/>
          <w:spacing w:val="-6"/>
          <w:sz w:val="24"/>
        </w:rPr>
        <w:t> </w:t>
      </w:r>
      <w:r>
        <w:rPr>
          <w:b/>
          <w:sz w:val="24"/>
        </w:rPr>
        <w:t>NORTH</w:t>
      </w:r>
      <w:r>
        <w:rPr>
          <w:b/>
          <w:spacing w:val="-1"/>
          <w:sz w:val="24"/>
        </w:rPr>
        <w:t> </w:t>
      </w:r>
      <w:r>
        <w:rPr>
          <w:b/>
          <w:sz w:val="24"/>
        </w:rPr>
        <w:t>CAROLINA</w:t>
        <w:tab/>
        <w:t>)</w:t>
      </w:r>
    </w:p>
    <w:p>
      <w:pPr>
        <w:spacing w:before="0"/>
        <w:ind w:left="39" w:right="0" w:firstLine="0"/>
        <w:jc w:val="center"/>
        <w:rPr>
          <w:b/>
          <w:sz w:val="24"/>
        </w:rPr>
      </w:pPr>
      <w:r>
        <w:rPr>
          <w:b/>
          <w:w w:val="99"/>
          <w:sz w:val="24"/>
        </w:rPr>
        <w:t>)</w:t>
      </w:r>
    </w:p>
    <w:p>
      <w:pPr>
        <w:tabs>
          <w:tab w:pos="4439" w:val="left" w:leader="none"/>
        </w:tabs>
        <w:spacing w:before="0"/>
        <w:ind w:left="119" w:right="0" w:firstLine="0"/>
        <w:jc w:val="left"/>
        <w:rPr>
          <w:b/>
          <w:sz w:val="24"/>
        </w:rPr>
      </w:pPr>
      <w:r>
        <w:rPr>
          <w:b/>
          <w:sz w:val="24"/>
        </w:rPr>
        <w:t>vs.</w:t>
        <w:tab/>
        <w:t>) MOTION FOR</w:t>
      </w:r>
      <w:r>
        <w:rPr>
          <w:b/>
          <w:spacing w:val="-5"/>
          <w:sz w:val="24"/>
        </w:rPr>
        <w:t> </w:t>
      </w:r>
      <w:r>
        <w:rPr>
          <w:b/>
          <w:sz w:val="24"/>
        </w:rPr>
        <w:t>DISCOVERY</w:t>
      </w:r>
    </w:p>
    <w:p>
      <w:pPr>
        <w:spacing w:before="0"/>
        <w:ind w:left="4439" w:right="0" w:firstLine="0"/>
        <w:jc w:val="left"/>
        <w:rPr>
          <w:b/>
          <w:sz w:val="24"/>
        </w:rPr>
      </w:pPr>
      <w:r>
        <w:rPr>
          <w:b/>
          <w:sz w:val="24"/>
        </w:rPr>
        <w:t>) (LABORATORY/SCIENTIFIC</w:t>
      </w:r>
    </w:p>
    <w:p>
      <w:pPr>
        <w:tabs>
          <w:tab w:pos="4439" w:val="left" w:leader="none"/>
          <w:tab w:pos="5418" w:val="left" w:leader="none"/>
        </w:tabs>
        <w:spacing w:before="0"/>
        <w:ind w:left="119" w:right="0" w:firstLine="0"/>
        <w:jc w:val="left"/>
        <w:rPr>
          <w:b/>
          <w:sz w:val="24"/>
        </w:rPr>
      </w:pPr>
      <w:r>
        <w:rPr>
          <w:b/>
          <w:sz w:val="24"/>
        </w:rPr>
        <w:t>DEFENDANT</w:t>
        <w:tab/>
        <w:t>)</w:t>
        <w:tab/>
        <w:t>EVIDENCE)</w:t>
      </w:r>
    </w:p>
    <w:p>
      <w:pPr>
        <w:spacing w:before="0"/>
        <w:ind w:left="39" w:right="0" w:firstLine="0"/>
        <w:jc w:val="center"/>
        <w:rPr>
          <w:b/>
          <w:sz w:val="24"/>
        </w:rPr>
      </w:pPr>
      <w:r>
        <w:rPr>
          <w:b/>
          <w:w w:val="99"/>
          <w:sz w:val="24"/>
        </w:rPr>
        <w:t>)</w:t>
      </w:r>
    </w:p>
    <w:p>
      <w:pPr>
        <w:tabs>
          <w:tab w:pos="4439" w:val="left" w:leader="none"/>
        </w:tabs>
        <w:spacing w:before="0"/>
        <w:ind w:left="1559" w:right="0" w:firstLine="0"/>
        <w:jc w:val="left"/>
        <w:rPr>
          <w:b/>
          <w:sz w:val="24"/>
        </w:rPr>
      </w:pPr>
      <w:r>
        <w:rPr>
          <w:b/>
          <w:sz w:val="24"/>
        </w:rPr>
        <w:t>Defendant.</w:t>
        <w:tab/>
        <w:t>)</w:t>
      </w:r>
    </w:p>
    <w:p>
      <w:pPr>
        <w:pStyle w:val="BodyText"/>
        <w:spacing w:before="3"/>
        <w:rPr>
          <w:b/>
          <w:sz w:val="19"/>
        </w:rPr>
      </w:pPr>
      <w:r>
        <w:rPr/>
        <w:pict>
          <v:line style="position:absolute;mso-position-horizontal-relative:page;mso-position-vertical-relative:paragraph;z-index:-1024;mso-wrap-distance-left:0;mso-wrap-distance-right:0" from="125.994072pt,13.311777pt" to="485.982852pt,13.311777pt" stroked="true" strokeweight=".479083pt" strokecolor="#000000">
            <v:stroke dashstyle="solid"/>
            <w10:wrap type="topAndBottom"/>
          </v:line>
        </w:pict>
      </w:r>
    </w:p>
    <w:p>
      <w:pPr>
        <w:pStyle w:val="BodyText"/>
        <w:rPr>
          <w:b/>
          <w:sz w:val="20"/>
        </w:rPr>
      </w:pPr>
    </w:p>
    <w:p>
      <w:pPr>
        <w:pStyle w:val="BodyText"/>
        <w:spacing w:before="7"/>
        <w:rPr>
          <w:b/>
          <w:sz w:val="17"/>
        </w:rPr>
      </w:pPr>
    </w:p>
    <w:p>
      <w:pPr>
        <w:pStyle w:val="BodyText"/>
        <w:spacing w:before="90"/>
        <w:ind w:left="840"/>
      </w:pPr>
      <w:r>
        <w:rPr>
          <w:b/>
        </w:rPr>
        <w:t>NOW   COMES   </w:t>
      </w:r>
      <w:r>
        <w:rPr/>
        <w:t>the   Defendant,   </w:t>
      </w:r>
      <w:r>
        <w:rPr>
          <w:spacing w:val="2"/>
        </w:rPr>
        <w:t>by  </w:t>
      </w:r>
      <w:r>
        <w:rPr/>
        <w:t>and   through   the   undersigned</w:t>
      </w:r>
      <w:r>
        <w:rPr>
          <w:spacing w:val="22"/>
        </w:rPr>
        <w:t> </w:t>
      </w:r>
      <w:r>
        <w:rPr/>
        <w:t>counsel,</w:t>
      </w:r>
    </w:p>
    <w:p>
      <w:pPr>
        <w:pStyle w:val="BodyText"/>
        <w:tabs>
          <w:tab w:pos="1079" w:val="left" w:leader="none"/>
        </w:tabs>
        <w:ind w:left="120" w:right="155" w:hanging="1"/>
        <w:jc w:val="both"/>
        <w:rPr>
          <w:b/>
          <w:i/>
        </w:rPr>
      </w:pPr>
      <w:r>
        <w:rPr>
          <w:w w:val="99"/>
          <w:u w:val="single"/>
        </w:rPr>
        <w:t> </w:t>
      </w:r>
      <w:r>
        <w:rPr>
          <w:u w:val="single"/>
        </w:rPr>
        <w:tab/>
      </w:r>
      <w:r>
        <w:rPr/>
        <w:t>, and hereby moves this Honorable Court, pursuant to the Fourth, Fifth, Sixth, Eighth, and Fourteenth Amendments to the United States Constitution; Article I §§ 19 and 23 of the North Carolina Constitution; </w:t>
      </w:r>
      <w:r>
        <w:rPr>
          <w:b/>
          <w:i/>
        </w:rPr>
        <w:t>Brady v. Maryland</w:t>
      </w:r>
      <w:r>
        <w:rPr/>
        <w:t>, 373 U.S. 83, 83 S.Ct. 1194, 10  L.Ed.2d 215 (1963) and its progeny;  N.C.Gen.Stat. §§ 15A-903(a)(2); </w:t>
      </w:r>
      <w:r>
        <w:rPr>
          <w:b/>
          <w:i/>
        </w:rPr>
        <w:t>State </w:t>
      </w:r>
      <w:r>
        <w:rPr>
          <w:b/>
          <w:i/>
          <w:spacing w:val="22"/>
        </w:rPr>
        <w:t> </w:t>
      </w:r>
      <w:r>
        <w:rPr>
          <w:b/>
          <w:i/>
        </w:rPr>
        <w:t>v.</w:t>
      </w:r>
    </w:p>
    <w:p>
      <w:pPr>
        <w:spacing w:before="0"/>
        <w:ind w:left="120" w:right="0" w:firstLine="0"/>
        <w:jc w:val="left"/>
        <w:rPr>
          <w:sz w:val="24"/>
        </w:rPr>
      </w:pPr>
      <w:r>
        <w:rPr>
          <w:b/>
          <w:i/>
          <w:sz w:val="24"/>
        </w:rPr>
        <w:t>Cunningham</w:t>
      </w:r>
      <w:r>
        <w:rPr>
          <w:sz w:val="24"/>
        </w:rPr>
        <w:t>, 108 N.C.App. 185, 423 S.E.2d 802 (1992); </w:t>
      </w:r>
      <w:r>
        <w:rPr>
          <w:b/>
          <w:i/>
          <w:sz w:val="24"/>
        </w:rPr>
        <w:t>State vs. Dunn</w:t>
      </w:r>
      <w:r>
        <w:rPr>
          <w:sz w:val="24"/>
        </w:rPr>
        <w:t>, 154 </w:t>
      </w:r>
      <w:r>
        <w:rPr>
          <w:spacing w:val="10"/>
          <w:sz w:val="24"/>
        </w:rPr>
        <w:t> </w:t>
      </w:r>
      <w:r>
        <w:rPr>
          <w:sz w:val="24"/>
        </w:rPr>
        <w:t>N.C.App.</w:t>
      </w:r>
    </w:p>
    <w:p>
      <w:pPr>
        <w:spacing w:before="0"/>
        <w:ind w:left="120" w:right="0" w:firstLine="0"/>
        <w:jc w:val="left"/>
        <w:rPr>
          <w:sz w:val="24"/>
        </w:rPr>
      </w:pPr>
      <w:r>
        <w:rPr>
          <w:sz w:val="24"/>
        </w:rPr>
        <w:t>1, 571 S.E.2d 650 (2002); </w:t>
      </w:r>
      <w:r>
        <w:rPr>
          <w:b/>
          <w:i/>
          <w:sz w:val="24"/>
        </w:rPr>
        <w:t>State v. Fair</w:t>
      </w:r>
      <w:r>
        <w:rPr>
          <w:sz w:val="24"/>
        </w:rPr>
        <w:t>, 164 N.C.App. 770 (2004); and </w:t>
      </w:r>
      <w:r>
        <w:rPr>
          <w:b/>
          <w:i/>
          <w:sz w:val="24"/>
        </w:rPr>
        <w:t>State v.</w:t>
      </w:r>
      <w:r>
        <w:rPr>
          <w:b/>
          <w:i/>
          <w:spacing w:val="23"/>
          <w:sz w:val="24"/>
        </w:rPr>
        <w:t> </w:t>
      </w:r>
      <w:r>
        <w:rPr>
          <w:b/>
          <w:i/>
          <w:sz w:val="24"/>
        </w:rPr>
        <w:t>Edwards</w:t>
      </w:r>
      <w:r>
        <w:rPr>
          <w:sz w:val="24"/>
        </w:rPr>
        <w:t>,</w:t>
      </w:r>
    </w:p>
    <w:p>
      <w:pPr>
        <w:pStyle w:val="BodyText"/>
        <w:ind w:left="120" w:right="157"/>
        <w:jc w:val="both"/>
      </w:pPr>
      <w:r>
        <w:rPr/>
        <w:t>174 N.C.App. 490, 621 S.E.2d 333 (2005), for an Order requiring the State to disclose to the defense the underlying basis for the opinions of any witnesses the State intends to call to present evidence of a scientific nature in these matters. In support of the foregoing Motion, the Defendant would show unto the Court as follows:</w:t>
      </w:r>
    </w:p>
    <w:p>
      <w:pPr>
        <w:pStyle w:val="BodyText"/>
      </w:pPr>
    </w:p>
    <w:p>
      <w:pPr>
        <w:pStyle w:val="ListParagraph"/>
        <w:numPr>
          <w:ilvl w:val="0"/>
          <w:numId w:val="1"/>
        </w:numPr>
        <w:tabs>
          <w:tab w:pos="1561" w:val="left" w:leader="none"/>
        </w:tabs>
        <w:spacing w:line="240" w:lineRule="auto" w:before="1" w:after="0"/>
        <w:ind w:left="1560" w:right="155" w:hanging="720"/>
        <w:jc w:val="both"/>
        <w:rPr>
          <w:sz w:val="24"/>
        </w:rPr>
      </w:pPr>
      <w:r>
        <w:rPr>
          <w:sz w:val="24"/>
        </w:rPr>
        <w:t>Undersigned Counsel was appointed to represent the Defendant in July, 2010 on charges of Second Degree Murder, Felony Aggravated Serious Injury </w:t>
      </w:r>
      <w:r>
        <w:rPr>
          <w:spacing w:val="2"/>
          <w:sz w:val="24"/>
        </w:rPr>
        <w:t>by </w:t>
      </w:r>
      <w:r>
        <w:rPr>
          <w:sz w:val="24"/>
        </w:rPr>
        <w:t>Motor Vehicle, Felony Hit and Run, DWI, and Habitual Felon in the above file</w:t>
      </w:r>
      <w:r>
        <w:rPr>
          <w:spacing w:val="-4"/>
          <w:sz w:val="24"/>
        </w:rPr>
        <w:t> </w:t>
      </w:r>
      <w:r>
        <w:rPr>
          <w:sz w:val="24"/>
        </w:rPr>
        <w:t>numbers.</w:t>
      </w:r>
    </w:p>
    <w:p>
      <w:pPr>
        <w:pStyle w:val="BodyText"/>
        <w:spacing w:before="11"/>
        <w:rPr>
          <w:sz w:val="23"/>
        </w:rPr>
      </w:pPr>
    </w:p>
    <w:p>
      <w:pPr>
        <w:pStyle w:val="ListParagraph"/>
        <w:numPr>
          <w:ilvl w:val="0"/>
          <w:numId w:val="1"/>
        </w:numPr>
        <w:tabs>
          <w:tab w:pos="1561" w:val="left" w:leader="none"/>
        </w:tabs>
        <w:spacing w:line="240" w:lineRule="auto" w:before="0" w:after="0"/>
        <w:ind w:left="1560" w:right="158" w:hanging="720"/>
        <w:jc w:val="both"/>
        <w:rPr>
          <w:sz w:val="24"/>
        </w:rPr>
      </w:pPr>
      <w:r>
        <w:rPr>
          <w:sz w:val="24"/>
        </w:rPr>
        <w:t>Based upon communications with the prosecution in this matter, it is known that these matters are set for trial beginning</w:t>
      </w:r>
      <w:r>
        <w:rPr>
          <w:spacing w:val="-7"/>
          <w:sz w:val="24"/>
        </w:rPr>
        <w:t> </w:t>
      </w:r>
      <w:r>
        <w:rPr>
          <w:sz w:val="24"/>
        </w:rPr>
        <w:t>DATE.</w:t>
      </w:r>
    </w:p>
    <w:p>
      <w:pPr>
        <w:pStyle w:val="BodyText"/>
      </w:pPr>
    </w:p>
    <w:p>
      <w:pPr>
        <w:pStyle w:val="ListParagraph"/>
        <w:numPr>
          <w:ilvl w:val="0"/>
          <w:numId w:val="1"/>
        </w:numPr>
        <w:tabs>
          <w:tab w:pos="1561" w:val="left" w:leader="none"/>
        </w:tabs>
        <w:spacing w:line="240" w:lineRule="auto" w:before="0" w:after="0"/>
        <w:ind w:left="1560" w:right="159" w:hanging="720"/>
        <w:jc w:val="both"/>
        <w:rPr>
          <w:sz w:val="24"/>
        </w:rPr>
      </w:pPr>
      <w:r>
        <w:rPr>
          <w:sz w:val="24"/>
        </w:rPr>
        <w:t>On DATE, the prosecution filed a Notice of Intent to Introduce Expert Testimony in 09 CRS XXXX, providing the defense with notice of the State’s intent to introduce the expert testimony of AGENT, in the area of forensic chemistry, employed </w:t>
      </w:r>
      <w:r>
        <w:rPr>
          <w:spacing w:val="2"/>
          <w:sz w:val="24"/>
        </w:rPr>
        <w:t>by </w:t>
      </w:r>
      <w:r>
        <w:rPr>
          <w:sz w:val="24"/>
        </w:rPr>
        <w:t>the North Carolina State Bureau of Investigation.</w:t>
      </w:r>
    </w:p>
    <w:p>
      <w:pPr>
        <w:pStyle w:val="BodyText"/>
      </w:pPr>
    </w:p>
    <w:p>
      <w:pPr>
        <w:pStyle w:val="ListParagraph"/>
        <w:numPr>
          <w:ilvl w:val="0"/>
          <w:numId w:val="1"/>
        </w:numPr>
        <w:tabs>
          <w:tab w:pos="1561" w:val="left" w:leader="none"/>
        </w:tabs>
        <w:spacing w:line="240" w:lineRule="auto" w:before="0" w:after="0"/>
        <w:ind w:left="1560" w:right="158" w:hanging="720"/>
        <w:jc w:val="both"/>
        <w:rPr>
          <w:sz w:val="24"/>
        </w:rPr>
      </w:pPr>
      <w:r>
        <w:rPr>
          <w:sz w:val="24"/>
        </w:rPr>
        <w:t>Upon information and belief, AGENT is the same individual who tested the defendant’s blood for a deoxyribonucleic acid (DNA)</w:t>
      </w:r>
      <w:r>
        <w:rPr>
          <w:spacing w:val="-9"/>
          <w:sz w:val="24"/>
        </w:rPr>
        <w:t> </w:t>
      </w:r>
      <w:r>
        <w:rPr>
          <w:sz w:val="24"/>
        </w:rPr>
        <w:t>match.</w:t>
      </w:r>
    </w:p>
    <w:p>
      <w:pPr>
        <w:pStyle w:val="BodyText"/>
      </w:pPr>
    </w:p>
    <w:p>
      <w:pPr>
        <w:pStyle w:val="ListParagraph"/>
        <w:numPr>
          <w:ilvl w:val="0"/>
          <w:numId w:val="1"/>
        </w:numPr>
        <w:tabs>
          <w:tab w:pos="1561" w:val="left" w:leader="none"/>
        </w:tabs>
        <w:spacing w:line="240" w:lineRule="auto" w:before="0" w:after="0"/>
        <w:ind w:left="1560" w:right="160" w:hanging="720"/>
        <w:jc w:val="both"/>
        <w:rPr>
          <w:sz w:val="24"/>
        </w:rPr>
      </w:pPr>
      <w:r>
        <w:rPr>
          <w:sz w:val="24"/>
        </w:rPr>
        <w:t>The prosecution has previously provided a laboratory report of the North Carolina State Bureau of Investigation dated DATE in which</w:t>
      </w:r>
      <w:r>
        <w:rPr>
          <w:spacing w:val="16"/>
          <w:sz w:val="24"/>
        </w:rPr>
        <w:t> </w:t>
      </w:r>
      <w:r>
        <w:rPr>
          <w:sz w:val="24"/>
        </w:rPr>
        <w:t>AGENT</w:t>
      </w:r>
    </w:p>
    <w:p>
      <w:pPr>
        <w:spacing w:after="0" w:line="240" w:lineRule="auto"/>
        <w:jc w:val="both"/>
        <w:rPr>
          <w:sz w:val="24"/>
        </w:rPr>
        <w:sectPr>
          <w:type w:val="continuous"/>
          <w:pgSz w:w="12240" w:h="15840"/>
          <w:pgMar w:top="1360" w:bottom="280" w:left="1680" w:right="1640"/>
        </w:sectPr>
      </w:pPr>
    </w:p>
    <w:p>
      <w:pPr>
        <w:pStyle w:val="BodyText"/>
        <w:spacing w:before="72"/>
        <w:ind w:left="1559"/>
      </w:pPr>
      <w:r>
        <w:rPr/>
        <w:t>concluded that the collected sample (evidence) matched the DNA found in Defendant’s blood.</w:t>
      </w:r>
    </w:p>
    <w:p>
      <w:pPr>
        <w:pStyle w:val="BodyText"/>
      </w:pPr>
    </w:p>
    <w:p>
      <w:pPr>
        <w:pStyle w:val="ListParagraph"/>
        <w:numPr>
          <w:ilvl w:val="0"/>
          <w:numId w:val="1"/>
        </w:numPr>
        <w:tabs>
          <w:tab w:pos="1560" w:val="left" w:leader="none"/>
        </w:tabs>
        <w:spacing w:line="240" w:lineRule="auto" w:before="0" w:after="0"/>
        <w:ind w:left="1559" w:right="157" w:hanging="719"/>
        <w:jc w:val="both"/>
        <w:rPr>
          <w:sz w:val="24"/>
        </w:rPr>
      </w:pPr>
      <w:r>
        <w:rPr>
          <w:sz w:val="24"/>
        </w:rPr>
        <w:t>Pursuant to the legal authorities cited in the preamble of this Motion, the Defendant hereby moves the Court to enter and Order commanding the prosecution to provide the following information within ten days prior to the trial of these</w:t>
      </w:r>
      <w:r>
        <w:rPr>
          <w:spacing w:val="-4"/>
          <w:sz w:val="24"/>
        </w:rPr>
        <w:t> </w:t>
      </w:r>
      <w:r>
        <w:rPr>
          <w:sz w:val="24"/>
        </w:rPr>
        <w:t>matters:</w:t>
      </w:r>
    </w:p>
    <w:p>
      <w:pPr>
        <w:pStyle w:val="BodyText"/>
      </w:pPr>
    </w:p>
    <w:p>
      <w:pPr>
        <w:pStyle w:val="ListParagraph"/>
        <w:numPr>
          <w:ilvl w:val="1"/>
          <w:numId w:val="1"/>
        </w:numPr>
        <w:tabs>
          <w:tab w:pos="2279" w:val="left" w:leader="none"/>
          <w:tab w:pos="2280" w:val="left" w:leader="none"/>
        </w:tabs>
        <w:spacing w:line="240" w:lineRule="auto" w:before="0" w:after="0"/>
        <w:ind w:left="2280" w:right="0" w:hanging="720"/>
        <w:jc w:val="left"/>
        <w:rPr>
          <w:sz w:val="24"/>
        </w:rPr>
      </w:pPr>
      <w:r>
        <w:rPr>
          <w:sz w:val="24"/>
        </w:rPr>
        <w:t>Any and all scientific conclusions the State intends to offer at</w:t>
      </w:r>
      <w:r>
        <w:rPr>
          <w:spacing w:val="-22"/>
          <w:sz w:val="24"/>
        </w:rPr>
        <w:t> </w:t>
      </w:r>
      <w:r>
        <w:rPr>
          <w:sz w:val="24"/>
        </w:rPr>
        <w:t>trial;</w:t>
      </w:r>
    </w:p>
    <w:p>
      <w:pPr>
        <w:pStyle w:val="BodyText"/>
      </w:pPr>
    </w:p>
    <w:p>
      <w:pPr>
        <w:pStyle w:val="ListParagraph"/>
        <w:numPr>
          <w:ilvl w:val="1"/>
          <w:numId w:val="1"/>
        </w:numPr>
        <w:tabs>
          <w:tab w:pos="2279" w:val="left" w:leader="none"/>
          <w:tab w:pos="2280" w:val="left" w:leader="none"/>
        </w:tabs>
        <w:spacing w:line="240" w:lineRule="auto" w:before="0" w:after="0"/>
        <w:ind w:left="2280" w:right="0" w:hanging="721"/>
        <w:jc w:val="left"/>
        <w:rPr>
          <w:sz w:val="24"/>
        </w:rPr>
      </w:pPr>
      <w:r>
        <w:rPr>
          <w:sz w:val="24"/>
        </w:rPr>
        <w:t>Any and all bases for said scientific</w:t>
      </w:r>
      <w:r>
        <w:rPr>
          <w:spacing w:val="-6"/>
          <w:sz w:val="24"/>
        </w:rPr>
        <w:t> </w:t>
      </w:r>
      <w:r>
        <w:rPr>
          <w:sz w:val="24"/>
        </w:rPr>
        <w:t>conclusions;</w:t>
      </w:r>
    </w:p>
    <w:p>
      <w:pPr>
        <w:pStyle w:val="BodyText"/>
      </w:pPr>
    </w:p>
    <w:p>
      <w:pPr>
        <w:pStyle w:val="ListParagraph"/>
        <w:numPr>
          <w:ilvl w:val="1"/>
          <w:numId w:val="1"/>
        </w:numPr>
        <w:tabs>
          <w:tab w:pos="2279" w:val="left" w:leader="none"/>
          <w:tab w:pos="2280" w:val="left" w:leader="none"/>
        </w:tabs>
        <w:spacing w:line="240" w:lineRule="auto" w:before="0" w:after="0"/>
        <w:ind w:left="2280" w:right="0" w:hanging="720"/>
        <w:jc w:val="left"/>
        <w:rPr>
          <w:sz w:val="24"/>
        </w:rPr>
      </w:pPr>
      <w:r>
        <w:rPr>
          <w:sz w:val="24"/>
        </w:rPr>
        <w:t>Any and all procedures and tests used to reach said</w:t>
      </w:r>
      <w:r>
        <w:rPr>
          <w:spacing w:val="-14"/>
          <w:sz w:val="24"/>
        </w:rPr>
        <w:t> </w:t>
      </w:r>
      <w:r>
        <w:rPr>
          <w:sz w:val="24"/>
        </w:rPr>
        <w:t>conclusions;</w:t>
      </w:r>
    </w:p>
    <w:p>
      <w:pPr>
        <w:pStyle w:val="BodyText"/>
      </w:pPr>
    </w:p>
    <w:p>
      <w:pPr>
        <w:pStyle w:val="ListParagraph"/>
        <w:numPr>
          <w:ilvl w:val="1"/>
          <w:numId w:val="1"/>
        </w:numPr>
        <w:tabs>
          <w:tab w:pos="2280" w:val="left" w:leader="none"/>
        </w:tabs>
        <w:spacing w:line="240" w:lineRule="auto" w:before="0" w:after="0"/>
        <w:ind w:left="2280" w:right="158" w:hanging="720"/>
        <w:jc w:val="both"/>
        <w:rPr>
          <w:sz w:val="24"/>
        </w:rPr>
      </w:pPr>
      <w:r>
        <w:rPr>
          <w:sz w:val="24"/>
        </w:rPr>
        <w:t>Any and all data generated by the procedures and used to reach said</w:t>
      </w:r>
      <w:r>
        <w:rPr>
          <w:spacing w:val="-1"/>
          <w:sz w:val="24"/>
        </w:rPr>
        <w:t> </w:t>
      </w:r>
      <w:r>
        <w:rPr>
          <w:sz w:val="24"/>
        </w:rPr>
        <w:t>conclusions;</w:t>
      </w:r>
    </w:p>
    <w:p>
      <w:pPr>
        <w:pStyle w:val="BodyText"/>
      </w:pPr>
    </w:p>
    <w:p>
      <w:pPr>
        <w:pStyle w:val="ListParagraph"/>
        <w:numPr>
          <w:ilvl w:val="1"/>
          <w:numId w:val="1"/>
        </w:numPr>
        <w:tabs>
          <w:tab w:pos="2280" w:val="left" w:leader="none"/>
        </w:tabs>
        <w:spacing w:line="240" w:lineRule="auto" w:before="0" w:after="0"/>
        <w:ind w:left="2280" w:right="158" w:hanging="720"/>
        <w:jc w:val="both"/>
        <w:rPr>
          <w:sz w:val="24"/>
        </w:rPr>
      </w:pPr>
      <w:r>
        <w:rPr>
          <w:sz w:val="24"/>
        </w:rPr>
        <w:t>Any and all procedures the State’s expert should have used to reach said conclusions; such procedures generally being termed “protocols.”</w:t>
      </w:r>
    </w:p>
    <w:p>
      <w:pPr>
        <w:pStyle w:val="BodyText"/>
      </w:pPr>
    </w:p>
    <w:p>
      <w:pPr>
        <w:pStyle w:val="ListParagraph"/>
        <w:numPr>
          <w:ilvl w:val="1"/>
          <w:numId w:val="1"/>
        </w:numPr>
        <w:tabs>
          <w:tab w:pos="2280" w:val="left" w:leader="none"/>
        </w:tabs>
        <w:spacing w:line="240" w:lineRule="auto" w:before="0" w:after="0"/>
        <w:ind w:left="2280" w:right="157" w:hanging="720"/>
        <w:jc w:val="both"/>
        <w:rPr>
          <w:sz w:val="24"/>
        </w:rPr>
      </w:pPr>
      <w:r>
        <w:rPr>
          <w:sz w:val="24"/>
        </w:rPr>
        <w:t>A complete record of the manner in which all evidence items, whether or not attributed to the accused, were located, developed and obtained and </w:t>
      </w:r>
      <w:r>
        <w:rPr>
          <w:spacing w:val="2"/>
          <w:sz w:val="24"/>
        </w:rPr>
        <w:t>by </w:t>
      </w:r>
      <w:r>
        <w:rPr>
          <w:sz w:val="24"/>
        </w:rPr>
        <w:t>whom, including but not limited to evidence items used in “DNA” extraction and/or</w:t>
      </w:r>
      <w:r>
        <w:rPr>
          <w:spacing w:val="-2"/>
          <w:sz w:val="24"/>
        </w:rPr>
        <w:t> </w:t>
      </w:r>
      <w:r>
        <w:rPr>
          <w:sz w:val="24"/>
        </w:rPr>
        <w:t>analysis;</w:t>
      </w:r>
    </w:p>
    <w:p>
      <w:pPr>
        <w:pStyle w:val="BodyText"/>
      </w:pPr>
    </w:p>
    <w:p>
      <w:pPr>
        <w:pStyle w:val="ListParagraph"/>
        <w:numPr>
          <w:ilvl w:val="1"/>
          <w:numId w:val="1"/>
        </w:numPr>
        <w:tabs>
          <w:tab w:pos="2280" w:val="left" w:leader="none"/>
        </w:tabs>
        <w:spacing w:line="240" w:lineRule="auto" w:before="0" w:after="0"/>
        <w:ind w:left="2279" w:right="158" w:hanging="720"/>
        <w:jc w:val="both"/>
        <w:rPr>
          <w:sz w:val="24"/>
        </w:rPr>
      </w:pPr>
      <w:r>
        <w:rPr>
          <w:sz w:val="24"/>
        </w:rPr>
        <w:t>A complete record of all bench notes maintained by DNA evidence collectors and DNA examiners in the course of analyzing any and all evidence in this</w:t>
      </w:r>
      <w:r>
        <w:rPr>
          <w:spacing w:val="-2"/>
          <w:sz w:val="24"/>
        </w:rPr>
        <w:t> </w:t>
      </w:r>
      <w:r>
        <w:rPr>
          <w:sz w:val="24"/>
        </w:rPr>
        <w:t>case;</w:t>
      </w:r>
    </w:p>
    <w:p>
      <w:pPr>
        <w:pStyle w:val="BodyText"/>
      </w:pPr>
    </w:p>
    <w:p>
      <w:pPr>
        <w:pStyle w:val="ListParagraph"/>
        <w:numPr>
          <w:ilvl w:val="1"/>
          <w:numId w:val="1"/>
        </w:numPr>
        <w:tabs>
          <w:tab w:pos="2280" w:val="left" w:leader="none"/>
        </w:tabs>
        <w:spacing w:line="240" w:lineRule="auto" w:before="0" w:after="0"/>
        <w:ind w:left="2279" w:right="159" w:hanging="720"/>
        <w:jc w:val="both"/>
        <w:rPr>
          <w:sz w:val="24"/>
        </w:rPr>
      </w:pPr>
      <w:r>
        <w:rPr>
          <w:sz w:val="24"/>
        </w:rPr>
        <w:t>Copies of any and all quality assurance and training guidelines and protocols used in the laboratories that collected and/or analyzed the DNA</w:t>
      </w:r>
      <w:r>
        <w:rPr>
          <w:spacing w:val="-2"/>
          <w:sz w:val="24"/>
        </w:rPr>
        <w:t> </w:t>
      </w:r>
      <w:r>
        <w:rPr>
          <w:sz w:val="24"/>
        </w:rPr>
        <w:t>evidence;</w:t>
      </w:r>
    </w:p>
    <w:p>
      <w:pPr>
        <w:pStyle w:val="BodyText"/>
      </w:pPr>
    </w:p>
    <w:p>
      <w:pPr>
        <w:pStyle w:val="ListParagraph"/>
        <w:numPr>
          <w:ilvl w:val="1"/>
          <w:numId w:val="1"/>
        </w:numPr>
        <w:tabs>
          <w:tab w:pos="2280" w:val="left" w:leader="none"/>
        </w:tabs>
        <w:spacing w:line="240" w:lineRule="auto" w:before="0" w:after="0"/>
        <w:ind w:left="2279" w:right="153" w:hanging="720"/>
        <w:jc w:val="both"/>
        <w:rPr>
          <w:sz w:val="24"/>
        </w:rPr>
      </w:pPr>
      <w:r>
        <w:rPr>
          <w:sz w:val="24"/>
        </w:rPr>
        <w:t>A complete record of chain of custody, including time and date of collection, name and affiliation of custodian personnel, treatment and handling of all DNA evidence, including but not limited to any DNA collection kits, such as Sexual Offense Evidence Collection (SOEC) kit, “Rape Kit”, or similar, from point of sample collection up to and including current disposition of the</w:t>
      </w:r>
      <w:r>
        <w:rPr>
          <w:spacing w:val="-11"/>
          <w:sz w:val="24"/>
        </w:rPr>
        <w:t> </w:t>
      </w:r>
      <w:r>
        <w:rPr>
          <w:sz w:val="24"/>
        </w:rPr>
        <w:t>evidence;</w:t>
      </w:r>
    </w:p>
    <w:p>
      <w:pPr>
        <w:pStyle w:val="BodyText"/>
      </w:pPr>
    </w:p>
    <w:p>
      <w:pPr>
        <w:pStyle w:val="ListParagraph"/>
        <w:numPr>
          <w:ilvl w:val="1"/>
          <w:numId w:val="1"/>
        </w:numPr>
        <w:tabs>
          <w:tab w:pos="2280" w:val="left" w:leader="none"/>
        </w:tabs>
        <w:spacing w:line="240" w:lineRule="auto" w:before="1" w:after="0"/>
        <w:ind w:left="2279" w:right="155" w:hanging="720"/>
        <w:jc w:val="both"/>
        <w:rPr>
          <w:sz w:val="24"/>
        </w:rPr>
      </w:pPr>
      <w:r>
        <w:rPr>
          <w:sz w:val="24"/>
        </w:rPr>
        <w:t>A complete list of all automated and/or manual DNA extractions, DNA purification, amplification (PCR), electrophoresis kits, reagent expiration dates, testing and analysis hardware and software used in this case, including the name of the software program, manufacturer and version used, and laboratory</w:t>
      </w:r>
      <w:r>
        <w:rPr>
          <w:spacing w:val="-16"/>
          <w:sz w:val="24"/>
        </w:rPr>
        <w:t> </w:t>
      </w:r>
      <w:r>
        <w:rPr>
          <w:sz w:val="24"/>
        </w:rPr>
        <w:t>equipment</w:t>
      </w:r>
    </w:p>
    <w:p>
      <w:pPr>
        <w:spacing w:after="0" w:line="240" w:lineRule="auto"/>
        <w:jc w:val="both"/>
        <w:rPr>
          <w:sz w:val="24"/>
        </w:rPr>
        <w:sectPr>
          <w:pgSz w:w="12240" w:h="15840"/>
          <w:pgMar w:top="1360" w:bottom="280" w:left="1680" w:right="1640"/>
        </w:sectPr>
      </w:pPr>
    </w:p>
    <w:p>
      <w:pPr>
        <w:pStyle w:val="BodyText"/>
        <w:spacing w:before="72"/>
        <w:ind w:left="2279"/>
      </w:pPr>
      <w:r>
        <w:rPr/>
        <w:t>calibration and validation as per the prescribed guidelines for each instrument and lab procedure used;</w:t>
      </w:r>
    </w:p>
    <w:p>
      <w:pPr>
        <w:pStyle w:val="BodyText"/>
      </w:pPr>
    </w:p>
    <w:p>
      <w:pPr>
        <w:pStyle w:val="ListParagraph"/>
        <w:numPr>
          <w:ilvl w:val="1"/>
          <w:numId w:val="1"/>
        </w:numPr>
        <w:tabs>
          <w:tab w:pos="2280" w:val="left" w:leader="none"/>
        </w:tabs>
        <w:spacing w:line="240" w:lineRule="auto" w:before="0" w:after="0"/>
        <w:ind w:left="2279" w:right="155" w:hanging="719"/>
        <w:jc w:val="both"/>
        <w:rPr>
          <w:sz w:val="24"/>
        </w:rPr>
      </w:pPr>
      <w:r>
        <w:rPr>
          <w:sz w:val="24"/>
        </w:rPr>
        <w:t>A complete hard copy and raw data record of any and all DNA quantitation for each sample, standard curves used for DNA quantity determination, PCR sample plate layouts, electorphoresis sample plate layouts, electropherograms or “trace” data obtained from analyzing all the DNA evidence in connection with this case, including but not limited to positive controls, negative controls, internal “known” controls such as DNAs from lab or clinic personnel who were involved in sample identification, extraction, and</w:t>
      </w:r>
      <w:r>
        <w:rPr>
          <w:spacing w:val="-1"/>
          <w:sz w:val="24"/>
        </w:rPr>
        <w:t> </w:t>
      </w:r>
      <w:r>
        <w:rPr>
          <w:sz w:val="24"/>
        </w:rPr>
        <w:t>analysis;</w:t>
      </w:r>
    </w:p>
    <w:p>
      <w:pPr>
        <w:pStyle w:val="BodyText"/>
      </w:pPr>
    </w:p>
    <w:p>
      <w:pPr>
        <w:pStyle w:val="ListParagraph"/>
        <w:numPr>
          <w:ilvl w:val="1"/>
          <w:numId w:val="1"/>
        </w:numPr>
        <w:tabs>
          <w:tab w:pos="2280" w:val="left" w:leader="none"/>
        </w:tabs>
        <w:spacing w:line="240" w:lineRule="auto" w:before="0" w:after="0"/>
        <w:ind w:left="2279" w:right="157" w:hanging="720"/>
        <w:jc w:val="both"/>
        <w:rPr>
          <w:sz w:val="24"/>
        </w:rPr>
      </w:pPr>
      <w:r>
        <w:rPr>
          <w:sz w:val="24"/>
        </w:rPr>
        <w:t>Internal standards, ladders, including the 250 bp standard for equipment calibration, any indications whether samples underwent reruns or longer injection times as pertaining to electrophoresis equipment, software allele calls including peak heights, manual allele calls, including an explanation of such calls for known or ambiguous peaks, complete data used to analyze allele frequencies for all relevant ethnic populations used in calculating match probabilities and odds of inclusion/exclusion for any and all match or mismatch correlations used in connection with this</w:t>
      </w:r>
      <w:r>
        <w:rPr>
          <w:spacing w:val="-10"/>
          <w:sz w:val="24"/>
        </w:rPr>
        <w:t> </w:t>
      </w:r>
      <w:r>
        <w:rPr>
          <w:sz w:val="24"/>
        </w:rPr>
        <w:t>case;</w:t>
      </w:r>
    </w:p>
    <w:p>
      <w:pPr>
        <w:pStyle w:val="BodyText"/>
      </w:pPr>
    </w:p>
    <w:p>
      <w:pPr>
        <w:pStyle w:val="ListParagraph"/>
        <w:numPr>
          <w:ilvl w:val="1"/>
          <w:numId w:val="1"/>
        </w:numPr>
        <w:tabs>
          <w:tab w:pos="2280" w:val="left" w:leader="none"/>
        </w:tabs>
        <w:spacing w:line="240" w:lineRule="auto" w:before="0" w:after="0"/>
        <w:ind w:left="2279" w:right="157" w:hanging="720"/>
        <w:jc w:val="both"/>
        <w:rPr>
          <w:sz w:val="24"/>
        </w:rPr>
      </w:pPr>
      <w:r>
        <w:rPr>
          <w:sz w:val="24"/>
        </w:rPr>
        <w:t>A copy of all licenses or other certification of accreditation in DNA sample collection and analysis held </w:t>
      </w:r>
      <w:r>
        <w:rPr>
          <w:spacing w:val="2"/>
          <w:sz w:val="24"/>
        </w:rPr>
        <w:t>by </w:t>
      </w:r>
      <w:r>
        <w:rPr>
          <w:sz w:val="24"/>
        </w:rPr>
        <w:t>the laboratory(ies) or clinics involved in any DNA evidence collection and/or DNA analysis in the present</w:t>
      </w:r>
      <w:r>
        <w:rPr>
          <w:spacing w:val="-2"/>
          <w:sz w:val="24"/>
        </w:rPr>
        <w:t> </w:t>
      </w:r>
      <w:r>
        <w:rPr>
          <w:sz w:val="24"/>
        </w:rPr>
        <w:t>case;</w:t>
      </w:r>
    </w:p>
    <w:p>
      <w:pPr>
        <w:pStyle w:val="BodyText"/>
      </w:pPr>
    </w:p>
    <w:p>
      <w:pPr>
        <w:pStyle w:val="ListParagraph"/>
        <w:numPr>
          <w:ilvl w:val="1"/>
          <w:numId w:val="1"/>
        </w:numPr>
        <w:tabs>
          <w:tab w:pos="2280" w:val="left" w:leader="none"/>
        </w:tabs>
        <w:spacing w:line="240" w:lineRule="auto" w:before="0" w:after="0"/>
        <w:ind w:left="2279" w:right="157" w:hanging="720"/>
        <w:jc w:val="both"/>
        <w:rPr>
          <w:sz w:val="24"/>
        </w:rPr>
      </w:pPr>
      <w:r>
        <w:rPr>
          <w:sz w:val="24"/>
        </w:rPr>
        <w:t>The complete resume or curriculum vita of each individual involved in the collection, preservation, and analysis, of the DNA evidence, including but not limited to job description, education and training, proficiency and competency testing and results, and testimony</w:t>
      </w:r>
      <w:r>
        <w:rPr>
          <w:spacing w:val="-6"/>
          <w:sz w:val="24"/>
        </w:rPr>
        <w:t> </w:t>
      </w:r>
      <w:r>
        <w:rPr>
          <w:sz w:val="24"/>
        </w:rPr>
        <w:t>reviews.</w:t>
      </w:r>
    </w:p>
    <w:p>
      <w:pPr>
        <w:pStyle w:val="BodyText"/>
      </w:pPr>
    </w:p>
    <w:p>
      <w:pPr>
        <w:pStyle w:val="ListParagraph"/>
        <w:numPr>
          <w:ilvl w:val="1"/>
          <w:numId w:val="1"/>
        </w:numPr>
        <w:tabs>
          <w:tab w:pos="2280" w:val="left" w:leader="none"/>
        </w:tabs>
        <w:spacing w:line="240" w:lineRule="auto" w:before="0" w:after="0"/>
        <w:ind w:left="2279" w:right="157" w:hanging="720"/>
        <w:jc w:val="both"/>
        <w:rPr>
          <w:sz w:val="24"/>
        </w:rPr>
      </w:pPr>
      <w:r>
        <w:rPr>
          <w:sz w:val="24"/>
        </w:rPr>
        <w:t>Copies of certification exam results for each analyst, technician and reviewer responsible for preparation or analysis of subject specimens or review of analysis, including, but not limited  to: each letter specifying the results of the exam and a list of topics where the analyst missed more than 20% of the questions (the second page of the second letter from the American Board of Criminalistics).</w:t>
      </w:r>
    </w:p>
    <w:p>
      <w:pPr>
        <w:pStyle w:val="BodyText"/>
      </w:pPr>
    </w:p>
    <w:p>
      <w:pPr>
        <w:pStyle w:val="ListParagraph"/>
        <w:numPr>
          <w:ilvl w:val="1"/>
          <w:numId w:val="1"/>
        </w:numPr>
        <w:tabs>
          <w:tab w:pos="2280" w:val="left" w:leader="none"/>
        </w:tabs>
        <w:spacing w:line="240" w:lineRule="auto" w:before="1" w:after="0"/>
        <w:ind w:left="2279" w:right="159" w:hanging="720"/>
        <w:jc w:val="both"/>
        <w:rPr>
          <w:sz w:val="24"/>
        </w:rPr>
      </w:pPr>
      <w:r>
        <w:rPr>
          <w:sz w:val="24"/>
        </w:rPr>
        <w:t>Copies of all documentation related to corrective actions for each analyst and technician responsible for preparation of analysis of subject</w:t>
      </w:r>
      <w:r>
        <w:rPr>
          <w:spacing w:val="-1"/>
          <w:sz w:val="24"/>
        </w:rPr>
        <w:t> </w:t>
      </w:r>
      <w:r>
        <w:rPr>
          <w:sz w:val="24"/>
        </w:rPr>
        <w:t>specimens;</w:t>
      </w:r>
    </w:p>
    <w:p>
      <w:pPr>
        <w:spacing w:after="0" w:line="240" w:lineRule="auto"/>
        <w:jc w:val="both"/>
        <w:rPr>
          <w:sz w:val="24"/>
        </w:rPr>
        <w:sectPr>
          <w:pgSz w:w="12240" w:h="15840"/>
          <w:pgMar w:top="1360" w:bottom="280" w:left="1680" w:right="1640"/>
        </w:sectPr>
      </w:pPr>
    </w:p>
    <w:p>
      <w:pPr>
        <w:pStyle w:val="ListParagraph"/>
        <w:numPr>
          <w:ilvl w:val="1"/>
          <w:numId w:val="1"/>
        </w:numPr>
        <w:tabs>
          <w:tab w:pos="2280" w:val="left" w:leader="none"/>
        </w:tabs>
        <w:spacing w:line="240" w:lineRule="auto" w:before="72" w:after="0"/>
        <w:ind w:left="2280" w:right="155" w:hanging="720"/>
        <w:jc w:val="both"/>
        <w:rPr>
          <w:sz w:val="24"/>
        </w:rPr>
      </w:pPr>
      <w:r>
        <w:rPr>
          <w:sz w:val="24"/>
        </w:rPr>
        <w:t>Copies of the corrective action report and corrective action tracking, quality assurance review tracking and non-conformity tracking for the DNA Section and all sections of the State Crime Lab;</w:t>
      </w:r>
    </w:p>
    <w:p>
      <w:pPr>
        <w:pStyle w:val="BodyText"/>
      </w:pPr>
    </w:p>
    <w:p>
      <w:pPr>
        <w:pStyle w:val="ListParagraph"/>
        <w:numPr>
          <w:ilvl w:val="1"/>
          <w:numId w:val="1"/>
        </w:numPr>
        <w:tabs>
          <w:tab w:pos="2280" w:val="left" w:leader="none"/>
        </w:tabs>
        <w:spacing w:line="240" w:lineRule="auto" w:before="0" w:after="0"/>
        <w:ind w:left="2280" w:right="159" w:hanging="720"/>
        <w:jc w:val="both"/>
        <w:rPr>
          <w:sz w:val="24"/>
        </w:rPr>
      </w:pPr>
      <w:r>
        <w:rPr>
          <w:sz w:val="24"/>
        </w:rPr>
        <w:t>Copy of the Unexpected Results Log and instances of unintended DNA transfer or sample contamination. Copies of all records maintained in the laboratory that document instances of unintended transfer of DNA or sample contamination, such as instances of negative controls that demonstrated the presence of DNA or the detection of unexpected extra alleles in the control or reference samples, and any corrective measures</w:t>
      </w:r>
      <w:r>
        <w:rPr>
          <w:spacing w:val="-8"/>
          <w:sz w:val="24"/>
        </w:rPr>
        <w:t> </w:t>
      </w:r>
      <w:r>
        <w:rPr>
          <w:sz w:val="24"/>
        </w:rPr>
        <w:t>taken;</w:t>
      </w:r>
    </w:p>
    <w:p>
      <w:pPr>
        <w:pStyle w:val="BodyText"/>
      </w:pPr>
    </w:p>
    <w:p>
      <w:pPr>
        <w:pStyle w:val="ListParagraph"/>
        <w:numPr>
          <w:ilvl w:val="0"/>
          <w:numId w:val="1"/>
        </w:numPr>
        <w:tabs>
          <w:tab w:pos="1560" w:val="left" w:leader="none"/>
        </w:tabs>
        <w:spacing w:line="240" w:lineRule="auto" w:before="0" w:after="0"/>
        <w:ind w:left="1559" w:right="158" w:hanging="720"/>
        <w:jc w:val="both"/>
        <w:rPr>
          <w:sz w:val="24"/>
        </w:rPr>
      </w:pPr>
      <w:r>
        <w:rPr>
          <w:sz w:val="24"/>
        </w:rPr>
        <w:t>These records should include all the data necessary to conduct an independent analysis of the raw data and to reconstruct the analysis performed in the present</w:t>
      </w:r>
      <w:r>
        <w:rPr>
          <w:spacing w:val="1"/>
          <w:sz w:val="24"/>
        </w:rPr>
        <w:t> </w:t>
      </w:r>
      <w:r>
        <w:rPr>
          <w:sz w:val="24"/>
        </w:rPr>
        <w:t>case.</w:t>
      </w:r>
    </w:p>
    <w:p>
      <w:pPr>
        <w:pStyle w:val="BodyText"/>
      </w:pPr>
    </w:p>
    <w:p>
      <w:pPr>
        <w:pStyle w:val="ListParagraph"/>
        <w:numPr>
          <w:ilvl w:val="0"/>
          <w:numId w:val="1"/>
        </w:numPr>
        <w:tabs>
          <w:tab w:pos="1561" w:val="left" w:leader="none"/>
        </w:tabs>
        <w:spacing w:line="240" w:lineRule="auto" w:before="0" w:after="0"/>
        <w:ind w:left="1560" w:right="159" w:hanging="720"/>
        <w:jc w:val="both"/>
        <w:rPr>
          <w:sz w:val="24"/>
        </w:rPr>
      </w:pPr>
      <w:r>
        <w:rPr>
          <w:sz w:val="24"/>
        </w:rPr>
        <w:t>The requested information/documentation is critical to ensuring that the Defendant’s rights to effective assistance of counsel, confrontation and cross-examination, and due process are</w:t>
      </w:r>
      <w:r>
        <w:rPr>
          <w:spacing w:val="-2"/>
          <w:sz w:val="24"/>
        </w:rPr>
        <w:t> </w:t>
      </w:r>
      <w:r>
        <w:rPr>
          <w:sz w:val="24"/>
        </w:rPr>
        <w:t>provided.</w:t>
      </w:r>
    </w:p>
    <w:p>
      <w:pPr>
        <w:pStyle w:val="BodyText"/>
      </w:pPr>
    </w:p>
    <w:p>
      <w:pPr>
        <w:pStyle w:val="ListParagraph"/>
        <w:numPr>
          <w:ilvl w:val="0"/>
          <w:numId w:val="1"/>
        </w:numPr>
        <w:tabs>
          <w:tab w:pos="1561" w:val="left" w:leader="none"/>
        </w:tabs>
        <w:spacing w:line="240" w:lineRule="auto" w:before="0" w:after="0"/>
        <w:ind w:left="1560" w:right="157" w:hanging="720"/>
        <w:jc w:val="both"/>
        <w:rPr>
          <w:sz w:val="24"/>
        </w:rPr>
      </w:pPr>
      <w:r>
        <w:rPr>
          <w:sz w:val="24"/>
        </w:rPr>
        <w:t>At trial, the State intends to introduce expert opinion regarding the DNA. As the State’s expert has performed experiments and tests on the blood (in order to render an opinion that Defendant’s DNA matched the collected sample), the Defendant would be prejudiced in the trial of these matters if the methods and procedures used </w:t>
      </w:r>
      <w:r>
        <w:rPr>
          <w:spacing w:val="2"/>
          <w:sz w:val="24"/>
        </w:rPr>
        <w:t>by </w:t>
      </w:r>
      <w:r>
        <w:rPr>
          <w:sz w:val="24"/>
        </w:rPr>
        <w:t>the expert to reach said opinion were not disclosed to the</w:t>
      </w:r>
      <w:r>
        <w:rPr>
          <w:spacing w:val="-2"/>
          <w:sz w:val="24"/>
        </w:rPr>
        <w:t> </w:t>
      </w:r>
      <w:r>
        <w:rPr>
          <w:sz w:val="24"/>
        </w:rPr>
        <w:t>defense.</w:t>
      </w:r>
    </w:p>
    <w:p>
      <w:pPr>
        <w:pStyle w:val="BodyText"/>
      </w:pPr>
    </w:p>
    <w:p>
      <w:pPr>
        <w:pStyle w:val="ListParagraph"/>
        <w:numPr>
          <w:ilvl w:val="0"/>
          <w:numId w:val="1"/>
        </w:numPr>
        <w:tabs>
          <w:tab w:pos="1561" w:val="left" w:leader="none"/>
        </w:tabs>
        <w:spacing w:line="240" w:lineRule="auto" w:before="0" w:after="0"/>
        <w:ind w:left="1560" w:right="157" w:hanging="720"/>
        <w:jc w:val="both"/>
        <w:rPr>
          <w:sz w:val="24"/>
        </w:rPr>
      </w:pPr>
      <w:r>
        <w:rPr>
          <w:sz w:val="24"/>
        </w:rPr>
        <w:t>In order to be able to prepare for cross-examination of the State’s expert, and to prepare for cross-examination of the State’s expert, the Defendant must have access to the information outlined in paragraphs 6(a – gg) above.</w:t>
      </w:r>
    </w:p>
    <w:p>
      <w:pPr>
        <w:pStyle w:val="BodyText"/>
      </w:pPr>
    </w:p>
    <w:p>
      <w:pPr>
        <w:pStyle w:val="ListParagraph"/>
        <w:numPr>
          <w:ilvl w:val="0"/>
          <w:numId w:val="1"/>
        </w:numPr>
        <w:tabs>
          <w:tab w:pos="1560" w:val="left" w:leader="none"/>
        </w:tabs>
        <w:spacing w:line="240" w:lineRule="auto" w:before="0" w:after="0"/>
        <w:ind w:left="1559" w:right="155" w:hanging="719"/>
        <w:jc w:val="both"/>
        <w:rPr>
          <w:sz w:val="24"/>
        </w:rPr>
      </w:pPr>
      <w:r>
        <w:rPr>
          <w:sz w:val="24"/>
        </w:rPr>
        <w:t>If the Defendant is not given access to the information outlined in paragraphs 6(a – gg) above, the lack of such access will result in a denial of the Defendant’s rights to effective assistance of counsel, confrontation and cross-examination, and due process of</w:t>
      </w:r>
      <w:r>
        <w:rPr>
          <w:spacing w:val="-4"/>
          <w:sz w:val="24"/>
        </w:rPr>
        <w:t> </w:t>
      </w:r>
      <w:r>
        <w:rPr>
          <w:sz w:val="24"/>
        </w:rPr>
        <w:t>law.</w:t>
      </w:r>
    </w:p>
    <w:p>
      <w:pPr>
        <w:pStyle w:val="BodyText"/>
      </w:pPr>
    </w:p>
    <w:p>
      <w:pPr>
        <w:pStyle w:val="ListParagraph"/>
        <w:numPr>
          <w:ilvl w:val="0"/>
          <w:numId w:val="1"/>
        </w:numPr>
        <w:tabs>
          <w:tab w:pos="1560" w:val="left" w:leader="none"/>
        </w:tabs>
        <w:spacing w:line="240" w:lineRule="auto" w:before="1" w:after="0"/>
        <w:ind w:left="1559" w:right="158" w:hanging="719"/>
        <w:jc w:val="both"/>
        <w:rPr>
          <w:sz w:val="24"/>
        </w:rPr>
      </w:pPr>
      <w:r>
        <w:rPr>
          <w:sz w:val="24"/>
        </w:rPr>
        <w:t>In </w:t>
      </w:r>
      <w:r>
        <w:rPr>
          <w:b/>
          <w:i/>
          <w:sz w:val="24"/>
        </w:rPr>
        <w:t>State v. Cunningham</w:t>
      </w:r>
      <w:r>
        <w:rPr>
          <w:sz w:val="24"/>
        </w:rPr>
        <w:t>, 108 N.C.App. 185, 423 S.E.2d 802 (1992), the Court of Appeals, in holding that defendants are entitled to “pretrial discovery of not only conclusory lab report, but also of any tests performed or procedures utilized…to reach such conclusion”, the Court also held the scope of discovery to encompass the materials necessary to enable a defendant to determine that “the tests performed were appropriate and to become familiar with the test procedures.” (citing 2</w:t>
      </w:r>
      <w:r>
        <w:rPr>
          <w:spacing w:val="46"/>
          <w:sz w:val="24"/>
        </w:rPr>
        <w:t> </w:t>
      </w:r>
      <w:r>
        <w:rPr>
          <w:sz w:val="24"/>
        </w:rPr>
        <w:t>A.B.A.</w:t>
      </w:r>
    </w:p>
    <w:p>
      <w:pPr>
        <w:spacing w:after="0" w:line="240" w:lineRule="auto"/>
        <w:jc w:val="both"/>
        <w:rPr>
          <w:sz w:val="24"/>
        </w:rPr>
        <w:sectPr>
          <w:pgSz w:w="12240" w:h="15840"/>
          <w:pgMar w:top="1360" w:bottom="280" w:left="1680" w:right="1640"/>
        </w:sectPr>
      </w:pPr>
    </w:p>
    <w:p>
      <w:pPr>
        <w:pStyle w:val="BodyText"/>
        <w:tabs>
          <w:tab w:pos="2762" w:val="left" w:leader="none"/>
          <w:tab w:pos="3297" w:val="left" w:leader="none"/>
          <w:tab w:pos="4408" w:val="left" w:leader="none"/>
          <w:tab w:pos="5378" w:val="left" w:leader="none"/>
          <w:tab w:pos="6886" w:val="left" w:leader="none"/>
          <w:tab w:pos="7330" w:val="left" w:leader="none"/>
          <w:tab w:pos="8438" w:val="left" w:leader="none"/>
        </w:tabs>
        <w:spacing w:before="72"/>
        <w:ind w:left="1559" w:right="159"/>
      </w:pPr>
      <w:r>
        <w:rPr/>
        <w:t>Standards</w:t>
        <w:tab/>
        <w:t>for</w:t>
        <w:tab/>
        <w:t>Criminal</w:t>
        <w:tab/>
        <w:t>Justice,</w:t>
        <w:tab/>
        <w:t>Commentary</w:t>
        <w:tab/>
        <w:t>to</w:t>
        <w:tab/>
        <w:t>Standard</w:t>
        <w:tab/>
      </w:r>
      <w:r>
        <w:rPr>
          <w:spacing w:val="-6"/>
        </w:rPr>
        <w:t>11- </w:t>
      </w:r>
      <w:r>
        <w:rPr/>
        <w:t>2.1(a)(iv)2d.ed. 1980 &amp; Supp.</w:t>
      </w:r>
      <w:r>
        <w:rPr>
          <w:spacing w:val="1"/>
        </w:rPr>
        <w:t> </w:t>
      </w:r>
      <w:r>
        <w:rPr/>
        <w:t>1986).</w:t>
      </w:r>
    </w:p>
    <w:p>
      <w:pPr>
        <w:pStyle w:val="BodyText"/>
      </w:pPr>
    </w:p>
    <w:p>
      <w:pPr>
        <w:pStyle w:val="ListParagraph"/>
        <w:numPr>
          <w:ilvl w:val="0"/>
          <w:numId w:val="1"/>
        </w:numPr>
        <w:tabs>
          <w:tab w:pos="1560" w:val="left" w:leader="none"/>
        </w:tabs>
        <w:spacing w:line="240" w:lineRule="auto" w:before="0" w:after="0"/>
        <w:ind w:left="1560" w:right="153" w:hanging="720"/>
        <w:jc w:val="both"/>
        <w:rPr>
          <w:sz w:val="24"/>
        </w:rPr>
      </w:pPr>
      <w:r>
        <w:rPr>
          <w:sz w:val="24"/>
        </w:rPr>
        <w:t>In </w:t>
      </w:r>
      <w:r>
        <w:rPr>
          <w:b/>
          <w:i/>
          <w:sz w:val="24"/>
        </w:rPr>
        <w:t>State v. Dunn</w:t>
      </w:r>
      <w:r>
        <w:rPr>
          <w:sz w:val="24"/>
        </w:rPr>
        <w:t>, 154 N.C.App. 1, 571 S.E.2d 650 (2002), the defendant argued that the trial court erred “in failing to provide defendant discovery information pertaining to laboratory protocols, incidences of false positive results, quality control and quality assurance, and proficiency tests of the State Bureau of Investigation</w:t>
      </w:r>
      <w:r>
        <w:rPr>
          <w:spacing w:val="-2"/>
          <w:sz w:val="24"/>
        </w:rPr>
        <w:t> </w:t>
      </w:r>
      <w:r>
        <w:rPr>
          <w:sz w:val="24"/>
        </w:rPr>
        <w:t>laboratory…”</w:t>
      </w:r>
    </w:p>
    <w:p>
      <w:pPr>
        <w:pStyle w:val="BodyText"/>
      </w:pPr>
    </w:p>
    <w:p>
      <w:pPr>
        <w:pStyle w:val="ListParagraph"/>
        <w:numPr>
          <w:ilvl w:val="0"/>
          <w:numId w:val="1"/>
        </w:numPr>
        <w:tabs>
          <w:tab w:pos="1560" w:val="left" w:leader="none"/>
        </w:tabs>
        <w:spacing w:line="240" w:lineRule="auto" w:before="0" w:after="0"/>
        <w:ind w:left="1559" w:right="158" w:hanging="719"/>
        <w:jc w:val="both"/>
        <w:rPr>
          <w:sz w:val="24"/>
        </w:rPr>
      </w:pPr>
      <w:r>
        <w:rPr>
          <w:sz w:val="24"/>
        </w:rPr>
        <w:t>In </w:t>
      </w:r>
      <w:r>
        <w:rPr>
          <w:b/>
          <w:i/>
          <w:sz w:val="24"/>
        </w:rPr>
        <w:t>Dunn</w:t>
      </w:r>
      <w:r>
        <w:rPr>
          <w:sz w:val="24"/>
        </w:rPr>
        <w:t>, the Court of Appeals said the defendant was entitled to such information and ordered a new</w:t>
      </w:r>
      <w:r>
        <w:rPr>
          <w:spacing w:val="-2"/>
          <w:sz w:val="24"/>
        </w:rPr>
        <w:t> </w:t>
      </w:r>
      <w:r>
        <w:rPr>
          <w:sz w:val="24"/>
        </w:rPr>
        <w:t>trial.</w:t>
      </w:r>
    </w:p>
    <w:p>
      <w:pPr>
        <w:pStyle w:val="BodyText"/>
      </w:pPr>
    </w:p>
    <w:p>
      <w:pPr>
        <w:pStyle w:val="ListParagraph"/>
        <w:numPr>
          <w:ilvl w:val="0"/>
          <w:numId w:val="1"/>
        </w:numPr>
        <w:tabs>
          <w:tab w:pos="1560" w:val="left" w:leader="none"/>
        </w:tabs>
        <w:spacing w:line="240" w:lineRule="auto" w:before="0" w:after="0"/>
        <w:ind w:left="1560" w:right="156" w:hanging="721"/>
        <w:jc w:val="both"/>
        <w:rPr>
          <w:sz w:val="24"/>
        </w:rPr>
      </w:pPr>
      <w:r>
        <w:rPr>
          <w:sz w:val="24"/>
        </w:rPr>
        <w:t>Under </w:t>
      </w:r>
      <w:r>
        <w:rPr>
          <w:b/>
          <w:i/>
          <w:sz w:val="24"/>
        </w:rPr>
        <w:t>The Forensic Sciences Act of 2011</w:t>
      </w:r>
      <w:r>
        <w:rPr>
          <w:sz w:val="24"/>
        </w:rPr>
        <w:t>, North Carolina General  Statute Section 15A-903(a) was amended </w:t>
      </w:r>
      <w:r>
        <w:rPr>
          <w:spacing w:val="2"/>
          <w:sz w:val="24"/>
        </w:rPr>
        <w:t>by </w:t>
      </w:r>
      <w:r>
        <w:rPr>
          <w:sz w:val="24"/>
        </w:rPr>
        <w:t>adding new language that states, “[w]hen any matter or evidence is submitted for testing or examination, in addition to any test or examination results, all other data, calculations, or writings of any kind shall be made available to the defendant, including, but not limited to, preliminary test or screening results and bench</w:t>
      </w:r>
      <w:r>
        <w:rPr>
          <w:spacing w:val="-1"/>
          <w:sz w:val="24"/>
        </w:rPr>
        <w:t> </w:t>
      </w:r>
      <w:r>
        <w:rPr>
          <w:sz w:val="24"/>
        </w:rPr>
        <w:t>notes.”</w:t>
      </w:r>
    </w:p>
    <w:p>
      <w:pPr>
        <w:pStyle w:val="BodyText"/>
      </w:pPr>
    </w:p>
    <w:p>
      <w:pPr>
        <w:pStyle w:val="ListParagraph"/>
        <w:numPr>
          <w:ilvl w:val="0"/>
          <w:numId w:val="1"/>
        </w:numPr>
        <w:tabs>
          <w:tab w:pos="1560" w:val="left" w:leader="none"/>
        </w:tabs>
        <w:spacing w:line="240" w:lineRule="auto" w:before="0" w:after="0"/>
        <w:ind w:left="1560" w:right="157" w:hanging="720"/>
        <w:jc w:val="both"/>
        <w:rPr>
          <w:sz w:val="24"/>
        </w:rPr>
      </w:pPr>
      <w:r>
        <w:rPr>
          <w:sz w:val="24"/>
        </w:rPr>
        <w:t>In order to ensure that the Defendant’s constitutional rights are afforded, the Court should order the State to disclose to the defense all of the information outlined in paragraphs 6(a – gg)</w:t>
      </w:r>
      <w:r>
        <w:rPr>
          <w:spacing w:val="-3"/>
          <w:sz w:val="24"/>
        </w:rPr>
        <w:t> </w:t>
      </w:r>
      <w:r>
        <w:rPr>
          <w:sz w:val="24"/>
        </w:rPr>
        <w:t>above.</w:t>
      </w:r>
    </w:p>
    <w:p>
      <w:pPr>
        <w:pStyle w:val="BodyText"/>
      </w:pPr>
    </w:p>
    <w:p>
      <w:pPr>
        <w:pStyle w:val="BodyText"/>
        <w:ind w:left="839"/>
      </w:pPr>
      <w:r>
        <w:rPr/>
        <w:t>WHEREFORE, the Defendant respectfully prays unto this Court for the following relief:</w:t>
      </w:r>
    </w:p>
    <w:p>
      <w:pPr>
        <w:pStyle w:val="BodyText"/>
      </w:pPr>
    </w:p>
    <w:p>
      <w:pPr>
        <w:pStyle w:val="ListParagraph"/>
        <w:numPr>
          <w:ilvl w:val="0"/>
          <w:numId w:val="2"/>
        </w:numPr>
        <w:tabs>
          <w:tab w:pos="1560" w:val="left" w:leader="none"/>
        </w:tabs>
        <w:spacing w:line="240" w:lineRule="auto" w:before="0" w:after="0"/>
        <w:ind w:left="1560" w:right="154" w:hanging="720"/>
        <w:jc w:val="both"/>
        <w:rPr>
          <w:sz w:val="24"/>
        </w:rPr>
      </w:pPr>
      <w:r>
        <w:rPr>
          <w:sz w:val="24"/>
        </w:rPr>
        <w:t>That the Court enter an Order requiring the prosecution to provide the defense with the information outlined in paragraphs 6(a – gg) above;</w:t>
      </w:r>
      <w:r>
        <w:rPr>
          <w:spacing w:val="-21"/>
          <w:sz w:val="24"/>
        </w:rPr>
        <w:t> </w:t>
      </w:r>
      <w:r>
        <w:rPr>
          <w:sz w:val="24"/>
        </w:rPr>
        <w:t>and</w:t>
      </w:r>
    </w:p>
    <w:p>
      <w:pPr>
        <w:pStyle w:val="BodyText"/>
      </w:pPr>
    </w:p>
    <w:p>
      <w:pPr>
        <w:pStyle w:val="ListParagraph"/>
        <w:numPr>
          <w:ilvl w:val="0"/>
          <w:numId w:val="2"/>
        </w:numPr>
        <w:tabs>
          <w:tab w:pos="1560" w:val="left" w:leader="none"/>
        </w:tabs>
        <w:spacing w:line="240" w:lineRule="auto" w:before="0" w:after="0"/>
        <w:ind w:left="1560" w:right="157" w:hanging="720"/>
        <w:jc w:val="both"/>
        <w:rPr>
          <w:sz w:val="24"/>
        </w:rPr>
      </w:pPr>
      <w:r>
        <w:rPr>
          <w:sz w:val="24"/>
        </w:rPr>
        <w:t>For such other and further relief to which the Defendant may be entitled and which the Court may deem just and</w:t>
      </w:r>
      <w:r>
        <w:rPr>
          <w:spacing w:val="-6"/>
          <w:sz w:val="24"/>
        </w:rPr>
        <w:t> </w:t>
      </w:r>
      <w:r>
        <w:rPr>
          <w:sz w:val="24"/>
        </w:rPr>
        <w:t>proper.</w:t>
      </w:r>
    </w:p>
    <w:p>
      <w:pPr>
        <w:pStyle w:val="BodyText"/>
        <w:rPr>
          <w:sz w:val="26"/>
        </w:rPr>
      </w:pPr>
    </w:p>
    <w:p>
      <w:pPr>
        <w:pStyle w:val="BodyText"/>
        <w:rPr>
          <w:sz w:val="22"/>
        </w:rPr>
      </w:pPr>
    </w:p>
    <w:p>
      <w:pPr>
        <w:pStyle w:val="BodyText"/>
        <w:tabs>
          <w:tab w:pos="2214" w:val="left" w:leader="none"/>
          <w:tab w:pos="4927" w:val="left" w:leader="none"/>
        </w:tabs>
        <w:ind w:left="839"/>
      </w:pPr>
      <w:r>
        <w:rPr/>
        <w:t>This</w:t>
      </w:r>
      <w:r>
        <w:rPr>
          <w:spacing w:val="-1"/>
        </w:rPr>
        <w:t> </w:t>
      </w:r>
      <w:r>
        <w:rPr/>
        <w:t>the</w:t>
      </w:r>
      <w:r>
        <w:rPr>
          <w:u w:val="single"/>
        </w:rPr>
        <w:t> </w:t>
        <w:tab/>
      </w:r>
      <w:r>
        <w:rPr/>
        <w:t>day</w:t>
      </w:r>
      <w:r>
        <w:rPr>
          <w:spacing w:val="-4"/>
        </w:rPr>
        <w:t> </w:t>
      </w:r>
      <w:r>
        <w:rPr/>
        <w:t>of</w:t>
      </w:r>
      <w:r>
        <w:rPr>
          <w:u w:val="single"/>
        </w:rPr>
        <w:t> </w:t>
        <w:tab/>
      </w:r>
      <w:r>
        <w:rPr/>
        <w:t>, 2012.</w:t>
      </w:r>
    </w:p>
    <w:p>
      <w:pPr>
        <w:pStyle w:val="BodyText"/>
      </w:pPr>
    </w:p>
    <w:p>
      <w:pPr>
        <w:pStyle w:val="BodyText"/>
        <w:tabs>
          <w:tab w:pos="5159" w:val="left" w:leader="none"/>
          <w:tab w:pos="8814" w:val="left" w:leader="none"/>
        </w:tabs>
        <w:ind w:left="4439"/>
      </w:pPr>
      <w:r>
        <w:rPr/>
        <w:t>By:</w:t>
        <w:tab/>
      </w:r>
      <w:r>
        <w:rPr>
          <w:w w:val="99"/>
          <w:u w:val="single"/>
        </w:rPr>
        <w:t> </w:t>
      </w:r>
      <w:r>
        <w:rPr>
          <w:u w:val="single"/>
        </w:rPr>
        <w:tab/>
      </w:r>
    </w:p>
    <w:p>
      <w:pPr>
        <w:pStyle w:val="BodyText"/>
        <w:spacing w:before="1"/>
        <w:ind w:left="5159"/>
      </w:pPr>
      <w:r>
        <w:rPr/>
        <w:t>Attorney</w:t>
      </w:r>
    </w:p>
    <w:p>
      <w:pPr>
        <w:spacing w:after="0"/>
        <w:sectPr>
          <w:pgSz w:w="12240" w:h="15840"/>
          <w:pgMar w:top="1360" w:bottom="280" w:left="1680" w:right="1640"/>
        </w:sectPr>
      </w:pPr>
    </w:p>
    <w:p>
      <w:pPr>
        <w:spacing w:before="76"/>
        <w:ind w:left="2846" w:right="0" w:firstLine="0"/>
        <w:jc w:val="left"/>
        <w:rPr>
          <w:b/>
          <w:sz w:val="24"/>
        </w:rPr>
      </w:pPr>
      <w:r>
        <w:rPr>
          <w:b/>
          <w:sz w:val="24"/>
          <w:u w:val="thick"/>
        </w:rPr>
        <w:t>CERTIFICATE OF SERVICE</w:t>
      </w:r>
    </w:p>
    <w:p>
      <w:pPr>
        <w:pStyle w:val="BodyText"/>
        <w:spacing w:before="9"/>
        <w:rPr>
          <w:b/>
          <w:sz w:val="15"/>
        </w:rPr>
      </w:pPr>
    </w:p>
    <w:p>
      <w:pPr>
        <w:pStyle w:val="BodyText"/>
        <w:spacing w:before="90"/>
        <w:ind w:left="119" w:right="160"/>
      </w:pPr>
      <w:r>
        <w:rPr/>
        <w:t>I, ATTORNEY, certify that on the date indicated herein, a copy of this motion was served on the Office of the District Attorney for the 10</w:t>
      </w:r>
      <w:r>
        <w:rPr>
          <w:vertAlign w:val="superscript"/>
        </w:rPr>
        <w:t>th</w:t>
      </w:r>
      <w:r>
        <w:rPr>
          <w:vertAlign w:val="baseline"/>
        </w:rPr>
        <w:t> Judicial District by hand delivery to said office in the Wake County Courthouse, Raleigh, NC on the date indicated</w:t>
      </w:r>
      <w:r>
        <w:rPr>
          <w:spacing w:val="-26"/>
          <w:vertAlign w:val="baseline"/>
        </w:rPr>
        <w:t> </w:t>
      </w:r>
      <w:r>
        <w:rPr>
          <w:vertAlign w:val="baseline"/>
        </w:rPr>
        <w:t>below.</w:t>
      </w:r>
    </w:p>
    <w:p>
      <w:pPr>
        <w:pStyle w:val="BodyText"/>
      </w:pPr>
    </w:p>
    <w:p>
      <w:pPr>
        <w:pStyle w:val="BodyText"/>
        <w:tabs>
          <w:tab w:pos="2214" w:val="left" w:leader="none"/>
          <w:tab w:pos="5764" w:val="left" w:leader="none"/>
        </w:tabs>
        <w:ind w:left="119"/>
      </w:pPr>
      <w:r>
        <w:rPr/>
        <w:t>This</w:t>
      </w:r>
      <w:r>
        <w:rPr>
          <w:spacing w:val="-1"/>
        </w:rPr>
        <w:t> </w:t>
      </w:r>
      <w:r>
        <w:rPr/>
        <w:t>the</w:t>
      </w:r>
      <w:r>
        <w:rPr>
          <w:u w:val="single"/>
        </w:rPr>
        <w:t> </w:t>
        <w:tab/>
      </w:r>
      <w:r>
        <w:rPr/>
        <w:t>day</w:t>
      </w:r>
      <w:r>
        <w:rPr>
          <w:spacing w:val="-3"/>
        </w:rPr>
        <w:t> </w:t>
      </w:r>
      <w:r>
        <w:rPr/>
        <w:t>of</w:t>
      </w:r>
      <w:r>
        <w:rPr>
          <w:u w:val="single"/>
        </w:rPr>
        <w:t> </w:t>
        <w:tab/>
      </w:r>
      <w:r>
        <w:rPr/>
        <w:t>, 2012.</w:t>
      </w:r>
    </w:p>
    <w:p>
      <w:pPr>
        <w:pStyle w:val="BodyText"/>
        <w:rPr>
          <w:sz w:val="20"/>
        </w:rPr>
      </w:pPr>
    </w:p>
    <w:p>
      <w:pPr>
        <w:pStyle w:val="BodyText"/>
        <w:rPr>
          <w:sz w:val="20"/>
        </w:rPr>
      </w:pPr>
    </w:p>
    <w:p>
      <w:pPr>
        <w:pStyle w:val="BodyText"/>
        <w:spacing w:before="5"/>
        <w:rPr>
          <w:sz w:val="26"/>
        </w:rPr>
      </w:pPr>
      <w:r>
        <w:rPr/>
        <w:pict>
          <v:line style="position:absolute;mso-position-horizontal-relative:page;mso-position-vertical-relative:paragraph;z-index:-1000;mso-wrap-distance-left:0;mso-wrap-distance-right:0" from="378pt,17.454699pt" to="522.000005pt,17.454699pt" stroked="true" strokeweight=".6pt" strokecolor="#000000">
            <v:stroke dashstyle="solid"/>
            <w10:wrap type="topAndBottom"/>
          </v:line>
        </w:pict>
      </w:r>
    </w:p>
    <w:p>
      <w:pPr>
        <w:pStyle w:val="BodyText"/>
        <w:spacing w:line="261" w:lineRule="exact"/>
        <w:ind w:left="5879"/>
      </w:pPr>
      <w:r>
        <w:rPr/>
        <w:t>Attorney</w:t>
      </w:r>
    </w:p>
    <w:sectPr>
      <w:pgSz w:w="12240" w:h="15840"/>
      <w:pgMar w:top="1360" w:bottom="280" w:left="168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60" w:hanging="720"/>
        <w:jc w:val="left"/>
      </w:pPr>
      <w:rPr>
        <w:rFonts w:hint="default" w:ascii="Times New Roman" w:hAnsi="Times New Roman" w:eastAsia="Times New Roman" w:cs="Times New Roman"/>
        <w:w w:val="99"/>
        <w:sz w:val="24"/>
        <w:szCs w:val="24"/>
      </w:rPr>
    </w:lvl>
    <w:lvl w:ilvl="1">
      <w:start w:val="1"/>
      <w:numFmt w:val="lowerLetter"/>
      <w:lvlText w:val="%2."/>
      <w:lvlJc w:val="left"/>
      <w:pPr>
        <w:ind w:left="2280" w:hanging="720"/>
        <w:jc w:val="left"/>
      </w:pPr>
      <w:rPr>
        <w:rFonts w:hint="default" w:ascii="Times New Roman" w:hAnsi="Times New Roman" w:eastAsia="Times New Roman" w:cs="Times New Roman"/>
        <w:spacing w:val="-1"/>
        <w:w w:val="99"/>
        <w:sz w:val="24"/>
        <w:szCs w:val="24"/>
      </w:rPr>
    </w:lvl>
    <w:lvl w:ilvl="2">
      <w:start w:val="0"/>
      <w:numFmt w:val="bullet"/>
      <w:lvlText w:val="•"/>
      <w:lvlJc w:val="left"/>
      <w:pPr>
        <w:ind w:left="3017" w:hanging="720"/>
      </w:pPr>
      <w:rPr>
        <w:rFonts w:hint="default"/>
      </w:rPr>
    </w:lvl>
    <w:lvl w:ilvl="3">
      <w:start w:val="0"/>
      <w:numFmt w:val="bullet"/>
      <w:lvlText w:val="•"/>
      <w:lvlJc w:val="left"/>
      <w:pPr>
        <w:ind w:left="3755" w:hanging="720"/>
      </w:pPr>
      <w:rPr>
        <w:rFonts w:hint="default"/>
      </w:rPr>
    </w:lvl>
    <w:lvl w:ilvl="4">
      <w:start w:val="0"/>
      <w:numFmt w:val="bullet"/>
      <w:lvlText w:val="•"/>
      <w:lvlJc w:val="left"/>
      <w:pPr>
        <w:ind w:left="4493" w:hanging="720"/>
      </w:pPr>
      <w:rPr>
        <w:rFonts w:hint="default"/>
      </w:rPr>
    </w:lvl>
    <w:lvl w:ilvl="5">
      <w:start w:val="0"/>
      <w:numFmt w:val="bullet"/>
      <w:lvlText w:val="•"/>
      <w:lvlJc w:val="left"/>
      <w:pPr>
        <w:ind w:left="5231" w:hanging="720"/>
      </w:pPr>
      <w:rPr>
        <w:rFonts w:hint="default"/>
      </w:rPr>
    </w:lvl>
    <w:lvl w:ilvl="6">
      <w:start w:val="0"/>
      <w:numFmt w:val="bullet"/>
      <w:lvlText w:val="•"/>
      <w:lvlJc w:val="left"/>
      <w:pPr>
        <w:ind w:left="5968" w:hanging="720"/>
      </w:pPr>
      <w:rPr>
        <w:rFonts w:hint="default"/>
      </w:rPr>
    </w:lvl>
    <w:lvl w:ilvl="7">
      <w:start w:val="0"/>
      <w:numFmt w:val="bullet"/>
      <w:lvlText w:val="•"/>
      <w:lvlJc w:val="left"/>
      <w:pPr>
        <w:ind w:left="6706" w:hanging="720"/>
      </w:pPr>
      <w:rPr>
        <w:rFonts w:hint="default"/>
      </w:rPr>
    </w:lvl>
    <w:lvl w:ilvl="8">
      <w:start w:val="0"/>
      <w:numFmt w:val="bullet"/>
      <w:lvlText w:val="•"/>
      <w:lvlJc w:val="left"/>
      <w:pPr>
        <w:ind w:left="7444" w:hanging="720"/>
      </w:pPr>
      <w:rPr>
        <w:rFonts w:hint="default"/>
      </w:rPr>
    </w:lvl>
  </w:abstractNum>
  <w:abstractNum w:abstractNumId="1">
    <w:multiLevelType w:val="hybridMultilevel"/>
    <w:lvl w:ilvl="0">
      <w:start w:val="1"/>
      <w:numFmt w:val="decimal"/>
      <w:lvlText w:val="%1."/>
      <w:lvlJc w:val="left"/>
      <w:pPr>
        <w:ind w:left="1560" w:hanging="720"/>
        <w:jc w:val="left"/>
      </w:pPr>
      <w:rPr>
        <w:rFonts w:hint="default" w:ascii="Times New Roman" w:hAnsi="Times New Roman" w:eastAsia="Times New Roman" w:cs="Times New Roman"/>
        <w:w w:val="99"/>
        <w:sz w:val="24"/>
        <w:szCs w:val="24"/>
      </w:rPr>
    </w:lvl>
    <w:lvl w:ilvl="1">
      <w:start w:val="0"/>
      <w:numFmt w:val="bullet"/>
      <w:lvlText w:val="•"/>
      <w:lvlJc w:val="left"/>
      <w:pPr>
        <w:ind w:left="2296" w:hanging="720"/>
      </w:pPr>
      <w:rPr>
        <w:rFonts w:hint="default"/>
      </w:rPr>
    </w:lvl>
    <w:lvl w:ilvl="2">
      <w:start w:val="0"/>
      <w:numFmt w:val="bullet"/>
      <w:lvlText w:val="•"/>
      <w:lvlJc w:val="left"/>
      <w:pPr>
        <w:ind w:left="3032" w:hanging="720"/>
      </w:pPr>
      <w:rPr>
        <w:rFonts w:hint="default"/>
      </w:rPr>
    </w:lvl>
    <w:lvl w:ilvl="3">
      <w:start w:val="0"/>
      <w:numFmt w:val="bullet"/>
      <w:lvlText w:val="•"/>
      <w:lvlJc w:val="left"/>
      <w:pPr>
        <w:ind w:left="3768" w:hanging="720"/>
      </w:pPr>
      <w:rPr>
        <w:rFonts w:hint="default"/>
      </w:rPr>
    </w:lvl>
    <w:lvl w:ilvl="4">
      <w:start w:val="0"/>
      <w:numFmt w:val="bullet"/>
      <w:lvlText w:val="•"/>
      <w:lvlJc w:val="left"/>
      <w:pPr>
        <w:ind w:left="4504" w:hanging="720"/>
      </w:pPr>
      <w:rPr>
        <w:rFonts w:hint="default"/>
      </w:rPr>
    </w:lvl>
    <w:lvl w:ilvl="5">
      <w:start w:val="0"/>
      <w:numFmt w:val="bullet"/>
      <w:lvlText w:val="•"/>
      <w:lvlJc w:val="left"/>
      <w:pPr>
        <w:ind w:left="5240" w:hanging="720"/>
      </w:pPr>
      <w:rPr>
        <w:rFonts w:hint="default"/>
      </w:rPr>
    </w:lvl>
    <w:lvl w:ilvl="6">
      <w:start w:val="0"/>
      <w:numFmt w:val="bullet"/>
      <w:lvlText w:val="•"/>
      <w:lvlJc w:val="left"/>
      <w:pPr>
        <w:ind w:left="5976" w:hanging="720"/>
      </w:pPr>
      <w:rPr>
        <w:rFonts w:hint="default"/>
      </w:rPr>
    </w:lvl>
    <w:lvl w:ilvl="7">
      <w:start w:val="0"/>
      <w:numFmt w:val="bullet"/>
      <w:lvlText w:val="•"/>
      <w:lvlJc w:val="left"/>
      <w:pPr>
        <w:ind w:left="6712" w:hanging="720"/>
      </w:pPr>
      <w:rPr>
        <w:rFonts w:hint="default"/>
      </w:rPr>
    </w:lvl>
    <w:lvl w:ilvl="8">
      <w:start w:val="0"/>
      <w:numFmt w:val="bullet"/>
      <w:lvlText w:val="•"/>
      <w:lvlJc w:val="left"/>
      <w:pPr>
        <w:ind w:left="7448" w:hanging="7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19"/>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560" w:right="157" w:hanging="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glippert</dc:creator>
  <dc:title>Microsoft Word - Motion_Discovery_DNA</dc:title>
  <dcterms:created xsi:type="dcterms:W3CDTF">2019-02-19T23:04:16Z</dcterms:created>
  <dcterms:modified xsi:type="dcterms:W3CDTF">2019-02-19T23:04:16Z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2013-01-29T00:00:00Z</vt:filetime>
  </property>
  <property fmtid="{D5CDD505-2E9C-101B-9397-08002B2CF9AE}" pid="3" name="Creator">
    <vt:lpwstr>PrimoPDF http://www.primopdf.com</vt:lpwstr>
  </property>
  <property fmtid="{D5CDD505-2E9C-101B-9397-08002B2CF9AE}" pid="4" name="LastSaved">
    <vt:filetime>2019-02-19T00:00:00Z</vt:filetime>
  </property>
</Properties>
</file>