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659" w:val="left" w:leader="none"/>
        </w:tabs>
        <w:spacing w:before="72"/>
        <w:ind w:left="119"/>
      </w:pP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MINNESOTA</w:t>
        <w:tab/>
        <w:t>DISTRICT COURT</w:t>
      </w:r>
    </w:p>
    <w:p>
      <w:pPr>
        <w:pStyle w:val="BodyText"/>
        <w:spacing w:before="2"/>
      </w:pPr>
    </w:p>
    <w:p>
      <w:pPr>
        <w:pStyle w:val="BodyText"/>
        <w:tabs>
          <w:tab w:pos="5699" w:val="left" w:leader="none"/>
        </w:tabs>
        <w:ind w:left="11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1144524</wp:posOffset>
            </wp:positionH>
            <wp:positionV relativeFrom="paragraph">
              <wp:posOffset>191044</wp:posOffset>
            </wp:positionV>
            <wp:extent cx="5503163" cy="3810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16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COUNTY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DAKOTA</w:t>
        <w:tab/>
        <w:t>FIRST JUDICIAL</w:t>
      </w:r>
      <w:r>
        <w:rPr>
          <w:spacing w:val="-4"/>
        </w:rPr>
        <w:t> </w:t>
      </w:r>
      <w:r>
        <w:rPr/>
        <w:t>DISTRICT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9"/>
      </w:pPr>
      <w:r>
        <w:rPr/>
        <w:t>State of Minnesota,</w:t>
      </w:r>
    </w:p>
    <w:p>
      <w:pPr>
        <w:pStyle w:val="BodyText"/>
      </w:pPr>
    </w:p>
    <w:p>
      <w:pPr>
        <w:pStyle w:val="BodyText"/>
        <w:ind w:left="839"/>
      </w:pPr>
      <w:r>
        <w:rPr/>
        <w:t>Plaintiff,</w:t>
      </w:r>
    </w:p>
    <w:p>
      <w:pPr>
        <w:pStyle w:val="BodyText"/>
        <w:spacing w:before="4"/>
      </w:pPr>
    </w:p>
    <w:p>
      <w:pPr>
        <w:tabs>
          <w:tab w:pos="3539" w:val="left" w:leader="none"/>
        </w:tabs>
        <w:spacing w:before="1"/>
        <w:ind w:left="3660" w:right="586" w:hanging="2820"/>
        <w:jc w:val="left"/>
        <w:rPr>
          <w:b/>
          <w:sz w:val="24"/>
        </w:rPr>
      </w:pPr>
      <w:r>
        <w:rPr>
          <w:sz w:val="24"/>
        </w:rPr>
        <w:t>v.</w:t>
        <w:tab/>
      </w:r>
      <w:r>
        <w:rPr>
          <w:b/>
          <w:sz w:val="24"/>
        </w:rPr>
        <w:t>DEFENDANT’S NOTICE OF MOTION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AND MOTION FOR A </w:t>
      </w:r>
      <w:r>
        <w:rPr>
          <w:b/>
          <w:i/>
          <w:sz w:val="24"/>
        </w:rPr>
        <w:t>FRYE-MACK</w:t>
      </w:r>
      <w:r>
        <w:rPr>
          <w:b/>
          <w:i/>
          <w:spacing w:val="-9"/>
          <w:sz w:val="24"/>
        </w:rPr>
        <w:t> </w:t>
      </w:r>
      <w:r>
        <w:rPr>
          <w:b/>
          <w:sz w:val="24"/>
        </w:rPr>
        <w:t>HEARING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4200"/>
      </w:pPr>
      <w:r>
        <w:rPr/>
        <w:t>Court File No.</w:t>
      </w:r>
      <w:r>
        <w:rPr>
          <w:spacing w:val="57"/>
        </w:rPr>
        <w:t> </w:t>
      </w:r>
      <w:r>
        <w:rPr/>
        <w:t>19HA-CR-09-3463</w:t>
      </w:r>
    </w:p>
    <w:p>
      <w:pPr>
        <w:pStyle w:val="BodyText"/>
      </w:pPr>
    </w:p>
    <w:p>
      <w:pPr>
        <w:pStyle w:val="BodyText"/>
        <w:ind w:left="120"/>
      </w:pPr>
      <w:r>
        <w:rPr/>
        <w:t>Matthew David Jensen,</w:t>
      </w:r>
    </w:p>
    <w:p>
      <w:pPr>
        <w:pStyle w:val="BodyText"/>
      </w:pPr>
    </w:p>
    <w:p>
      <w:pPr>
        <w:pStyle w:val="BodyText"/>
        <w:ind w:left="840"/>
      </w:pPr>
      <w:r>
        <w:rPr/>
        <w:t>Defendant.</w:t>
      </w: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1144524</wp:posOffset>
            </wp:positionH>
            <wp:positionV relativeFrom="paragraph">
              <wp:posOffset>193054</wp:posOffset>
            </wp:positionV>
            <wp:extent cx="5503163" cy="38100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16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9" w:right="254"/>
      </w:pPr>
      <w:r>
        <w:rPr/>
        <w:t>TO: THE COURT AND VANCE B. GRANNIS III, ASSISTANT DAKOTA COUNTY ATTORNEY.</w:t>
      </w:r>
    </w:p>
    <w:p>
      <w:pPr>
        <w:pStyle w:val="BodyText"/>
      </w:pPr>
    </w:p>
    <w:p>
      <w:pPr>
        <w:pStyle w:val="BodyText"/>
        <w:spacing w:line="480" w:lineRule="auto"/>
        <w:ind w:left="120" w:right="175" w:firstLine="719"/>
      </w:pPr>
      <w:r>
        <w:rPr>
          <w:b/>
        </w:rPr>
        <w:t>PLEASE TAKE NOTICE </w:t>
      </w:r>
      <w:r>
        <w:rPr/>
        <w:t>that the Defendant, along with other similarly situated defendants to be joined prior to the date of hearing, </w:t>
      </w:r>
      <w:r>
        <w:rPr>
          <w:spacing w:val="2"/>
        </w:rPr>
        <w:t>by </w:t>
      </w:r>
      <w:r>
        <w:rPr/>
        <w:t>and through counsel</w:t>
      </w:r>
      <w:r>
        <w:rPr>
          <w:spacing w:val="-40"/>
        </w:rPr>
        <w:t> </w:t>
      </w:r>
      <w:r>
        <w:rPr/>
        <w:t>Lauri Traub and Christine Funk, at a time and place to be set by the Court, will seek the following relief from the</w:t>
      </w:r>
      <w:r>
        <w:rPr>
          <w:spacing w:val="-4"/>
        </w:rPr>
        <w:t> </w:t>
      </w:r>
      <w:r>
        <w:rPr/>
        <w:t>Court:</w:t>
      </w:r>
    </w:p>
    <w:p>
      <w:pPr>
        <w:pStyle w:val="BodyText"/>
        <w:ind w:left="840" w:right="147" w:hanging="360"/>
      </w:pPr>
      <w:r>
        <w:rPr/>
        <w:t>1. For an order of the Court scheduling a Prong II </w:t>
      </w:r>
      <w:r>
        <w:rPr>
          <w:i/>
        </w:rPr>
        <w:t>Frye-Mack </w:t>
      </w:r>
      <w:r>
        <w:rPr/>
        <w:t>hearing requiring the State to demonstrate to the Court that the drug testing performed </w:t>
      </w:r>
      <w:r>
        <w:rPr>
          <w:spacing w:val="2"/>
        </w:rPr>
        <w:t>by </w:t>
      </w:r>
      <w:r>
        <w:rPr/>
        <w:t>the St. Paul Police Department Crime Lab in this case and other cases to be joined prior to hearing has a scientifically reliable foundation. </w:t>
      </w:r>
      <w:r>
        <w:rPr>
          <w:i/>
        </w:rPr>
        <w:t>State v. Roman Nose</w:t>
      </w:r>
      <w:r>
        <w:rPr/>
        <w:t>, 649 N.W.2d 815, 818 (Minn. 2002); .  </w:t>
      </w:r>
      <w:r>
        <w:rPr>
          <w:i/>
        </w:rPr>
        <w:t>Frye v. United States</w:t>
      </w:r>
      <w:r>
        <w:rPr/>
        <w:t>, 293 F. 1013 (D.C.Cir. 1923); </w:t>
      </w:r>
      <w:r>
        <w:rPr>
          <w:i/>
        </w:rPr>
        <w:t>State v. Mack</w:t>
      </w:r>
      <w:r>
        <w:rPr/>
        <w:t>, 292 N.W.2d 764 (Minn. 1980). The issue before the Court is whether the laboratory conducting the tests in the individual cases complied with appropriate standards and controls. </w:t>
      </w:r>
      <w:r>
        <w:rPr>
          <w:i/>
        </w:rPr>
        <w:t>State v. Roman Nose, </w:t>
      </w:r>
      <w:r>
        <w:rPr/>
        <w:t>649 N.W.2d 815, 818 (Minn. 2002) (</w:t>
      </w:r>
      <w:r>
        <w:rPr>
          <w:i/>
        </w:rPr>
        <w:t>citing State v. Jobe, </w:t>
      </w:r>
      <w:r>
        <w:rPr/>
        <w:t>486 N.W.2d 407, 419 (Minn.</w:t>
      </w:r>
      <w:r>
        <w:rPr>
          <w:spacing w:val="-11"/>
        </w:rPr>
        <w:t> </w:t>
      </w:r>
      <w:r>
        <w:rPr/>
        <w:t>1992)).</w:t>
      </w:r>
    </w:p>
    <w:p>
      <w:pPr>
        <w:pStyle w:val="BodyText"/>
      </w:pPr>
    </w:p>
    <w:p>
      <w:pPr>
        <w:pStyle w:val="BodyText"/>
        <w:spacing w:line="480" w:lineRule="auto"/>
        <w:ind w:left="120" w:right="121"/>
      </w:pPr>
      <w:r>
        <w:rPr/>
        <w:t>The Defendants’ motion is being made pursuant to the Sixth and Fourteenth Amendments to the United States Constitution, Article I, Sections 6 &amp; 7 of the Minnesota Constitution</w:t>
      </w:r>
    </w:p>
    <w:p>
      <w:pPr>
        <w:spacing w:after="0" w:line="480" w:lineRule="auto"/>
        <w:sectPr>
          <w:type w:val="continuous"/>
          <w:pgSz w:w="12240" w:h="15840"/>
          <w:pgMar w:top="1360" w:bottom="280" w:left="1680" w:right="1660"/>
        </w:sectPr>
      </w:pPr>
    </w:p>
    <w:p>
      <w:pPr>
        <w:spacing w:line="480" w:lineRule="auto" w:before="72"/>
        <w:ind w:left="119" w:right="122" w:firstLine="0"/>
        <w:jc w:val="left"/>
        <w:rPr>
          <w:sz w:val="24"/>
        </w:rPr>
      </w:pPr>
      <w:r>
        <w:rPr>
          <w:sz w:val="24"/>
        </w:rPr>
        <w:t>and </w:t>
      </w:r>
      <w:r>
        <w:rPr>
          <w:i/>
          <w:sz w:val="24"/>
        </w:rPr>
        <w:t>Frye v. United States, </w:t>
      </w:r>
      <w:r>
        <w:rPr>
          <w:sz w:val="24"/>
        </w:rPr>
        <w:t>293 F. 1013 (D.D.C. 1923) and </w:t>
      </w:r>
      <w:r>
        <w:rPr>
          <w:i/>
          <w:sz w:val="24"/>
        </w:rPr>
        <w:t>State v. Mack, </w:t>
      </w:r>
      <w:r>
        <w:rPr>
          <w:sz w:val="24"/>
        </w:rPr>
        <w:t>292 N.W.2d 764 (Minn. 1980).</w:t>
      </w:r>
    </w:p>
    <w:p>
      <w:pPr>
        <w:pStyle w:val="BodyText"/>
        <w:spacing w:line="480" w:lineRule="auto"/>
        <w:ind w:left="119" w:right="262" w:firstLine="720"/>
      </w:pPr>
      <w:r>
        <w:rPr/>
        <w:t>The Defendants’ motion is based upon the Court’s file, documentation submitted by the defense and attached hereto, any evidence presented at hearing and arguments of counsel.</w:t>
      </w:r>
    </w:p>
    <w:p>
      <w:pPr>
        <w:pStyle w:val="BodyText"/>
        <w:ind w:left="119"/>
      </w:pPr>
      <w:r>
        <w:rPr/>
        <w:t>Date: May 3, 2012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-976;mso-wrap-distance-left:0;mso-wrap-distance-right:0" from="269.993958pt,15.861582pt" to="479.982257pt,15.861582pt" stroked="true" strokeweight=".479083pt" strokecolor="#000000">
            <v:stroke dashstyle="solid"/>
            <w10:wrap type="topAndBottom"/>
          </v:line>
        </w:pict>
      </w:r>
    </w:p>
    <w:p>
      <w:pPr>
        <w:pStyle w:val="BodyText"/>
        <w:tabs>
          <w:tab w:pos="5879" w:val="left" w:leader="none"/>
        </w:tabs>
        <w:spacing w:line="247" w:lineRule="exact"/>
        <w:ind w:left="3719"/>
      </w:pPr>
      <w:r>
        <w:rPr/>
        <w:t>Lauri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Traub</w:t>
        <w:tab/>
        <w:t>No. 0297410</w:t>
      </w:r>
    </w:p>
    <w:p>
      <w:pPr>
        <w:pStyle w:val="BodyText"/>
        <w:ind w:left="3719" w:right="2654"/>
      </w:pPr>
      <w:r>
        <w:rPr/>
        <w:t>Assistant Public Defender First Judicial District</w:t>
      </w:r>
    </w:p>
    <w:p>
      <w:pPr>
        <w:pStyle w:val="BodyText"/>
        <w:ind w:left="3719"/>
      </w:pPr>
      <w:r>
        <w:rPr/>
        <w:t>919 Vermillion Street, Suite 200</w:t>
      </w:r>
    </w:p>
    <w:p>
      <w:pPr>
        <w:pStyle w:val="BodyText"/>
        <w:ind w:left="3719"/>
      </w:pPr>
      <w:r>
        <w:rPr/>
        <w:t>Hastings, Minnesota</w:t>
      </w:r>
      <w:r>
        <w:rPr>
          <w:spacing w:val="58"/>
        </w:rPr>
        <w:t> </w:t>
      </w:r>
      <w:r>
        <w:rPr/>
        <w:t>55033</w:t>
      </w:r>
    </w:p>
    <w:p>
      <w:pPr>
        <w:pStyle w:val="BodyText"/>
        <w:ind w:left="3698" w:right="3661"/>
        <w:jc w:val="center"/>
      </w:pPr>
      <w:r>
        <w:rPr/>
        <w:t>(651) 539-1040</w:t>
      </w:r>
    </w:p>
    <w:sectPr>
      <w:pgSz w:w="12240" w:h="15840"/>
      <w:pgMar w:top="136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glippert</dc:creator>
  <dc:title>Microsoft Word - Motion for Frye-Mack</dc:title>
  <dcterms:created xsi:type="dcterms:W3CDTF">2019-02-19T23:03:38Z</dcterms:created>
  <dcterms:modified xsi:type="dcterms:W3CDTF">2019-02-19T23:03:38Z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2019-02-19T00:00:00Z</vt:filetime>
  </property>
</Properties>
</file>