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77"/>
        <w:ind w:left="180" w:firstLine="0"/>
      </w:pPr>
      <w:r>
        <w:rPr/>
        <w:t>SAMPLE MOTION TO COMPEL DISCLOSURE OF LAPEL VIDEOS: Provided by</w:t>
      </w:r>
    </w:p>
    <w:p>
      <w:pPr>
        <w:spacing w:before="0"/>
        <w:ind w:left="180" w:right="0" w:firstLine="0"/>
        <w:jc w:val="left"/>
        <w:rPr>
          <w:b/>
          <w:sz w:val="24"/>
        </w:rPr>
      </w:pPr>
      <w:r>
        <w:rPr>
          <w:b/>
          <w:sz w:val="24"/>
        </w:rPr>
        <w:t>Barry G. Porter, Burgess and Porter Law, LLC</w:t>
      </w:r>
    </w:p>
    <w:p>
      <w:pPr>
        <w:pStyle w:val="BodyText"/>
        <w:rPr>
          <w:b/>
          <w:sz w:val="26"/>
        </w:rPr>
      </w:pPr>
    </w:p>
    <w:p>
      <w:pPr>
        <w:pStyle w:val="BodyText"/>
        <w:rPr>
          <w:b/>
          <w:sz w:val="26"/>
        </w:rPr>
      </w:pPr>
    </w:p>
    <w:p>
      <w:pPr>
        <w:pStyle w:val="BodyText"/>
        <w:spacing w:before="225"/>
        <w:ind w:left="180" w:right="5346"/>
      </w:pPr>
      <w:r>
        <w:rPr/>
        <w:t>SECOND JUDICIAL DISTRICT COURT COUNTY OF X</w:t>
      </w:r>
    </w:p>
    <w:p>
      <w:pPr>
        <w:pStyle w:val="BodyText"/>
        <w:ind w:left="180"/>
      </w:pPr>
      <w:r>
        <w:rPr/>
        <w:t>STATE OF NEW MEXICO</w:t>
      </w:r>
    </w:p>
    <w:p>
      <w:pPr>
        <w:pStyle w:val="BodyText"/>
      </w:pPr>
    </w:p>
    <w:p>
      <w:pPr>
        <w:pStyle w:val="BodyText"/>
        <w:ind w:left="5221"/>
      </w:pPr>
      <w:r>
        <w:rPr/>
        <w:t>No. CR 2016-12345</w:t>
      </w:r>
    </w:p>
    <w:p>
      <w:pPr>
        <w:pStyle w:val="BodyText"/>
        <w:spacing w:before="3"/>
        <w:rPr>
          <w:sz w:val="16"/>
        </w:rPr>
      </w:pPr>
    </w:p>
    <w:p>
      <w:pPr>
        <w:pStyle w:val="BodyText"/>
        <w:spacing w:before="90"/>
        <w:ind w:left="180"/>
      </w:pPr>
      <w:r>
        <w:rPr/>
        <w:t>STATE OF NEW MEXICO,</w:t>
      </w:r>
    </w:p>
    <w:p>
      <w:pPr>
        <w:pStyle w:val="BodyText"/>
        <w:ind w:left="3061"/>
      </w:pPr>
      <w:r>
        <w:rPr/>
        <w:t>Plaintiff,</w:t>
      </w:r>
    </w:p>
    <w:p>
      <w:pPr>
        <w:pStyle w:val="BodyText"/>
        <w:spacing w:before="2"/>
        <w:rPr>
          <w:sz w:val="16"/>
        </w:rPr>
      </w:pPr>
    </w:p>
    <w:p>
      <w:pPr>
        <w:pStyle w:val="BodyText"/>
        <w:spacing w:before="90"/>
        <w:ind w:left="180"/>
      </w:pPr>
      <w:r>
        <w:rPr/>
        <w:t>vs.</w:t>
      </w:r>
    </w:p>
    <w:p>
      <w:pPr>
        <w:pStyle w:val="BodyText"/>
        <w:spacing w:before="2"/>
        <w:rPr>
          <w:sz w:val="16"/>
        </w:rPr>
      </w:pPr>
    </w:p>
    <w:p>
      <w:pPr>
        <w:spacing w:after="0"/>
        <w:rPr>
          <w:sz w:val="16"/>
        </w:rPr>
        <w:sectPr>
          <w:type w:val="continuous"/>
          <w:pgSz w:w="12240" w:h="15840"/>
          <w:pgMar w:top="1360" w:bottom="280" w:left="1260" w:right="1320"/>
        </w:sectPr>
      </w:pPr>
    </w:p>
    <w:p>
      <w:pPr>
        <w:pStyle w:val="BodyText"/>
        <w:spacing w:before="90"/>
        <w:ind w:left="180"/>
      </w:pPr>
      <w:r>
        <w:rPr/>
        <w:t>JOHN DOE,</w:t>
      </w:r>
    </w:p>
    <w:p>
      <w:pPr>
        <w:pStyle w:val="BodyText"/>
        <w:spacing w:before="9"/>
        <w:rPr>
          <w:sz w:val="31"/>
        </w:rPr>
      </w:pPr>
      <w:r>
        <w:rPr/>
        <w:br w:type="column"/>
      </w:r>
      <w:r>
        <w:rPr>
          <w:sz w:val="31"/>
        </w:rPr>
      </w:r>
    </w:p>
    <w:p>
      <w:pPr>
        <w:pStyle w:val="BodyText"/>
        <w:spacing w:before="1"/>
        <w:ind w:left="1582"/>
      </w:pPr>
      <w:r>
        <w:rPr/>
        <w:t>Defendant.</w:t>
      </w:r>
    </w:p>
    <w:p>
      <w:pPr>
        <w:pStyle w:val="BodyText"/>
        <w:rPr>
          <w:sz w:val="26"/>
        </w:rPr>
      </w:pPr>
    </w:p>
    <w:p>
      <w:pPr>
        <w:pStyle w:val="BodyText"/>
        <w:spacing w:before="4"/>
        <w:rPr>
          <w:sz w:val="22"/>
        </w:rPr>
      </w:pPr>
    </w:p>
    <w:p>
      <w:pPr>
        <w:pStyle w:val="Heading1"/>
        <w:ind w:left="180" w:firstLine="0"/>
      </w:pPr>
      <w:r>
        <w:rPr/>
        <w:t>MOTION TO COMPEL DISCLOSURE OF LAPEL VIDEOS</w:t>
      </w:r>
    </w:p>
    <w:p>
      <w:pPr>
        <w:spacing w:after="0"/>
        <w:sectPr>
          <w:type w:val="continuous"/>
          <w:pgSz w:w="12240" w:h="15840"/>
          <w:pgMar w:top="1360" w:bottom="280" w:left="1260" w:right="1320"/>
          <w:cols w:num="2" w:equalWidth="0">
            <w:col w:w="1407" w:space="71"/>
            <w:col w:w="8182"/>
          </w:cols>
        </w:sectPr>
      </w:pPr>
    </w:p>
    <w:p>
      <w:pPr>
        <w:pStyle w:val="BodyText"/>
        <w:spacing w:before="7"/>
        <w:rPr>
          <w:b/>
          <w:sz w:val="15"/>
        </w:rPr>
      </w:pPr>
    </w:p>
    <w:p>
      <w:pPr>
        <w:pStyle w:val="BodyText"/>
        <w:spacing w:line="360" w:lineRule="auto" w:before="90"/>
        <w:ind w:left="180" w:right="214" w:firstLine="719"/>
      </w:pPr>
      <w:r>
        <w:rPr/>
        <w:t>Defendant, through counsel undersigned and pursuant to Rules 5-501 and 5-505, NMRA 1986, respectfully moves this Court for an Order requiring the State to comply with Rules 5-501 and 5-505, NMRA 1986. This motion is made pursuant to Article II, sections 4, 12, and 18 of the New Mexico Constitution, and the Fifth, Sixth, and Fourteenth Amendments to the United States Constitution. As grounds for this motion, defendant states:</w:t>
      </w:r>
    </w:p>
    <w:p>
      <w:pPr>
        <w:pStyle w:val="Heading1"/>
        <w:numPr>
          <w:ilvl w:val="0"/>
          <w:numId w:val="1"/>
        </w:numPr>
        <w:tabs>
          <w:tab w:pos="901" w:val="left" w:leader="none"/>
        </w:tabs>
        <w:spacing w:line="240" w:lineRule="auto" w:before="6" w:after="0"/>
        <w:ind w:left="900" w:right="0" w:hanging="360"/>
        <w:jc w:val="left"/>
      </w:pPr>
      <w:r>
        <w:rPr/>
        <w:t>Supporting Facts and List of Requested Material</w:t>
      </w:r>
    </w:p>
    <w:p>
      <w:pPr>
        <w:pStyle w:val="ListParagraph"/>
        <w:numPr>
          <w:ilvl w:val="1"/>
          <w:numId w:val="1"/>
        </w:numPr>
        <w:tabs>
          <w:tab w:pos="1471" w:val="left" w:leader="none"/>
          <w:tab w:pos="1472" w:val="left" w:leader="none"/>
        </w:tabs>
        <w:spacing w:line="360" w:lineRule="auto" w:before="133" w:after="0"/>
        <w:ind w:left="1471" w:right="1030" w:hanging="571"/>
        <w:jc w:val="left"/>
        <w:rPr>
          <w:sz w:val="24"/>
        </w:rPr>
      </w:pPr>
      <w:r>
        <w:rPr>
          <w:sz w:val="24"/>
        </w:rPr>
        <w:t>Defense counsel entered an appearance on July 1, 2016. Upon making</w:t>
      </w:r>
      <w:r>
        <w:rPr>
          <w:spacing w:val="-10"/>
          <w:sz w:val="24"/>
        </w:rPr>
        <w:t> </w:t>
      </w:r>
      <w:r>
        <w:rPr>
          <w:sz w:val="24"/>
        </w:rPr>
        <w:t>the appearance Defendant requested disclosure of all discoverable</w:t>
      </w:r>
      <w:r>
        <w:rPr>
          <w:spacing w:val="-9"/>
          <w:sz w:val="24"/>
        </w:rPr>
        <w:t> </w:t>
      </w:r>
      <w:r>
        <w:rPr>
          <w:sz w:val="24"/>
        </w:rPr>
        <w:t>material.</w:t>
      </w:r>
    </w:p>
    <w:p>
      <w:pPr>
        <w:pStyle w:val="ListParagraph"/>
        <w:numPr>
          <w:ilvl w:val="1"/>
          <w:numId w:val="1"/>
        </w:numPr>
        <w:tabs>
          <w:tab w:pos="1471" w:val="left" w:leader="none"/>
          <w:tab w:pos="1472" w:val="left" w:leader="none"/>
        </w:tabs>
        <w:spacing w:line="360" w:lineRule="auto" w:before="0" w:after="0"/>
        <w:ind w:left="1471" w:right="394" w:hanging="571"/>
        <w:jc w:val="left"/>
        <w:rPr>
          <w:sz w:val="24"/>
        </w:rPr>
      </w:pPr>
      <w:r>
        <w:rPr>
          <w:sz w:val="24"/>
        </w:rPr>
        <w:t>In addition, defense counsel submitted an email request to ADA Smith on July 1, 2016 and then again on August 1, 2016. (See attached Exhibit</w:t>
      </w:r>
      <w:r>
        <w:rPr>
          <w:spacing w:val="-2"/>
          <w:sz w:val="24"/>
        </w:rPr>
        <w:t> </w:t>
      </w:r>
      <w:r>
        <w:rPr>
          <w:sz w:val="24"/>
        </w:rPr>
        <w:t>A).</w:t>
      </w:r>
    </w:p>
    <w:p>
      <w:pPr>
        <w:pStyle w:val="ListParagraph"/>
        <w:numPr>
          <w:ilvl w:val="1"/>
          <w:numId w:val="1"/>
        </w:numPr>
        <w:tabs>
          <w:tab w:pos="1471" w:val="left" w:leader="none"/>
          <w:tab w:pos="1472" w:val="left" w:leader="none"/>
        </w:tabs>
        <w:spacing w:line="240" w:lineRule="auto" w:before="0" w:after="0"/>
        <w:ind w:left="1471" w:right="0" w:hanging="571"/>
        <w:jc w:val="left"/>
        <w:rPr>
          <w:sz w:val="24"/>
        </w:rPr>
      </w:pPr>
      <w:r>
        <w:rPr>
          <w:sz w:val="24"/>
        </w:rPr>
        <w:t>Discovery was provided on August 2,</w:t>
      </w:r>
      <w:r>
        <w:rPr>
          <w:spacing w:val="-4"/>
          <w:sz w:val="24"/>
        </w:rPr>
        <w:t> </w:t>
      </w:r>
      <w:r>
        <w:rPr>
          <w:sz w:val="24"/>
        </w:rPr>
        <w:t>2016.</w:t>
      </w:r>
    </w:p>
    <w:p>
      <w:pPr>
        <w:pStyle w:val="ListParagraph"/>
        <w:numPr>
          <w:ilvl w:val="1"/>
          <w:numId w:val="1"/>
        </w:numPr>
        <w:tabs>
          <w:tab w:pos="1471" w:val="left" w:leader="none"/>
          <w:tab w:pos="1472" w:val="left" w:leader="none"/>
        </w:tabs>
        <w:spacing w:line="360" w:lineRule="auto" w:before="137" w:after="0"/>
        <w:ind w:left="1471" w:right="1028" w:hanging="571"/>
        <w:jc w:val="left"/>
        <w:rPr>
          <w:sz w:val="24"/>
        </w:rPr>
      </w:pPr>
      <w:r>
        <w:rPr>
          <w:sz w:val="24"/>
        </w:rPr>
        <w:t>Initial discovery has been supplied in this case, however, at least one other discovery items remains</w:t>
      </w:r>
      <w:r>
        <w:rPr>
          <w:spacing w:val="-4"/>
          <w:sz w:val="24"/>
        </w:rPr>
        <w:t> </w:t>
      </w:r>
      <w:r>
        <w:rPr>
          <w:sz w:val="24"/>
        </w:rPr>
        <w:t>outstanding.</w:t>
      </w:r>
    </w:p>
    <w:p>
      <w:pPr>
        <w:pStyle w:val="ListParagraph"/>
        <w:numPr>
          <w:ilvl w:val="1"/>
          <w:numId w:val="1"/>
        </w:numPr>
        <w:tabs>
          <w:tab w:pos="1471" w:val="left" w:leader="none"/>
          <w:tab w:pos="1472" w:val="left" w:leader="none"/>
        </w:tabs>
        <w:spacing w:line="360" w:lineRule="auto" w:before="0" w:after="0"/>
        <w:ind w:left="1471" w:right="409" w:hanging="571"/>
        <w:jc w:val="left"/>
        <w:rPr>
          <w:sz w:val="24"/>
        </w:rPr>
      </w:pPr>
      <w:r>
        <w:rPr>
          <w:sz w:val="24"/>
        </w:rPr>
        <w:t>According to the evidence log, the only item tagged into evidence was marijuana and a lapel video was not tagged into</w:t>
      </w:r>
      <w:r>
        <w:rPr>
          <w:spacing w:val="3"/>
          <w:sz w:val="24"/>
        </w:rPr>
        <w:t> </w:t>
      </w:r>
      <w:r>
        <w:rPr>
          <w:sz w:val="24"/>
        </w:rPr>
        <w:t>evidence.</w:t>
      </w:r>
    </w:p>
    <w:p>
      <w:pPr>
        <w:pStyle w:val="ListParagraph"/>
        <w:numPr>
          <w:ilvl w:val="1"/>
          <w:numId w:val="1"/>
        </w:numPr>
        <w:tabs>
          <w:tab w:pos="1471" w:val="left" w:leader="none"/>
          <w:tab w:pos="1472" w:val="left" w:leader="none"/>
        </w:tabs>
        <w:spacing w:line="360" w:lineRule="auto" w:before="0" w:after="0"/>
        <w:ind w:left="1471" w:right="196" w:hanging="571"/>
        <w:jc w:val="left"/>
        <w:rPr>
          <w:sz w:val="24"/>
        </w:rPr>
      </w:pPr>
      <w:r>
        <w:rPr>
          <w:sz w:val="24"/>
        </w:rPr>
        <w:t>On August 4, 2016, defense counsel submitted an email to ADA Smith specifically requesting a copy of the lapel video and asking that ADA Smith contact</w:t>
      </w:r>
      <w:r>
        <w:rPr>
          <w:spacing w:val="-11"/>
          <w:sz w:val="24"/>
        </w:rPr>
        <w:t> </w:t>
      </w:r>
      <w:r>
        <w:rPr>
          <w:sz w:val="24"/>
        </w:rPr>
        <w:t>Officer</w:t>
      </w:r>
    </w:p>
    <w:p>
      <w:pPr>
        <w:spacing w:after="0" w:line="360" w:lineRule="auto"/>
        <w:jc w:val="left"/>
        <w:rPr>
          <w:sz w:val="24"/>
        </w:rPr>
        <w:sectPr>
          <w:type w:val="continuous"/>
          <w:pgSz w:w="12240" w:h="15840"/>
          <w:pgMar w:top="1360" w:bottom="280" w:left="1260" w:right="1320"/>
        </w:sectPr>
      </w:pPr>
    </w:p>
    <w:p>
      <w:pPr>
        <w:pStyle w:val="BodyText"/>
        <w:spacing w:before="74"/>
        <w:ind w:left="1471"/>
      </w:pPr>
      <w:r>
        <w:rPr/>
        <w:t>George Jones for a copy of the lapel video. (See attached Exhibit B).</w:t>
      </w:r>
    </w:p>
    <w:p>
      <w:pPr>
        <w:pStyle w:val="ListParagraph"/>
        <w:numPr>
          <w:ilvl w:val="1"/>
          <w:numId w:val="1"/>
        </w:numPr>
        <w:tabs>
          <w:tab w:pos="1471" w:val="left" w:leader="none"/>
          <w:tab w:pos="1472" w:val="left" w:leader="none"/>
        </w:tabs>
        <w:spacing w:line="240" w:lineRule="auto" w:before="137" w:after="0"/>
        <w:ind w:left="1471" w:right="0" w:hanging="571"/>
        <w:jc w:val="left"/>
        <w:rPr>
          <w:sz w:val="24"/>
        </w:rPr>
      </w:pPr>
      <w:r>
        <w:rPr>
          <w:sz w:val="24"/>
        </w:rPr>
        <w:t>To date, the video has not been provided nor has there been a response to the</w:t>
      </w:r>
      <w:r>
        <w:rPr>
          <w:spacing w:val="-7"/>
          <w:sz w:val="24"/>
        </w:rPr>
        <w:t> </w:t>
      </w:r>
      <w:r>
        <w:rPr>
          <w:sz w:val="24"/>
        </w:rPr>
        <w:t>email.</w:t>
      </w:r>
    </w:p>
    <w:p>
      <w:pPr>
        <w:pStyle w:val="ListParagraph"/>
        <w:numPr>
          <w:ilvl w:val="1"/>
          <w:numId w:val="1"/>
        </w:numPr>
        <w:tabs>
          <w:tab w:pos="1471" w:val="left" w:leader="none"/>
          <w:tab w:pos="1472" w:val="left" w:leader="none"/>
        </w:tabs>
        <w:spacing w:line="240" w:lineRule="auto" w:before="139" w:after="0"/>
        <w:ind w:left="1471" w:right="0" w:hanging="571"/>
        <w:jc w:val="left"/>
        <w:rPr>
          <w:sz w:val="24"/>
        </w:rPr>
      </w:pPr>
      <w:r>
        <w:rPr>
          <w:sz w:val="24"/>
        </w:rPr>
        <w:t>Defendant specifically requests the additional disclosure of the</w:t>
      </w:r>
      <w:r>
        <w:rPr>
          <w:spacing w:val="-6"/>
          <w:sz w:val="24"/>
        </w:rPr>
        <w:t> </w:t>
      </w:r>
      <w:r>
        <w:rPr>
          <w:sz w:val="24"/>
        </w:rPr>
        <w:t>following:</w:t>
      </w:r>
    </w:p>
    <w:p>
      <w:pPr>
        <w:pStyle w:val="Heading1"/>
        <w:numPr>
          <w:ilvl w:val="2"/>
          <w:numId w:val="1"/>
        </w:numPr>
        <w:tabs>
          <w:tab w:pos="1832" w:val="left" w:leader="none"/>
        </w:tabs>
        <w:spacing w:line="360" w:lineRule="auto" w:before="142" w:after="0"/>
        <w:ind w:left="1831" w:right="1140" w:hanging="360"/>
        <w:jc w:val="left"/>
      </w:pPr>
      <w:r>
        <w:rPr/>
        <w:t>Lapel Videos from X Police Department issued Lapel Cameras of Officer George Jones, #5555, and Officer Richard Rogers,</w:t>
      </w:r>
      <w:r>
        <w:rPr>
          <w:spacing w:val="-10"/>
        </w:rPr>
        <w:t> </w:t>
      </w:r>
      <w:r>
        <w:rPr/>
        <w:t>#1111.</w:t>
      </w:r>
    </w:p>
    <w:p>
      <w:pPr>
        <w:pStyle w:val="ListParagraph"/>
        <w:numPr>
          <w:ilvl w:val="2"/>
          <w:numId w:val="1"/>
        </w:numPr>
        <w:tabs>
          <w:tab w:pos="1832" w:val="left" w:leader="none"/>
        </w:tabs>
        <w:spacing w:line="360" w:lineRule="auto" w:before="0" w:after="0"/>
        <w:ind w:left="1831" w:right="991" w:hanging="360"/>
        <w:jc w:val="left"/>
        <w:rPr>
          <w:b/>
          <w:sz w:val="24"/>
        </w:rPr>
      </w:pPr>
      <w:r>
        <w:rPr>
          <w:b/>
          <w:sz w:val="24"/>
        </w:rPr>
        <w:t>Any other documents, statements or tangible pieces of evidence</w:t>
      </w:r>
      <w:r>
        <w:rPr>
          <w:b/>
          <w:spacing w:val="-15"/>
          <w:sz w:val="24"/>
        </w:rPr>
        <w:t> </w:t>
      </w:r>
      <w:r>
        <w:rPr>
          <w:b/>
          <w:sz w:val="24"/>
        </w:rPr>
        <w:t>the state intends to introduce or refer to at</w:t>
      </w:r>
      <w:r>
        <w:rPr>
          <w:b/>
          <w:spacing w:val="-2"/>
          <w:sz w:val="24"/>
        </w:rPr>
        <w:t> </w:t>
      </w:r>
      <w:r>
        <w:rPr>
          <w:b/>
          <w:sz w:val="24"/>
        </w:rPr>
        <w:t>trial.</w:t>
      </w:r>
    </w:p>
    <w:p>
      <w:pPr>
        <w:pStyle w:val="ListParagraph"/>
        <w:numPr>
          <w:ilvl w:val="1"/>
          <w:numId w:val="1"/>
        </w:numPr>
        <w:tabs>
          <w:tab w:pos="1471" w:val="left" w:leader="none"/>
          <w:tab w:pos="1472" w:val="left" w:leader="none"/>
        </w:tabs>
        <w:spacing w:line="360" w:lineRule="auto" w:before="0" w:after="0"/>
        <w:ind w:left="1471" w:right="1043" w:hanging="571"/>
        <w:jc w:val="left"/>
        <w:rPr>
          <w:sz w:val="24"/>
        </w:rPr>
      </w:pPr>
      <w:r>
        <w:rPr>
          <w:sz w:val="24"/>
        </w:rPr>
        <w:t>On June 15, 2012, Chief X issued Department Special Order 11-27,</w:t>
      </w:r>
      <w:r>
        <w:rPr>
          <w:spacing w:val="-10"/>
          <w:sz w:val="24"/>
        </w:rPr>
        <w:t> </w:t>
      </w:r>
      <w:r>
        <w:rPr>
          <w:sz w:val="24"/>
        </w:rPr>
        <w:t>which mandated that all officers use a lapel camera. (See attached Exhibit</w:t>
      </w:r>
      <w:r>
        <w:rPr>
          <w:spacing w:val="-9"/>
          <w:sz w:val="24"/>
        </w:rPr>
        <w:t> </w:t>
      </w:r>
      <w:r>
        <w:rPr>
          <w:sz w:val="24"/>
        </w:rPr>
        <w:t>C).</w:t>
      </w:r>
    </w:p>
    <w:p>
      <w:pPr>
        <w:pStyle w:val="ListParagraph"/>
        <w:numPr>
          <w:ilvl w:val="1"/>
          <w:numId w:val="1"/>
        </w:numPr>
        <w:tabs>
          <w:tab w:pos="1471" w:val="left" w:leader="none"/>
          <w:tab w:pos="1472" w:val="left" w:leader="none"/>
        </w:tabs>
        <w:spacing w:line="360" w:lineRule="auto" w:before="0" w:after="0"/>
        <w:ind w:left="1471" w:right="135" w:hanging="571"/>
        <w:jc w:val="left"/>
        <w:rPr>
          <w:sz w:val="24"/>
        </w:rPr>
      </w:pPr>
      <w:r>
        <w:rPr>
          <w:sz w:val="24"/>
        </w:rPr>
        <w:t>The Albuquerque Police Department General Orders 1-39 mandates that all officers use the lapel camera to document specific incidents,</w:t>
      </w:r>
      <w:r>
        <w:rPr>
          <w:spacing w:val="-5"/>
          <w:sz w:val="24"/>
        </w:rPr>
        <w:t> </w:t>
      </w:r>
      <w:r>
        <w:rPr>
          <w:sz w:val="24"/>
        </w:rPr>
        <w:t>including:</w:t>
      </w:r>
    </w:p>
    <w:p>
      <w:pPr>
        <w:pStyle w:val="BodyText"/>
        <w:spacing w:line="360" w:lineRule="auto"/>
        <w:ind w:left="2340"/>
      </w:pPr>
      <w:r>
        <w:rPr/>
        <w:t>1-39-2(C) All sworn department personnel will record each and every contact with a citizen during their shift that is the result of a dispatched</w:t>
      </w:r>
    </w:p>
    <w:p>
      <w:pPr>
        <w:pStyle w:val="BodyText"/>
        <w:spacing w:line="362" w:lineRule="auto"/>
        <w:ind w:left="2340"/>
      </w:pPr>
      <w:r>
        <w:rPr/>
        <w:t>call for service… The recordings will be saved for no less than 120 days.” (See attached Exhibit D).</w:t>
      </w:r>
    </w:p>
    <w:p>
      <w:pPr>
        <w:pStyle w:val="ListParagraph"/>
        <w:numPr>
          <w:ilvl w:val="1"/>
          <w:numId w:val="1"/>
        </w:numPr>
        <w:tabs>
          <w:tab w:pos="1321" w:val="left" w:leader="none"/>
        </w:tabs>
        <w:spacing w:line="360" w:lineRule="auto" w:before="0" w:after="0"/>
        <w:ind w:left="900" w:right="500" w:firstLine="0"/>
        <w:jc w:val="left"/>
        <w:rPr>
          <w:sz w:val="24"/>
        </w:rPr>
      </w:pPr>
      <w:r>
        <w:rPr>
          <w:sz w:val="24"/>
        </w:rPr>
        <w:t>Defendant is requesting an emergency hearing on this matter because the 120 day deadline for the records to be saved is X DATE,</w:t>
      </w:r>
      <w:r>
        <w:rPr>
          <w:spacing w:val="-4"/>
          <w:sz w:val="24"/>
        </w:rPr>
        <w:t> </w:t>
      </w:r>
      <w:r>
        <w:rPr>
          <w:sz w:val="24"/>
        </w:rPr>
        <w:t>2016.</w:t>
      </w:r>
    </w:p>
    <w:p>
      <w:pPr>
        <w:pStyle w:val="BodyText"/>
        <w:spacing w:before="5"/>
        <w:rPr>
          <w:sz w:val="23"/>
        </w:rPr>
      </w:pPr>
    </w:p>
    <w:p>
      <w:pPr>
        <w:pStyle w:val="Heading1"/>
        <w:numPr>
          <w:ilvl w:val="0"/>
          <w:numId w:val="1"/>
        </w:numPr>
        <w:tabs>
          <w:tab w:pos="901" w:val="left" w:leader="none"/>
        </w:tabs>
        <w:spacing w:line="240" w:lineRule="auto" w:before="0" w:after="0"/>
        <w:ind w:left="900" w:right="0" w:hanging="360"/>
        <w:jc w:val="left"/>
      </w:pPr>
      <w:r>
        <w:rPr>
          <w:spacing w:val="-3"/>
        </w:rPr>
        <w:t>Federal Constitutional </w:t>
      </w:r>
      <w:r>
        <w:rPr/>
        <w:t>Law on </w:t>
      </w:r>
      <w:r>
        <w:rPr>
          <w:spacing w:val="-3"/>
        </w:rPr>
        <w:t>Disclosure </w:t>
      </w:r>
      <w:r>
        <w:rPr/>
        <w:t>of</w:t>
      </w:r>
      <w:r>
        <w:rPr>
          <w:spacing w:val="-13"/>
        </w:rPr>
        <w:t> </w:t>
      </w:r>
      <w:r>
        <w:rPr>
          <w:spacing w:val="-3"/>
        </w:rPr>
        <w:t>Materials</w:t>
      </w:r>
    </w:p>
    <w:p>
      <w:pPr>
        <w:pStyle w:val="BodyText"/>
        <w:spacing w:before="9"/>
        <w:rPr>
          <w:b/>
          <w:sz w:val="23"/>
        </w:rPr>
      </w:pPr>
    </w:p>
    <w:p>
      <w:pPr>
        <w:spacing w:line="360" w:lineRule="auto" w:before="0"/>
        <w:ind w:left="180" w:right="114" w:firstLine="719"/>
        <w:jc w:val="both"/>
        <w:rPr>
          <w:sz w:val="24"/>
        </w:rPr>
      </w:pPr>
      <w:r>
        <w:rPr>
          <w:spacing w:val="-3"/>
          <w:sz w:val="24"/>
        </w:rPr>
        <w:t>Pursuant </w:t>
      </w:r>
      <w:r>
        <w:rPr>
          <w:sz w:val="24"/>
        </w:rPr>
        <w:t>to United States </w:t>
      </w:r>
      <w:r>
        <w:rPr>
          <w:spacing w:val="-3"/>
          <w:sz w:val="24"/>
        </w:rPr>
        <w:t>Supreme </w:t>
      </w:r>
      <w:r>
        <w:rPr>
          <w:sz w:val="24"/>
        </w:rPr>
        <w:t>Court decisions </w:t>
      </w:r>
      <w:r>
        <w:rPr>
          <w:spacing w:val="-3"/>
          <w:sz w:val="24"/>
        </w:rPr>
        <w:t>delineating </w:t>
      </w:r>
      <w:r>
        <w:rPr>
          <w:sz w:val="24"/>
        </w:rPr>
        <w:t>Constitutional Due Process </w:t>
      </w:r>
      <w:r>
        <w:rPr>
          <w:spacing w:val="-3"/>
          <w:sz w:val="24"/>
        </w:rPr>
        <w:t>rights, </w:t>
      </w:r>
      <w:r>
        <w:rPr>
          <w:sz w:val="24"/>
        </w:rPr>
        <w:t>the </w:t>
      </w:r>
      <w:r>
        <w:rPr>
          <w:spacing w:val="-3"/>
          <w:sz w:val="24"/>
        </w:rPr>
        <w:t>prosecution </w:t>
      </w:r>
      <w:r>
        <w:rPr>
          <w:sz w:val="24"/>
          <w:u w:val="single"/>
        </w:rPr>
        <w:t>must</w:t>
      </w:r>
      <w:r>
        <w:rPr>
          <w:sz w:val="24"/>
        </w:rPr>
        <w:t> provide </w:t>
      </w:r>
      <w:r>
        <w:rPr>
          <w:spacing w:val="-3"/>
          <w:sz w:val="24"/>
        </w:rPr>
        <w:t>favorable information </w:t>
      </w:r>
      <w:r>
        <w:rPr>
          <w:sz w:val="24"/>
        </w:rPr>
        <w:t>to </w:t>
      </w:r>
      <w:r>
        <w:rPr>
          <w:spacing w:val="-3"/>
          <w:sz w:val="24"/>
        </w:rPr>
        <w:t>defense </w:t>
      </w:r>
      <w:r>
        <w:rPr>
          <w:sz w:val="24"/>
        </w:rPr>
        <w:t>that </w:t>
      </w:r>
      <w:r>
        <w:rPr>
          <w:b/>
          <w:spacing w:val="-3"/>
          <w:sz w:val="24"/>
        </w:rPr>
        <w:t>tends </w:t>
      </w:r>
      <w:r>
        <w:rPr>
          <w:b/>
          <w:sz w:val="24"/>
        </w:rPr>
        <w:t>to </w:t>
      </w:r>
      <w:r>
        <w:rPr>
          <w:b/>
          <w:spacing w:val="-3"/>
          <w:sz w:val="24"/>
        </w:rPr>
        <w:t>negate guilt, reduce punishment, </w:t>
      </w:r>
      <w:r>
        <w:rPr>
          <w:b/>
          <w:sz w:val="24"/>
        </w:rPr>
        <w:t>or </w:t>
      </w:r>
      <w:r>
        <w:rPr>
          <w:b/>
          <w:spacing w:val="-3"/>
          <w:sz w:val="24"/>
        </w:rPr>
        <w:t>goes </w:t>
      </w:r>
      <w:r>
        <w:rPr>
          <w:b/>
          <w:sz w:val="24"/>
        </w:rPr>
        <w:t>to the </w:t>
      </w:r>
      <w:r>
        <w:rPr>
          <w:b/>
          <w:spacing w:val="-3"/>
          <w:sz w:val="24"/>
        </w:rPr>
        <w:t>credibility </w:t>
      </w:r>
      <w:r>
        <w:rPr>
          <w:b/>
          <w:sz w:val="24"/>
        </w:rPr>
        <w:t>of </w:t>
      </w:r>
      <w:r>
        <w:rPr>
          <w:b/>
          <w:spacing w:val="-3"/>
          <w:sz w:val="24"/>
        </w:rPr>
        <w:t>witnesses (impeachment </w:t>
      </w:r>
      <w:r>
        <w:rPr>
          <w:b/>
          <w:sz w:val="24"/>
        </w:rPr>
        <w:t>evidence)</w:t>
      </w:r>
      <w:r>
        <w:rPr>
          <w:sz w:val="24"/>
        </w:rPr>
        <w:t>. </w:t>
      </w:r>
      <w:r>
        <w:rPr>
          <w:i/>
          <w:spacing w:val="-3"/>
          <w:sz w:val="24"/>
        </w:rPr>
        <w:t>Brady </w:t>
      </w:r>
      <w:r>
        <w:rPr>
          <w:i/>
          <w:sz w:val="24"/>
        </w:rPr>
        <w:t>v. </w:t>
      </w:r>
      <w:r>
        <w:rPr>
          <w:i/>
          <w:spacing w:val="-3"/>
          <w:sz w:val="24"/>
        </w:rPr>
        <w:t>Maryland</w:t>
      </w:r>
      <w:r>
        <w:rPr>
          <w:spacing w:val="-3"/>
          <w:sz w:val="24"/>
        </w:rPr>
        <w:t>, </w:t>
      </w:r>
      <w:r>
        <w:rPr>
          <w:sz w:val="24"/>
        </w:rPr>
        <w:t>373 U.S. 83, 10 </w:t>
      </w:r>
      <w:r>
        <w:rPr>
          <w:spacing w:val="-3"/>
          <w:sz w:val="24"/>
        </w:rPr>
        <w:t>L.Ed.2d 215, </w:t>
      </w:r>
      <w:r>
        <w:rPr>
          <w:sz w:val="24"/>
        </w:rPr>
        <w:t>83 S.Ct. 1194 </w:t>
      </w:r>
      <w:r>
        <w:rPr>
          <w:spacing w:val="-3"/>
          <w:sz w:val="24"/>
        </w:rPr>
        <w:t>(1963); </w:t>
      </w:r>
      <w:r>
        <w:rPr>
          <w:i/>
          <w:spacing w:val="-2"/>
          <w:sz w:val="24"/>
        </w:rPr>
        <w:t>Giglio </w:t>
      </w:r>
      <w:r>
        <w:rPr>
          <w:i/>
          <w:sz w:val="24"/>
        </w:rPr>
        <w:t>v. </w:t>
      </w:r>
      <w:r>
        <w:rPr>
          <w:i/>
          <w:spacing w:val="-3"/>
          <w:sz w:val="24"/>
        </w:rPr>
        <w:t>United </w:t>
      </w:r>
      <w:r>
        <w:rPr>
          <w:i/>
          <w:sz w:val="24"/>
        </w:rPr>
        <w:t>States</w:t>
      </w:r>
      <w:r>
        <w:rPr>
          <w:sz w:val="24"/>
        </w:rPr>
        <w:t>, 405 U.S.</w:t>
      </w:r>
    </w:p>
    <w:p>
      <w:pPr>
        <w:pStyle w:val="BodyText"/>
        <w:spacing w:before="1"/>
        <w:ind w:left="180"/>
      </w:pPr>
      <w:r>
        <w:rPr/>
        <w:t>150, 31 L.Ed.2d 104, 92 S.Ct. 763 (1972).</w:t>
      </w:r>
    </w:p>
    <w:p>
      <w:pPr>
        <w:pStyle w:val="BodyText"/>
        <w:spacing w:before="10"/>
        <w:rPr>
          <w:sz w:val="29"/>
        </w:rPr>
      </w:pPr>
    </w:p>
    <w:p>
      <w:pPr>
        <w:pStyle w:val="BodyText"/>
        <w:spacing w:line="417" w:lineRule="auto"/>
        <w:ind w:left="180" w:right="114" w:firstLine="719"/>
        <w:jc w:val="both"/>
      </w:pPr>
      <w:r>
        <w:rPr>
          <w:spacing w:val="-3"/>
        </w:rPr>
        <w:t>Moreover, </w:t>
      </w:r>
      <w:r>
        <w:rPr/>
        <w:t>in </w:t>
      </w:r>
      <w:r>
        <w:rPr>
          <w:i/>
        </w:rPr>
        <w:t>United States v. Agurs</w:t>
      </w:r>
      <w:r>
        <w:rPr/>
        <w:t>, 427 U.S. 97, 49 </w:t>
      </w:r>
      <w:r>
        <w:rPr>
          <w:spacing w:val="-3"/>
        </w:rPr>
        <w:t>L.Ed.2d </w:t>
      </w:r>
      <w:r>
        <w:rPr/>
        <w:t>342, 96 S.Ct. </w:t>
      </w:r>
      <w:r>
        <w:rPr>
          <w:spacing w:val="-3"/>
        </w:rPr>
        <w:t>2392 (1976), </w:t>
      </w:r>
      <w:r>
        <w:rPr/>
        <w:t>the U.S. Supreme </w:t>
      </w:r>
      <w:r>
        <w:rPr>
          <w:spacing w:val="-3"/>
        </w:rPr>
        <w:t>Court held </w:t>
      </w:r>
      <w:r>
        <w:rPr/>
        <w:t>that the </w:t>
      </w:r>
      <w:r>
        <w:rPr>
          <w:spacing w:val="-3"/>
        </w:rPr>
        <w:t>prosecution </w:t>
      </w:r>
      <w:r>
        <w:rPr/>
        <w:t>must volunteer exculpatory </w:t>
      </w:r>
      <w:r>
        <w:rPr>
          <w:spacing w:val="-2"/>
        </w:rPr>
        <w:t>evidence </w:t>
      </w:r>
      <w:r>
        <w:rPr/>
        <w:t>even in the </w:t>
      </w:r>
      <w:r>
        <w:rPr>
          <w:spacing w:val="-3"/>
        </w:rPr>
        <w:t>absence </w:t>
      </w:r>
      <w:r>
        <w:rPr/>
        <w:t>of a particularized </w:t>
      </w:r>
      <w:r>
        <w:rPr>
          <w:spacing w:val="-3"/>
        </w:rPr>
        <w:t>request </w:t>
      </w:r>
      <w:r>
        <w:rPr/>
        <w:t>therefore. </w:t>
      </w:r>
      <w:r>
        <w:rPr>
          <w:i/>
        </w:rPr>
        <w:t>United </w:t>
      </w:r>
      <w:r>
        <w:rPr>
          <w:i/>
          <w:spacing w:val="-3"/>
        </w:rPr>
        <w:t>States </w:t>
      </w:r>
      <w:r>
        <w:rPr>
          <w:i/>
        </w:rPr>
        <w:t>v. Bagley</w:t>
      </w:r>
      <w:r>
        <w:rPr/>
        <w:t>, 473 U.S. </w:t>
      </w:r>
      <w:r>
        <w:rPr>
          <w:spacing w:val="-3"/>
        </w:rPr>
        <w:t>667, </w:t>
      </w:r>
      <w:r>
        <w:rPr/>
        <w:t>87 </w:t>
      </w:r>
      <w:r>
        <w:rPr>
          <w:spacing w:val="-3"/>
        </w:rPr>
        <w:t>L.Ed.2d 481, </w:t>
      </w:r>
      <w:r>
        <w:rPr/>
        <w:t>105 S.Ct. 3375 </w:t>
      </w:r>
      <w:r>
        <w:rPr>
          <w:spacing w:val="-3"/>
        </w:rPr>
        <w:t>(1985), acknowledged that </w:t>
      </w:r>
      <w:r>
        <w:rPr/>
        <w:t>the failure to </w:t>
      </w:r>
      <w:r>
        <w:rPr>
          <w:spacing w:val="-3"/>
        </w:rPr>
        <w:t>provide </w:t>
      </w:r>
      <w:r>
        <w:rPr/>
        <w:t>specifically </w:t>
      </w:r>
      <w:r>
        <w:rPr>
          <w:spacing w:val="-2"/>
        </w:rPr>
        <w:t>requested </w:t>
      </w:r>
      <w:r>
        <w:rPr>
          <w:spacing w:val="-3"/>
        </w:rPr>
        <w:t>impeachment evidence </w:t>
      </w:r>
      <w:r>
        <w:rPr/>
        <w:t>can </w:t>
      </w:r>
      <w:r>
        <w:rPr>
          <w:spacing w:val="-3"/>
        </w:rPr>
        <w:t>affect independent </w:t>
      </w:r>
      <w:r>
        <w:rPr/>
        <w:t>investigation, </w:t>
      </w:r>
      <w:r>
        <w:rPr>
          <w:spacing w:val="-3"/>
        </w:rPr>
        <w:t>defenses, </w:t>
      </w:r>
      <w:r>
        <w:rPr/>
        <w:t>or </w:t>
      </w:r>
      <w:r>
        <w:rPr>
          <w:spacing w:val="-3"/>
        </w:rPr>
        <w:t>trial strategies. </w:t>
      </w:r>
      <w:r>
        <w:rPr>
          <w:i/>
        </w:rPr>
        <w:t>Penn- </w:t>
      </w:r>
      <w:r>
        <w:rPr>
          <w:i/>
          <w:spacing w:val="-3"/>
        </w:rPr>
        <w:t>sylvania </w:t>
      </w:r>
      <w:r>
        <w:rPr>
          <w:i/>
        </w:rPr>
        <w:t>v. Ritchie</w:t>
      </w:r>
      <w:r>
        <w:rPr/>
        <w:t>, 480 U.S. 39, 94 </w:t>
      </w:r>
      <w:r>
        <w:rPr>
          <w:spacing w:val="-3"/>
        </w:rPr>
        <w:t>L.Ed.2d </w:t>
      </w:r>
      <w:r>
        <w:rPr/>
        <w:t>40, 107 S.Ct. 989 (1987), held </w:t>
      </w:r>
      <w:r>
        <w:rPr>
          <w:spacing w:val="-3"/>
        </w:rPr>
        <w:t>that </w:t>
      </w:r>
      <w:r>
        <w:rPr/>
        <w:t>under the Due</w:t>
      </w:r>
    </w:p>
    <w:p>
      <w:pPr>
        <w:spacing w:after="0" w:line="417" w:lineRule="auto"/>
        <w:jc w:val="both"/>
        <w:sectPr>
          <w:pgSz w:w="12240" w:h="15840"/>
          <w:pgMar w:top="1360" w:bottom="280" w:left="1260" w:right="1320"/>
        </w:sectPr>
      </w:pPr>
    </w:p>
    <w:p>
      <w:pPr>
        <w:pStyle w:val="BodyText"/>
        <w:spacing w:line="417" w:lineRule="auto" w:before="138"/>
        <w:ind w:left="180" w:right="35"/>
      </w:pPr>
      <w:r>
        <w:rPr>
          <w:spacing w:val="-3"/>
        </w:rPr>
        <w:t>Process clause, </w:t>
      </w:r>
      <w:r>
        <w:rPr/>
        <w:t>the </w:t>
      </w:r>
      <w:r>
        <w:rPr>
          <w:spacing w:val="-3"/>
        </w:rPr>
        <w:t>defendant </w:t>
      </w:r>
      <w:r>
        <w:rPr/>
        <w:t>had a </w:t>
      </w:r>
      <w:r>
        <w:rPr>
          <w:spacing w:val="-3"/>
        </w:rPr>
        <w:t>right </w:t>
      </w:r>
      <w:r>
        <w:rPr/>
        <w:t>to discover </w:t>
      </w:r>
      <w:r>
        <w:rPr>
          <w:spacing w:val="-3"/>
        </w:rPr>
        <w:t>information </w:t>
      </w:r>
      <w:r>
        <w:rPr/>
        <w:t>over claims of privilege which are not </w:t>
      </w:r>
      <w:r>
        <w:rPr>
          <w:spacing w:val="-3"/>
        </w:rPr>
        <w:t>based </w:t>
      </w:r>
      <w:r>
        <w:rPr/>
        <w:t>on the </w:t>
      </w:r>
      <w:r>
        <w:rPr>
          <w:spacing w:val="-3"/>
        </w:rPr>
        <w:t>constitution (such </w:t>
      </w:r>
      <w:r>
        <w:rPr/>
        <w:t>as the </w:t>
      </w:r>
      <w:r>
        <w:rPr>
          <w:spacing w:val="-3"/>
        </w:rPr>
        <w:t>constitutional </w:t>
      </w:r>
      <w:r>
        <w:rPr/>
        <w:t>privilege </w:t>
      </w:r>
      <w:r>
        <w:rPr>
          <w:spacing w:val="-3"/>
        </w:rPr>
        <w:t>against self-incrimination).</w:t>
      </w:r>
    </w:p>
    <w:p>
      <w:pPr>
        <w:pStyle w:val="Heading1"/>
        <w:numPr>
          <w:ilvl w:val="0"/>
          <w:numId w:val="1"/>
        </w:numPr>
        <w:tabs>
          <w:tab w:pos="901" w:val="left" w:leader="none"/>
        </w:tabs>
        <w:spacing w:line="240" w:lineRule="auto" w:before="38" w:after="0"/>
        <w:ind w:left="900" w:right="0" w:hanging="360"/>
        <w:jc w:val="left"/>
      </w:pPr>
      <w:r>
        <w:rPr/>
        <w:t>State Constitutional Law on Disclosure of Material</w:t>
      </w:r>
    </w:p>
    <w:p>
      <w:pPr>
        <w:pStyle w:val="BodyText"/>
        <w:spacing w:before="7"/>
        <w:rPr>
          <w:b/>
          <w:sz w:val="28"/>
        </w:rPr>
      </w:pPr>
    </w:p>
    <w:p>
      <w:pPr>
        <w:pStyle w:val="BodyText"/>
        <w:spacing w:line="360" w:lineRule="auto"/>
        <w:ind w:left="180" w:right="216" w:firstLine="719"/>
      </w:pPr>
      <w:r>
        <w:rPr/>
        <w:t>Likewise, the New Mexico Supreme Court has mandated that the prosecution is required by due process clause of Fourteenth Amendment of United States Constitution to disclose evidence favorable to defendant. </w:t>
      </w:r>
      <w:r>
        <w:rPr>
          <w:i/>
        </w:rPr>
        <w:t>U.S.C.A. Const.Amend. 14</w:t>
      </w:r>
      <w:r>
        <w:rPr/>
        <w:t>; Rules Crim.Proc., Rule 27(a)(6).</w:t>
      </w:r>
    </w:p>
    <w:p>
      <w:pPr>
        <w:pStyle w:val="BodyText"/>
        <w:spacing w:line="360" w:lineRule="auto" w:before="2"/>
        <w:ind w:left="180" w:right="214"/>
      </w:pPr>
      <w:r>
        <w:rPr>
          <w:i/>
        </w:rPr>
        <w:t>State v. Wisniewski</w:t>
      </w:r>
      <w:r>
        <w:rPr/>
        <w:t>, 103 N.M. 430, 708 P.2d 1031 (1985). Furthermore, the </w:t>
      </w:r>
      <w:r>
        <w:rPr>
          <w:i/>
        </w:rPr>
        <w:t>Brady </w:t>
      </w:r>
      <w:r>
        <w:rPr/>
        <w:t>requirement of disclosing evidence favorable to defendant applies to all members of prosecutorial team, including police authorities or other agents of the state. Id., NMRA 1986, Rule 5-501A(4), and </w:t>
      </w:r>
      <w:r>
        <w:rPr>
          <w:i/>
        </w:rPr>
        <w:t>State v. Hernandez</w:t>
      </w:r>
      <w:r>
        <w:rPr/>
        <w:t>, 115 N.M. 6, 846 P.2d 312 (1993).</w:t>
      </w:r>
    </w:p>
    <w:p>
      <w:pPr>
        <w:pStyle w:val="BodyText"/>
        <w:spacing w:line="360" w:lineRule="auto"/>
        <w:ind w:left="180" w:right="135" w:firstLine="719"/>
      </w:pPr>
      <w:r>
        <w:rPr/>
        <w:t>The district attorney should not hesitate to show his entire file to the defendant since his primary duty is not to convict the defendant, but to see that the defendant has a fair trial and that justice is done. Rules of Criminal Procedure, rule 27(b). </w:t>
      </w:r>
      <w:r>
        <w:rPr>
          <w:i/>
        </w:rPr>
        <w:t>State v. Manus</w:t>
      </w:r>
      <w:r>
        <w:rPr/>
        <w:t>, 93 N.M. 95, 597 P.2d 280 (1979).</w:t>
      </w:r>
    </w:p>
    <w:p>
      <w:pPr>
        <w:pStyle w:val="BodyText"/>
        <w:spacing w:line="360" w:lineRule="auto" w:before="1"/>
        <w:ind w:left="180" w:right="214" w:firstLine="719"/>
      </w:pPr>
      <w:r>
        <w:rPr/>
        <w:t>Deliberate suppression by prosecutor of evidence favorable to and requested by accused violates due process when evidence is material either to guilt or punishment. </w:t>
      </w:r>
      <w:hyperlink r:id="rId5">
        <w:r>
          <w:rPr>
            <w:i/>
          </w:rPr>
          <w:t>State v. Stephens</w:t>
        </w:r>
        <w:r>
          <w:rPr/>
          <w:t>,</w:t>
        </w:r>
      </w:hyperlink>
      <w:r>
        <w:rPr/>
        <w:t> </w:t>
      </w:r>
      <w:hyperlink r:id="rId5">
        <w:r>
          <w:rPr/>
          <w:t>99 N.M. 32, 653 P.2d 863 (1982);</w:t>
        </w:r>
      </w:hyperlink>
      <w:r>
        <w:rPr/>
        <w:t> </w:t>
      </w:r>
      <w:hyperlink r:id="rId6">
        <w:r>
          <w:rPr>
            <w:i/>
          </w:rPr>
          <w:t>State v. Morris</w:t>
        </w:r>
        <w:r>
          <w:rPr/>
          <w:t>, 69 N.M. 244, 365 P.2d 668</w:t>
        </w:r>
      </w:hyperlink>
      <w:r>
        <w:rPr/>
        <w:t> (1961).</w:t>
      </w:r>
    </w:p>
    <w:p>
      <w:pPr>
        <w:pStyle w:val="BodyText"/>
        <w:spacing w:line="360" w:lineRule="auto"/>
        <w:ind w:left="180" w:firstLine="719"/>
      </w:pPr>
      <w:r>
        <w:rPr/>
        <w:t>Suppression of evidence or use of false evidence knowingly by prosecuting officer in criminal case constitutes denial of due process if the evidence is material to guilt or innocence of accused or to penalty to be imposed. </w:t>
      </w:r>
      <w:hyperlink r:id="rId7">
        <w:r>
          <w:rPr>
            <w:i/>
          </w:rPr>
          <w:t>Trimble v. State</w:t>
        </w:r>
        <w:r>
          <w:rPr/>
          <w:t>, 75 N.M. 183, 402 P.2d 162</w:t>
        </w:r>
      </w:hyperlink>
      <w:r>
        <w:rPr/>
        <w:t> (1965).</w:t>
      </w:r>
    </w:p>
    <w:p>
      <w:pPr>
        <w:pStyle w:val="BodyText"/>
        <w:spacing w:before="1"/>
        <w:ind w:left="900" w:hanging="720"/>
        <w:rPr>
          <w:i/>
        </w:rPr>
      </w:pPr>
      <w:r>
        <w:rPr/>
        <w:t>Additionally, it is immaterial if the suppression of evidence was negligent rather than willful. </w:t>
      </w:r>
      <w:r>
        <w:rPr>
          <w:i/>
        </w:rPr>
        <w:t>Id.</w:t>
      </w:r>
    </w:p>
    <w:p>
      <w:pPr>
        <w:pStyle w:val="BodyText"/>
        <w:spacing w:line="345" w:lineRule="auto" w:before="121"/>
        <w:ind w:left="180" w:right="144" w:firstLine="719"/>
        <w:rPr>
          <w:sz w:val="16"/>
        </w:rPr>
      </w:pPr>
      <w:r>
        <w:rPr/>
        <w:t>The requested information includes all information material to guilt, punishment,</w:t>
      </w:r>
      <w:r>
        <w:rPr>
          <w:position w:val="9"/>
          <w:sz w:val="16"/>
        </w:rPr>
        <w:t>1 </w:t>
      </w:r>
      <w:r>
        <w:rPr/>
        <w:t>and the credibility of government witnesses,</w:t>
      </w:r>
      <w:r>
        <w:rPr>
          <w:position w:val="9"/>
          <w:sz w:val="16"/>
        </w:rPr>
        <w:t>2 </w:t>
      </w:r>
      <w:r>
        <w:rPr/>
        <w:t>including potential impeachment material for all government witnesses.</w:t>
      </w:r>
      <w:r>
        <w:rPr>
          <w:position w:val="9"/>
          <w:sz w:val="16"/>
        </w:rPr>
        <w:t>3 </w:t>
      </w:r>
      <w:r>
        <w:rPr/>
        <w:t>Failure to disclose impeachment information is the same, under </w:t>
      </w:r>
      <w:r>
        <w:rPr>
          <w:i/>
        </w:rPr>
        <w:t>Brady</w:t>
      </w:r>
      <w:r>
        <w:rPr/>
        <w:t>, as the failure to disclose exculpatory</w:t>
      </w:r>
      <w:r>
        <w:rPr>
          <w:spacing w:val="-7"/>
        </w:rPr>
        <w:t> </w:t>
      </w:r>
      <w:r>
        <w:rPr/>
        <w:t>information.</w:t>
      </w:r>
      <w:r>
        <w:rPr>
          <w:position w:val="9"/>
          <w:sz w:val="16"/>
        </w:rPr>
        <w:t>4</w:t>
      </w:r>
    </w:p>
    <w:p>
      <w:pPr>
        <w:pStyle w:val="BodyText"/>
        <w:spacing w:before="4"/>
        <w:rPr>
          <w:sz w:val="25"/>
        </w:rPr>
      </w:pPr>
      <w:r>
        <w:rPr/>
        <w:pict>
          <v:line style="position:absolute;mso-position-horizontal-relative:page;mso-position-vertical-relative:paragraph;z-index:-1024;mso-wrap-distance-left:0;mso-wrap-distance-right:0" from="72.024002pt,16.869932pt" to="216.044002pt,16.869932pt" stroked="true" strokeweight=".599980pt" strokecolor="#000000">
            <v:stroke dashstyle="solid"/>
            <w10:wrap type="topAndBottom"/>
          </v:line>
        </w:pict>
      </w:r>
    </w:p>
    <w:p>
      <w:pPr>
        <w:pStyle w:val="ListParagraph"/>
        <w:numPr>
          <w:ilvl w:val="0"/>
          <w:numId w:val="2"/>
        </w:numPr>
        <w:tabs>
          <w:tab w:pos="407" w:val="left" w:leader="none"/>
        </w:tabs>
        <w:spacing w:line="279" w:lineRule="exact" w:before="63" w:after="0"/>
        <w:ind w:left="406" w:right="0" w:hanging="226"/>
        <w:jc w:val="left"/>
        <w:rPr>
          <w:sz w:val="20"/>
        </w:rPr>
      </w:pPr>
      <w:r>
        <w:rPr>
          <w:i/>
          <w:sz w:val="20"/>
        </w:rPr>
        <w:t>See Brady v. Maryland</w:t>
      </w:r>
      <w:r>
        <w:rPr>
          <w:sz w:val="20"/>
        </w:rPr>
        <w:t>, 373 U.S. 83,</w:t>
      </w:r>
      <w:r>
        <w:rPr>
          <w:spacing w:val="-1"/>
          <w:sz w:val="20"/>
        </w:rPr>
        <w:t> </w:t>
      </w:r>
      <w:r>
        <w:rPr>
          <w:sz w:val="20"/>
        </w:rPr>
        <w:t>87(1963).</w:t>
      </w:r>
    </w:p>
    <w:p>
      <w:pPr>
        <w:pStyle w:val="ListParagraph"/>
        <w:numPr>
          <w:ilvl w:val="0"/>
          <w:numId w:val="2"/>
        </w:numPr>
        <w:tabs>
          <w:tab w:pos="383" w:val="left" w:leader="none"/>
        </w:tabs>
        <w:spacing w:line="279" w:lineRule="exact" w:before="0" w:after="0"/>
        <w:ind w:left="382" w:right="0" w:hanging="202"/>
        <w:jc w:val="left"/>
        <w:rPr>
          <w:sz w:val="20"/>
        </w:rPr>
      </w:pPr>
      <w:r>
        <w:rPr>
          <w:i/>
          <w:sz w:val="20"/>
        </w:rPr>
        <w:t>See Giglio v. United States</w:t>
      </w:r>
      <w:r>
        <w:rPr>
          <w:sz w:val="20"/>
        </w:rPr>
        <w:t>, 405 U.S. 150, 154 (1972) (“When the reliability of a given witness may well</w:t>
      </w:r>
      <w:r>
        <w:rPr>
          <w:spacing w:val="-25"/>
          <w:sz w:val="20"/>
        </w:rPr>
        <w:t> </w:t>
      </w:r>
      <w:r>
        <w:rPr>
          <w:sz w:val="20"/>
        </w:rPr>
        <w:t>be</w:t>
      </w:r>
    </w:p>
    <w:p>
      <w:pPr>
        <w:spacing w:before="10"/>
        <w:ind w:left="180" w:right="0" w:firstLine="0"/>
        <w:jc w:val="left"/>
        <w:rPr>
          <w:sz w:val="20"/>
        </w:rPr>
      </w:pPr>
      <w:r>
        <w:rPr>
          <w:sz w:val="20"/>
        </w:rPr>
        <w:t>determinative of guilt or innocence, nondisclosure of evidence affecting credibility falls within this rule.”) (citations and internal quotation marks omitted).</w:t>
      </w:r>
    </w:p>
    <w:p>
      <w:pPr>
        <w:spacing w:line="240" w:lineRule="auto" w:before="0"/>
        <w:ind w:left="180" w:right="462" w:firstLine="0"/>
        <w:jc w:val="left"/>
        <w:rPr>
          <w:sz w:val="20"/>
        </w:rPr>
      </w:pPr>
      <w:r>
        <w:rPr>
          <w:position w:val="7"/>
          <w:sz w:val="13"/>
        </w:rPr>
        <w:t>3 </w:t>
      </w:r>
      <w:r>
        <w:rPr>
          <w:i/>
          <w:sz w:val="20"/>
        </w:rPr>
        <w:t>See United States v. Bagley</w:t>
      </w:r>
      <w:r>
        <w:rPr>
          <w:sz w:val="20"/>
        </w:rPr>
        <w:t>, 473 U.S. 667, 676 (1985) (“Impeachment evidence … as well as exculpatory evidence falls within the </w:t>
      </w:r>
      <w:r>
        <w:rPr>
          <w:i/>
          <w:sz w:val="20"/>
        </w:rPr>
        <w:t>Brady </w:t>
      </w:r>
      <w:r>
        <w:rPr>
          <w:sz w:val="20"/>
        </w:rPr>
        <w:t>rule.”).</w:t>
      </w:r>
    </w:p>
    <w:p>
      <w:pPr>
        <w:spacing w:line="231" w:lineRule="exact" w:before="0"/>
        <w:ind w:left="180" w:right="0" w:firstLine="0"/>
        <w:jc w:val="left"/>
        <w:rPr>
          <w:sz w:val="20"/>
        </w:rPr>
      </w:pPr>
      <w:r>
        <w:rPr>
          <w:position w:val="7"/>
          <w:sz w:val="13"/>
        </w:rPr>
        <w:t>4 </w:t>
      </w:r>
      <w:r>
        <w:rPr>
          <w:i/>
          <w:sz w:val="20"/>
        </w:rPr>
        <w:t>See Bagley</w:t>
      </w:r>
      <w:r>
        <w:rPr>
          <w:sz w:val="20"/>
        </w:rPr>
        <w:t>, 473 U.S. at 676; </w:t>
      </w:r>
      <w:r>
        <w:rPr>
          <w:i/>
          <w:sz w:val="20"/>
        </w:rPr>
        <w:t>Sykes v. United States</w:t>
      </w:r>
      <w:r>
        <w:rPr>
          <w:sz w:val="20"/>
        </w:rPr>
        <w:t>, --A.2d.-- 2006 WL 564050, at *8 (D.C. March 9, 2006)</w:t>
      </w:r>
    </w:p>
    <w:p>
      <w:pPr>
        <w:spacing w:after="0" w:line="231" w:lineRule="exact"/>
        <w:jc w:val="left"/>
        <w:rPr>
          <w:sz w:val="20"/>
        </w:rPr>
        <w:sectPr>
          <w:pgSz w:w="12240" w:h="15840"/>
          <w:pgMar w:top="1500" w:bottom="280" w:left="1260" w:right="1320"/>
        </w:sectPr>
      </w:pPr>
    </w:p>
    <w:p>
      <w:pPr>
        <w:pStyle w:val="BodyText"/>
        <w:spacing w:line="360" w:lineRule="auto" w:before="74"/>
        <w:ind w:left="180" w:right="462" w:firstLine="719"/>
      </w:pPr>
      <w:r>
        <w:rPr/>
        <w:t>NMRA Rule 5-501 rule was derived from Rule 16(a) of the </w:t>
      </w:r>
      <w:hyperlink r:id="rId8">
        <w:r>
          <w:rPr/>
          <w:t>Federal Rules of Criminal</w:t>
        </w:r>
      </w:hyperlink>
      <w:r>
        <w:rPr/>
        <w:t> </w:t>
      </w:r>
      <w:hyperlink r:id="rId8">
        <w:r>
          <w:rPr/>
          <w:t>Procedure. See generally, 62 F.R.D. 271, 304-313 (1974)</w:t>
        </w:r>
      </w:hyperlink>
      <w:r>
        <w:rPr/>
        <w:t>; 48 F.R.D. 553, 587-606 (1970).</w:t>
      </w:r>
    </w:p>
    <w:p>
      <w:pPr>
        <w:pStyle w:val="BodyText"/>
        <w:spacing w:line="360" w:lineRule="auto" w:before="1"/>
        <w:ind w:left="180" w:right="263"/>
      </w:pPr>
      <w:r>
        <w:rPr/>
        <w:t>Subparagraph (6) of Paragraph A of the New Mexico rule was added in 1979 to make it clear that the state has a duty to provide the defense with exculpatory material evidence. </w:t>
      </w:r>
      <w:r>
        <w:rPr>
          <w:i/>
        </w:rPr>
        <w:t>See Brady v. </w:t>
      </w:r>
      <w:r>
        <w:rPr>
          <w:i/>
        </w:rPr>
        <w:t>Maryland</w:t>
      </w:r>
      <w:r>
        <w:rPr/>
        <w:t>, 373 U.S. 83, 83 S.Ct. 1194, 10 L.Ed.2d 215 (1963) and </w:t>
      </w:r>
      <w:r>
        <w:rPr>
          <w:i/>
        </w:rPr>
        <w:t>Giles v. Maryland</w:t>
      </w:r>
      <w:r>
        <w:rPr/>
        <w:t>, 386 U.S.</w:t>
      </w:r>
    </w:p>
    <w:p>
      <w:pPr>
        <w:pStyle w:val="BodyText"/>
        <w:spacing w:line="275" w:lineRule="exact"/>
        <w:ind w:left="180"/>
      </w:pPr>
      <w:r>
        <w:rPr/>
        <w:t>66, 87 S.Ct. 793, 17 L.Ed.2d 737 (1967). </w:t>
      </w:r>
      <w:r>
        <w:rPr>
          <w:i/>
        </w:rPr>
        <w:t>See </w:t>
      </w:r>
      <w:r>
        <w:rPr/>
        <w:t>NMRA Rule 5-501 Commentary.</w:t>
      </w:r>
    </w:p>
    <w:p>
      <w:pPr>
        <w:pStyle w:val="BodyText"/>
        <w:spacing w:line="360" w:lineRule="auto" w:before="139"/>
        <w:ind w:left="180" w:right="284" w:firstLine="719"/>
      </w:pPr>
      <w:r>
        <w:rPr/>
        <w:t>Deliberate suppression by prosecutor of evidence favorable to and requested by accused violates due process when evidence is material either to guilt or punishment. </w:t>
      </w:r>
      <w:hyperlink r:id="rId9">
        <w:r>
          <w:rPr>
            <w:i/>
          </w:rPr>
          <w:t>State v. Stephens</w:t>
        </w:r>
        <w:r>
          <w:rPr/>
          <w:t>,</w:t>
        </w:r>
      </w:hyperlink>
      <w:r>
        <w:rPr/>
        <w:t> </w:t>
      </w:r>
      <w:hyperlink r:id="rId9">
        <w:r>
          <w:rPr/>
          <w:t>99 N.M. 32, 653 P.2d 863 (1982);</w:t>
        </w:r>
      </w:hyperlink>
      <w:r>
        <w:rPr/>
        <w:t> </w:t>
      </w:r>
      <w:hyperlink r:id="rId10">
        <w:r>
          <w:rPr>
            <w:i/>
          </w:rPr>
          <w:t>State v. Morris</w:t>
        </w:r>
        <w:r>
          <w:rPr/>
          <w:t>, 1961, 69 N.M. 244, 365 P.2d 668</w:t>
        </w:r>
      </w:hyperlink>
      <w:r>
        <w:rPr/>
        <w:t>.</w:t>
      </w:r>
      <w:r>
        <w:rPr>
          <w:spacing w:val="56"/>
        </w:rPr>
        <w:t> </w:t>
      </w:r>
      <w:r>
        <w:rPr/>
        <w:t>That</w:t>
      </w:r>
    </w:p>
    <w:p>
      <w:pPr>
        <w:pStyle w:val="BodyText"/>
        <w:spacing w:line="360" w:lineRule="auto"/>
        <w:ind w:left="180" w:right="135"/>
      </w:pPr>
      <w:r>
        <w:rPr/>
        <w:t>suppression of evidence was negligent rather than willful was immaterial to question whether the suppression amounted to denial of due process to defendant. </w:t>
      </w:r>
      <w:hyperlink r:id="rId11">
        <w:r>
          <w:rPr>
            <w:i/>
          </w:rPr>
          <w:t>Trimble v. State</w:t>
        </w:r>
        <w:r>
          <w:rPr/>
          <w:t>, 75 N.M. 183, 402</w:t>
        </w:r>
      </w:hyperlink>
      <w:r>
        <w:rPr/>
        <w:t> </w:t>
      </w:r>
      <w:hyperlink r:id="rId11">
        <w:r>
          <w:rPr/>
          <w:t>P.2d 162 </w:t>
        </w:r>
      </w:hyperlink>
      <w:r>
        <w:rPr/>
        <w:t>(1975). Furthermore, “[I]f the prosecution has a prior inconsistent statement of a material witness, it should disclose that statement to defendant”. </w:t>
      </w:r>
      <w:r>
        <w:rPr>
          <w:i/>
        </w:rPr>
        <w:t>State v. Altgilbers</w:t>
      </w:r>
      <w:r>
        <w:rPr/>
        <w:t>, 109 N.M.</w:t>
      </w:r>
    </w:p>
    <w:p>
      <w:pPr>
        <w:pStyle w:val="BodyText"/>
        <w:spacing w:line="362" w:lineRule="auto"/>
        <w:ind w:left="180"/>
      </w:pPr>
      <w:r>
        <w:rPr/>
        <w:t>453, 463, 786 P.2d 680, 690 (N.M.App.,1990). Indeed, the New Mexico appellate court has stressed:</w:t>
      </w:r>
    </w:p>
    <w:p>
      <w:pPr>
        <w:pStyle w:val="BodyText"/>
        <w:ind w:left="1620" w:right="1462"/>
      </w:pPr>
      <w:r>
        <w:rPr/>
        <w:t>[T]he best way to avoid reversal for failure to disclose evidence to defendant before trial is for the state to review methodically and diligently the information available to it and to disclose all exculpatory information to defendant, giving defendant the benefit of the doubt on arguable matters. </w:t>
      </w:r>
      <w:r>
        <w:rPr>
          <w:i/>
        </w:rPr>
        <w:t>See State v. Sandoval, </w:t>
      </w:r>
      <w:r>
        <w:rPr/>
        <w:t>99 N.M. 173, 655 P.2d 1017 (1982).</w:t>
      </w:r>
    </w:p>
    <w:p>
      <w:pPr>
        <w:pStyle w:val="BodyText"/>
        <w:spacing w:before="3"/>
        <w:rPr>
          <w:sz w:val="23"/>
        </w:rPr>
      </w:pPr>
    </w:p>
    <w:p>
      <w:pPr>
        <w:spacing w:before="1"/>
        <w:ind w:left="180" w:right="0" w:firstLine="0"/>
        <w:jc w:val="left"/>
        <w:rPr>
          <w:sz w:val="24"/>
        </w:rPr>
      </w:pPr>
      <w:r>
        <w:rPr>
          <w:i/>
          <w:sz w:val="24"/>
        </w:rPr>
        <w:t>State v. Altgilbers</w:t>
      </w:r>
      <w:r>
        <w:rPr>
          <w:sz w:val="24"/>
        </w:rPr>
        <w:t>, 109 N.M. 453, 464, 786 P.2d 680, 691 (N.M.App.,1990).</w:t>
      </w:r>
    </w:p>
    <w:p>
      <w:pPr>
        <w:pStyle w:val="BodyText"/>
        <w:spacing w:before="4"/>
        <w:rPr>
          <w:sz w:val="36"/>
        </w:rPr>
      </w:pPr>
    </w:p>
    <w:p>
      <w:pPr>
        <w:pStyle w:val="BodyText"/>
        <w:spacing w:line="357" w:lineRule="auto"/>
        <w:ind w:left="180" w:right="169" w:firstLine="719"/>
        <w:rPr>
          <w:sz w:val="16"/>
        </w:rPr>
      </w:pPr>
      <w:r>
        <w:rPr/>
        <w:t>The requested information includes all information that the state or any part of the prosecution team “know or reasonably should know tends to negate the guilt of the accused or to mitigate the offense.” Under </w:t>
      </w:r>
      <w:r>
        <w:rPr>
          <w:i/>
        </w:rPr>
        <w:t>Brady </w:t>
      </w:r>
      <w:r>
        <w:rPr/>
        <w:t>and its progeny, this request extends to all information known by all law enforcement or other government agencies involved in this case, whether or not personally known to the individual prosecutor.</w:t>
      </w:r>
      <w:r>
        <w:rPr>
          <w:position w:val="9"/>
          <w:sz w:val="16"/>
        </w:rPr>
        <w:t>5</w:t>
      </w:r>
    </w:p>
    <w:p>
      <w:pPr>
        <w:pStyle w:val="BodyText"/>
        <w:spacing w:before="7"/>
        <w:rPr>
          <w:sz w:val="28"/>
        </w:rPr>
      </w:pPr>
      <w:r>
        <w:rPr/>
        <w:pict>
          <v:line style="position:absolute;mso-position-horizontal-relative:page;mso-position-vertical-relative:paragraph;z-index:-1000;mso-wrap-distance-left:0;mso-wrap-distance-right:0" from="72.024002pt,18.703722pt" to="540.094002pt,18.703722pt" stroked="true" strokeweight=".60004pt" strokecolor="#000000">
            <v:stroke dashstyle="solid"/>
            <w10:wrap type="topAndBottom"/>
          </v:line>
        </w:pict>
      </w:r>
    </w:p>
    <w:p>
      <w:pPr>
        <w:spacing w:before="82"/>
        <w:ind w:left="180" w:right="0" w:firstLine="0"/>
        <w:jc w:val="left"/>
        <w:rPr>
          <w:sz w:val="20"/>
        </w:rPr>
      </w:pPr>
      <w:r>
        <w:rPr>
          <w:sz w:val="20"/>
        </w:rPr>
        <w:t>(“[T]he grand jury testimony of Mr. Parrott and Mr. Sellers should have been disclosed to the defense at an earlier point in time, whether it was considered to be potentially exculpatory information or favorable impeaching</w:t>
      </w:r>
    </w:p>
    <w:p>
      <w:pPr>
        <w:spacing w:line="220" w:lineRule="exact" w:before="0"/>
        <w:ind w:left="180" w:right="0" w:firstLine="0"/>
        <w:jc w:val="left"/>
        <w:rPr>
          <w:sz w:val="20"/>
        </w:rPr>
      </w:pPr>
      <w:r>
        <w:rPr>
          <w:sz w:val="20"/>
        </w:rPr>
        <w:t>evidence.”).</w:t>
      </w:r>
    </w:p>
    <w:p>
      <w:pPr>
        <w:spacing w:line="244" w:lineRule="auto" w:before="0"/>
        <w:ind w:left="180" w:right="0" w:firstLine="0"/>
        <w:jc w:val="left"/>
        <w:rPr>
          <w:sz w:val="20"/>
        </w:rPr>
      </w:pPr>
      <w:r>
        <w:rPr>
          <w:position w:val="9"/>
          <w:sz w:val="16"/>
        </w:rPr>
        <w:t>5 </w:t>
      </w:r>
      <w:r>
        <w:rPr>
          <w:i/>
          <w:sz w:val="20"/>
        </w:rPr>
        <w:t>See Kyles v. Whitley</w:t>
      </w:r>
      <w:r>
        <w:rPr>
          <w:sz w:val="20"/>
        </w:rPr>
        <w:t>, 514 U.S. 419, 437-38 (1995) (The duty of disclosure is not limited to evidence in the actual possession of the prosecutor. Rather, it extends to evidence in the possession of the entire prosecution team, which includes investigative and other government agencies.); </w:t>
      </w:r>
      <w:r>
        <w:rPr>
          <w:i/>
          <w:sz w:val="20"/>
        </w:rPr>
        <w:t>see also United States v. Safavian</w:t>
      </w:r>
      <w:r>
        <w:rPr>
          <w:sz w:val="20"/>
        </w:rPr>
        <w:t>, 233 F.R.D. 205, 207 (D.D.C. 2006) (Prosecutor has a duty to search and disclose </w:t>
      </w:r>
      <w:r>
        <w:rPr>
          <w:i/>
          <w:sz w:val="20"/>
        </w:rPr>
        <w:t>Brady </w:t>
      </w:r>
      <w:r>
        <w:rPr>
          <w:sz w:val="20"/>
        </w:rPr>
        <w:t>evidence, within reason, in the possession of all</w:t>
      </w:r>
    </w:p>
    <w:p>
      <w:pPr>
        <w:spacing w:after="0" w:line="244" w:lineRule="auto"/>
        <w:jc w:val="left"/>
        <w:rPr>
          <w:sz w:val="20"/>
        </w:rPr>
        <w:sectPr>
          <w:pgSz w:w="12240" w:h="15840"/>
          <w:pgMar w:top="1360" w:bottom="280" w:left="1260" w:right="1320"/>
        </w:sectPr>
      </w:pPr>
    </w:p>
    <w:p>
      <w:pPr>
        <w:pStyle w:val="BodyText"/>
        <w:spacing w:line="360" w:lineRule="auto" w:before="74"/>
        <w:ind w:left="180" w:right="356" w:firstLine="719"/>
      </w:pPr>
      <w:r>
        <w:rPr/>
        <w:t>Information within custody or control of agent of state is presumed to be within control of prosecutor, for purposes of determining whether there is duty to disclose such information. NMRA 1986, Rule 5-501, subd. A(4). </w:t>
      </w:r>
      <w:hyperlink r:id="rId12">
        <w:r>
          <w:rPr>
            <w:i/>
          </w:rPr>
          <w:t>State v. Hernande</w:t>
        </w:r>
        <w:r>
          <w:rPr/>
          <w:t>z, 115 N.M. 6, 846 P.2d 312 (1993),</w:t>
        </w:r>
      </w:hyperlink>
    </w:p>
    <w:p>
      <w:pPr>
        <w:pStyle w:val="BodyText"/>
        <w:spacing w:line="360" w:lineRule="auto"/>
        <w:ind w:left="180" w:right="155"/>
      </w:pPr>
      <w:r>
        <w:rPr/>
        <w:t>denial of habeas corpus affirmed </w:t>
      </w:r>
      <w:hyperlink r:id="rId13">
        <w:r>
          <w:rPr/>
          <w:t>210 F.3d 389</w:t>
        </w:r>
      </w:hyperlink>
      <w:r>
        <w:rPr/>
        <w:t>. [I]t is irrelevant for </w:t>
      </w:r>
      <w:r>
        <w:rPr>
          <w:i/>
        </w:rPr>
        <w:t>Brady </w:t>
      </w:r>
      <w:r>
        <w:rPr/>
        <w:t>purposes whether evidence was suppressed intentionally or negligently. It is also irrelevant whether the district attorney or the police were ultimately responsible for the suppression. Law enforcement personnel involved in an investigation are considered part of the prosecution for </w:t>
      </w:r>
      <w:r>
        <w:rPr>
          <w:i/>
        </w:rPr>
        <w:t>Brady </w:t>
      </w:r>
      <w:r>
        <w:rPr/>
        <w:t>purposes. </w:t>
      </w:r>
      <w:r>
        <w:rPr>
          <w:i/>
        </w:rPr>
        <w:t>Case v. Hatch</w:t>
      </w:r>
      <w:r>
        <w:rPr/>
        <w:t>, 2008-NMSC-024, 144 N.M. 20, 183 P.3d 905.</w:t>
      </w:r>
    </w:p>
    <w:p>
      <w:pPr>
        <w:pStyle w:val="BodyText"/>
        <w:rPr>
          <w:sz w:val="36"/>
        </w:rPr>
      </w:pPr>
    </w:p>
    <w:p>
      <w:pPr>
        <w:pStyle w:val="BodyText"/>
        <w:ind w:left="900"/>
      </w:pPr>
      <w:r>
        <w:rPr/>
        <w:t>The following are examples of evidence courts have construed as </w:t>
      </w:r>
      <w:r>
        <w:rPr>
          <w:i/>
        </w:rPr>
        <w:t>Brady</w:t>
      </w:r>
      <w:r>
        <w:rPr/>
        <w:t>:</w:t>
      </w:r>
    </w:p>
    <w:p>
      <w:pPr>
        <w:pStyle w:val="BodyText"/>
        <w:rPr>
          <w:sz w:val="26"/>
        </w:rPr>
      </w:pPr>
    </w:p>
    <w:p>
      <w:pPr>
        <w:pStyle w:val="BodyText"/>
        <w:spacing w:before="5"/>
        <w:rPr>
          <w:sz w:val="22"/>
        </w:rPr>
      </w:pPr>
    </w:p>
    <w:p>
      <w:pPr>
        <w:pStyle w:val="Heading2"/>
        <w:ind w:firstLine="0"/>
        <w:rPr>
          <w:i/>
        </w:rPr>
      </w:pPr>
      <w:r>
        <w:rPr>
          <w:i/>
        </w:rPr>
        <w:t>INFORMATION REGARDING GOVERNMENT WITNESSES</w:t>
      </w:r>
    </w:p>
    <w:p>
      <w:pPr>
        <w:pStyle w:val="ListParagraph"/>
        <w:numPr>
          <w:ilvl w:val="0"/>
          <w:numId w:val="3"/>
        </w:numPr>
        <w:tabs>
          <w:tab w:pos="900" w:val="left" w:leader="none"/>
          <w:tab w:pos="901" w:val="left" w:leader="none"/>
        </w:tabs>
        <w:spacing w:line="240" w:lineRule="auto" w:before="134" w:after="0"/>
        <w:ind w:left="900" w:right="0" w:hanging="360"/>
        <w:jc w:val="left"/>
        <w:rPr>
          <w:sz w:val="24"/>
        </w:rPr>
      </w:pPr>
      <w:r>
        <w:rPr>
          <w:b/>
          <w:sz w:val="24"/>
        </w:rPr>
        <w:t>Exculpatory and/or impeachment Grand Jury Testimony. </w:t>
      </w:r>
      <w:r>
        <w:rPr>
          <w:i/>
          <w:sz w:val="24"/>
        </w:rPr>
        <w:t>See Sykes v. United</w:t>
      </w:r>
      <w:r>
        <w:rPr>
          <w:i/>
          <w:spacing w:val="-12"/>
          <w:sz w:val="24"/>
        </w:rPr>
        <w:t> </w:t>
      </w:r>
      <w:r>
        <w:rPr>
          <w:i/>
          <w:sz w:val="24"/>
        </w:rPr>
        <w:t>States</w:t>
      </w:r>
      <w:r>
        <w:rPr>
          <w:sz w:val="24"/>
        </w:rPr>
        <w:t>,</w:t>
      </w:r>
    </w:p>
    <w:p>
      <w:pPr>
        <w:pStyle w:val="BodyText"/>
        <w:spacing w:before="136"/>
        <w:ind w:left="900"/>
      </w:pPr>
      <w:r>
        <w:rPr/>
        <w:t>--A.2d.-- 2006 WL 564050 (D.C. 2006).</w:t>
      </w:r>
    </w:p>
    <w:p>
      <w:pPr>
        <w:pStyle w:val="ListParagraph"/>
        <w:numPr>
          <w:ilvl w:val="0"/>
          <w:numId w:val="3"/>
        </w:numPr>
        <w:tabs>
          <w:tab w:pos="900" w:val="left" w:leader="none"/>
          <w:tab w:pos="901" w:val="left" w:leader="none"/>
        </w:tabs>
        <w:spacing w:line="357" w:lineRule="auto" w:before="139" w:after="0"/>
        <w:ind w:left="900" w:right="121" w:hanging="360"/>
        <w:jc w:val="left"/>
        <w:rPr>
          <w:sz w:val="24"/>
        </w:rPr>
      </w:pPr>
      <w:r>
        <w:rPr>
          <w:b/>
          <w:sz w:val="24"/>
        </w:rPr>
        <w:t>Personnel files, especially of testifying officers: </w:t>
      </w:r>
      <w:r>
        <w:rPr>
          <w:sz w:val="24"/>
        </w:rPr>
        <w:t>See, e.g., </w:t>
      </w:r>
      <w:r>
        <w:rPr>
          <w:i/>
          <w:sz w:val="24"/>
        </w:rPr>
        <w:t>United States v. Brooks</w:t>
      </w:r>
      <w:r>
        <w:rPr>
          <w:sz w:val="24"/>
        </w:rPr>
        <w:t>, 966 F.2d 1500, 1503-04 (D.C. Cir. 1992) (if specific request is made, prosecutor must search personnel records of police officer/witnesses to fulfill </w:t>
      </w:r>
      <w:r>
        <w:rPr>
          <w:i/>
          <w:sz w:val="24"/>
        </w:rPr>
        <w:t>Brady </w:t>
      </w:r>
      <w:r>
        <w:rPr>
          <w:sz w:val="24"/>
        </w:rPr>
        <w:t>obligations); </w:t>
      </w:r>
      <w:r>
        <w:rPr>
          <w:i/>
          <w:sz w:val="24"/>
        </w:rPr>
        <w:t>United States</w:t>
      </w:r>
      <w:r>
        <w:rPr>
          <w:i/>
          <w:spacing w:val="-12"/>
          <w:sz w:val="24"/>
        </w:rPr>
        <w:t> </w:t>
      </w:r>
      <w:r>
        <w:rPr>
          <w:i/>
          <w:sz w:val="24"/>
        </w:rPr>
        <w:t>v. </w:t>
      </w:r>
      <w:r>
        <w:rPr>
          <w:i/>
          <w:sz w:val="24"/>
        </w:rPr>
        <w:t>Muse</w:t>
      </w:r>
      <w:r>
        <w:rPr>
          <w:sz w:val="24"/>
        </w:rPr>
        <w:t>, 708 F.2d 513, 516 (10th Cir. 1983) (recognizing that prosecutor must produce </w:t>
      </w:r>
      <w:r>
        <w:rPr>
          <w:i/>
          <w:sz w:val="24"/>
        </w:rPr>
        <w:t>Brady </w:t>
      </w:r>
      <w:r>
        <w:rPr>
          <w:sz w:val="24"/>
        </w:rPr>
        <w:t>material in personnel files of government agents even if they are in possession of another</w:t>
      </w:r>
      <w:r>
        <w:rPr>
          <w:spacing w:val="-3"/>
          <w:sz w:val="24"/>
        </w:rPr>
        <w:t> </w:t>
      </w:r>
      <w:r>
        <w:rPr>
          <w:sz w:val="24"/>
        </w:rPr>
        <w:t>agency.).</w:t>
      </w:r>
    </w:p>
    <w:p>
      <w:pPr>
        <w:pStyle w:val="ListParagraph"/>
        <w:numPr>
          <w:ilvl w:val="0"/>
          <w:numId w:val="3"/>
        </w:numPr>
        <w:tabs>
          <w:tab w:pos="900" w:val="left" w:leader="none"/>
          <w:tab w:pos="901" w:val="left" w:leader="none"/>
        </w:tabs>
        <w:spacing w:line="352" w:lineRule="auto" w:before="7" w:after="0"/>
        <w:ind w:left="900" w:right="242" w:hanging="360"/>
        <w:jc w:val="left"/>
        <w:rPr>
          <w:sz w:val="24"/>
        </w:rPr>
      </w:pPr>
      <w:r>
        <w:rPr>
          <w:b/>
          <w:sz w:val="24"/>
        </w:rPr>
        <w:t>Misconduct by government witnesses</w:t>
      </w:r>
      <w:r>
        <w:rPr>
          <w:sz w:val="24"/>
        </w:rPr>
        <w:t>: </w:t>
      </w:r>
      <w:r>
        <w:rPr>
          <w:i/>
          <w:sz w:val="24"/>
        </w:rPr>
        <w:t>See, e.g., United States v. Boyd</w:t>
      </w:r>
      <w:r>
        <w:rPr>
          <w:sz w:val="24"/>
        </w:rPr>
        <w:t>, 55 F.3d 239, 243-45 (7</w:t>
      </w:r>
      <w:r>
        <w:rPr>
          <w:position w:val="9"/>
          <w:sz w:val="16"/>
        </w:rPr>
        <w:t>th </w:t>
      </w:r>
      <w:r>
        <w:rPr>
          <w:sz w:val="24"/>
        </w:rPr>
        <w:t>Cir. 1995) (failure to disclose drug use and dealing by prosecution witness, and “continuous stream of unlawful favors” including phone privileges, presents,</w:t>
      </w:r>
      <w:r>
        <w:rPr>
          <w:spacing w:val="-15"/>
          <w:sz w:val="24"/>
        </w:rPr>
        <w:t> </w:t>
      </w:r>
      <w:r>
        <w:rPr>
          <w:sz w:val="24"/>
        </w:rPr>
        <w:t>special visitors, provided by prosecution to witnesses is considered </w:t>
      </w:r>
      <w:r>
        <w:rPr>
          <w:i/>
          <w:sz w:val="24"/>
        </w:rPr>
        <w:t>Brady</w:t>
      </w:r>
      <w:r>
        <w:rPr>
          <w:i/>
          <w:spacing w:val="-6"/>
          <w:sz w:val="24"/>
        </w:rPr>
        <w:t> </w:t>
      </w:r>
      <w:r>
        <w:rPr>
          <w:sz w:val="24"/>
        </w:rPr>
        <w:t>material).</w:t>
      </w:r>
    </w:p>
    <w:p>
      <w:pPr>
        <w:pStyle w:val="ListParagraph"/>
        <w:numPr>
          <w:ilvl w:val="0"/>
          <w:numId w:val="3"/>
        </w:numPr>
        <w:tabs>
          <w:tab w:pos="900" w:val="left" w:leader="none"/>
          <w:tab w:pos="901" w:val="left" w:leader="none"/>
        </w:tabs>
        <w:spacing w:line="355" w:lineRule="auto" w:before="9" w:after="0"/>
        <w:ind w:left="900" w:right="184" w:hanging="360"/>
        <w:jc w:val="left"/>
        <w:rPr>
          <w:sz w:val="24"/>
        </w:rPr>
      </w:pPr>
      <w:r>
        <w:rPr>
          <w:b/>
          <w:sz w:val="24"/>
        </w:rPr>
        <w:t>Police perjury in motions hearings</w:t>
      </w:r>
      <w:r>
        <w:rPr>
          <w:sz w:val="24"/>
        </w:rPr>
        <w:t>: </w:t>
      </w:r>
      <w:r>
        <w:rPr>
          <w:i/>
          <w:sz w:val="24"/>
        </w:rPr>
        <w:t>See, e.g., United States v. Cuffie</w:t>
      </w:r>
      <w:r>
        <w:rPr>
          <w:sz w:val="24"/>
        </w:rPr>
        <w:t>, 80 F.3d 514, 517- 19 (D.C. Cir. 1996) (failure to disclose perjury by police officer during motion to seal proceeding is considered material </w:t>
      </w:r>
      <w:r>
        <w:rPr>
          <w:i/>
          <w:sz w:val="24"/>
        </w:rPr>
        <w:t>Brady </w:t>
      </w:r>
      <w:r>
        <w:rPr>
          <w:sz w:val="24"/>
        </w:rPr>
        <w:t>evidence relevant to</w:t>
      </w:r>
      <w:r>
        <w:rPr>
          <w:spacing w:val="-2"/>
          <w:sz w:val="24"/>
        </w:rPr>
        <w:t> </w:t>
      </w:r>
      <w:r>
        <w:rPr>
          <w:sz w:val="24"/>
        </w:rPr>
        <w:t>impeachment).</w:t>
      </w:r>
    </w:p>
    <w:p>
      <w:pPr>
        <w:pStyle w:val="ListParagraph"/>
        <w:numPr>
          <w:ilvl w:val="0"/>
          <w:numId w:val="3"/>
        </w:numPr>
        <w:tabs>
          <w:tab w:pos="900" w:val="left" w:leader="none"/>
          <w:tab w:pos="901" w:val="left" w:leader="none"/>
        </w:tabs>
        <w:spacing w:line="338" w:lineRule="auto" w:before="8" w:after="0"/>
        <w:ind w:left="900" w:right="148" w:hanging="360"/>
        <w:jc w:val="left"/>
        <w:rPr>
          <w:sz w:val="24"/>
        </w:rPr>
      </w:pPr>
      <w:r>
        <w:rPr>
          <w:b/>
          <w:sz w:val="24"/>
        </w:rPr>
        <w:t>Knowledge of police intimidation of witnesses</w:t>
      </w:r>
      <w:r>
        <w:rPr>
          <w:sz w:val="24"/>
        </w:rPr>
        <w:t>: </w:t>
      </w:r>
      <w:r>
        <w:rPr>
          <w:i/>
          <w:sz w:val="24"/>
        </w:rPr>
        <w:t>See, e.g., Guerra v. Johnson</w:t>
      </w:r>
      <w:r>
        <w:rPr>
          <w:sz w:val="24"/>
        </w:rPr>
        <w:t>, 90 F.3d 1075, 1078-80 (5</w:t>
      </w:r>
      <w:r>
        <w:rPr>
          <w:position w:val="9"/>
          <w:sz w:val="16"/>
        </w:rPr>
        <w:t>th </w:t>
      </w:r>
      <w:r>
        <w:rPr>
          <w:sz w:val="24"/>
        </w:rPr>
        <w:t>Cir. 1996) (failure to disclose police intimidation of key witnesses</w:t>
      </w:r>
      <w:r>
        <w:rPr>
          <w:spacing w:val="-32"/>
          <w:sz w:val="24"/>
        </w:rPr>
        <w:t> </w:t>
      </w:r>
      <w:r>
        <w:rPr>
          <w:sz w:val="24"/>
        </w:rPr>
        <w:t>and</w:t>
      </w:r>
    </w:p>
    <w:p>
      <w:pPr>
        <w:pStyle w:val="BodyText"/>
        <w:rPr>
          <w:sz w:val="20"/>
        </w:rPr>
      </w:pPr>
    </w:p>
    <w:p>
      <w:pPr>
        <w:pStyle w:val="BodyText"/>
        <w:rPr>
          <w:sz w:val="20"/>
        </w:rPr>
      </w:pPr>
    </w:p>
    <w:p>
      <w:pPr>
        <w:pStyle w:val="BodyText"/>
        <w:spacing w:before="6"/>
        <w:rPr>
          <w:sz w:val="11"/>
        </w:rPr>
      </w:pPr>
      <w:r>
        <w:rPr/>
        <w:pict>
          <v:line style="position:absolute;mso-position-horizontal-relative:page;mso-position-vertical-relative:paragraph;z-index:-976;mso-wrap-distance-left:0;mso-wrap-distance-right:0" from="72.024002pt,8.914355pt" to="540.094002pt,8.914355pt" stroked="true" strokeweight=".60004pt" strokecolor="#000000">
            <v:stroke dashstyle="solid"/>
            <w10:wrap type="topAndBottom"/>
          </v:line>
        </w:pict>
      </w:r>
    </w:p>
    <w:p>
      <w:pPr>
        <w:spacing w:before="82"/>
        <w:ind w:left="180" w:right="0" w:firstLine="0"/>
        <w:jc w:val="left"/>
        <w:rPr>
          <w:sz w:val="20"/>
        </w:rPr>
      </w:pPr>
      <w:r>
        <w:rPr>
          <w:sz w:val="20"/>
        </w:rPr>
        <w:t>Executive Branch agencies and departments.)</w:t>
      </w:r>
    </w:p>
    <w:p>
      <w:pPr>
        <w:spacing w:after="0"/>
        <w:jc w:val="left"/>
        <w:rPr>
          <w:sz w:val="20"/>
        </w:rPr>
        <w:sectPr>
          <w:pgSz w:w="12240" w:h="15840"/>
          <w:pgMar w:top="1360" w:bottom="280" w:left="1260" w:right="1320"/>
        </w:sectPr>
      </w:pPr>
    </w:p>
    <w:p>
      <w:pPr>
        <w:pStyle w:val="BodyText"/>
        <w:spacing w:line="360" w:lineRule="auto" w:before="74"/>
        <w:ind w:left="900"/>
      </w:pPr>
      <w:r>
        <w:rPr/>
        <w:t>information regarding suspect seen carrying murder weapon minutes after shooting is considered </w:t>
      </w:r>
      <w:r>
        <w:rPr>
          <w:i/>
        </w:rPr>
        <w:t>Brady</w:t>
      </w:r>
      <w:r>
        <w:rPr/>
        <w:t>).</w:t>
      </w:r>
    </w:p>
    <w:p>
      <w:pPr>
        <w:pStyle w:val="Heading2"/>
        <w:numPr>
          <w:ilvl w:val="0"/>
          <w:numId w:val="3"/>
        </w:numPr>
        <w:tabs>
          <w:tab w:pos="900" w:val="left" w:leader="none"/>
          <w:tab w:pos="901" w:val="left" w:leader="none"/>
        </w:tabs>
        <w:spacing w:line="294" w:lineRule="exact" w:before="0" w:after="0"/>
        <w:ind w:left="900" w:right="0" w:hanging="360"/>
        <w:jc w:val="left"/>
        <w:rPr>
          <w:b w:val="0"/>
          <w:i/>
        </w:rPr>
      </w:pPr>
      <w:r>
        <w:rPr>
          <w:i/>
        </w:rPr>
        <w:t>INCONSISTENT</w:t>
      </w:r>
      <w:r>
        <w:rPr>
          <w:i/>
          <w:spacing w:val="-1"/>
        </w:rPr>
        <w:t> </w:t>
      </w:r>
      <w:r>
        <w:rPr>
          <w:i/>
        </w:rPr>
        <w:t>STATEMENT</w:t>
      </w:r>
      <w:r>
        <w:rPr>
          <w:b w:val="0"/>
          <w:i/>
        </w:rPr>
        <w:t>S</w:t>
      </w:r>
    </w:p>
    <w:p>
      <w:pPr>
        <w:pStyle w:val="ListParagraph"/>
        <w:numPr>
          <w:ilvl w:val="0"/>
          <w:numId w:val="3"/>
        </w:numPr>
        <w:tabs>
          <w:tab w:pos="900" w:val="left" w:leader="none"/>
          <w:tab w:pos="901" w:val="left" w:leader="none"/>
        </w:tabs>
        <w:spacing w:line="360" w:lineRule="auto" w:before="138" w:after="0"/>
        <w:ind w:left="900" w:right="174" w:hanging="360"/>
        <w:jc w:val="left"/>
        <w:rPr>
          <w:sz w:val="24"/>
        </w:rPr>
      </w:pPr>
      <w:r>
        <w:rPr>
          <w:b/>
          <w:sz w:val="24"/>
        </w:rPr>
        <w:t>Contradictory or inconsistent statements</w:t>
      </w:r>
      <w:r>
        <w:rPr>
          <w:sz w:val="24"/>
        </w:rPr>
        <w:t>: [I]f the prosecution has a prior inconsistent statement of a material witness, it should disclose that statement to defendant. </w:t>
      </w:r>
      <w:r>
        <w:rPr>
          <w:i/>
          <w:sz w:val="24"/>
        </w:rPr>
        <w:t>State v. </w:t>
      </w:r>
      <w:r>
        <w:rPr>
          <w:i/>
          <w:sz w:val="24"/>
        </w:rPr>
        <w:t>Altgilbers</w:t>
      </w:r>
      <w:r>
        <w:rPr>
          <w:sz w:val="24"/>
        </w:rPr>
        <w:t>, 109 N.M. 453, 463, 786 P.2d 680, 690 (N.M.App.,1990). </w:t>
      </w:r>
      <w:r>
        <w:rPr>
          <w:i/>
          <w:sz w:val="24"/>
        </w:rPr>
        <w:t>See, e.g., Brady v. </w:t>
      </w:r>
      <w:r>
        <w:rPr>
          <w:i/>
          <w:sz w:val="24"/>
        </w:rPr>
        <w:t>Maryland</w:t>
      </w:r>
      <w:r>
        <w:rPr>
          <w:sz w:val="24"/>
        </w:rPr>
        <w:t>, 373 U.S. 83, 87 (1963) (failure to turn over statement </w:t>
      </w:r>
      <w:r>
        <w:rPr>
          <w:spacing w:val="2"/>
          <w:sz w:val="24"/>
        </w:rPr>
        <w:t>by </w:t>
      </w:r>
      <w:r>
        <w:rPr>
          <w:sz w:val="24"/>
        </w:rPr>
        <w:t>co-defendant that he had planned the killing, and that co-defendant had performed actual killing is violation</w:t>
      </w:r>
      <w:r>
        <w:rPr>
          <w:spacing w:val="-10"/>
          <w:sz w:val="24"/>
        </w:rPr>
        <w:t> </w:t>
      </w:r>
      <w:r>
        <w:rPr>
          <w:sz w:val="24"/>
        </w:rPr>
        <w:t>of due process); </w:t>
      </w:r>
      <w:r>
        <w:rPr>
          <w:i/>
          <w:sz w:val="24"/>
        </w:rPr>
        <w:t>Kyles v. Whitley</w:t>
      </w:r>
      <w:r>
        <w:rPr>
          <w:sz w:val="24"/>
        </w:rPr>
        <w:t>, 514 U.S. 419 (1995) (failure to disclose inconsistent eyewitness and informant statements, and list of license numbers compiled by police that did not show Kyles’ car in supermarket parking</w:t>
      </w:r>
      <w:r>
        <w:rPr>
          <w:spacing w:val="-5"/>
          <w:sz w:val="24"/>
        </w:rPr>
        <w:t> </w:t>
      </w:r>
      <w:r>
        <w:rPr>
          <w:sz w:val="24"/>
        </w:rPr>
        <w:t>lot).</w:t>
      </w:r>
    </w:p>
    <w:p>
      <w:pPr>
        <w:pStyle w:val="ListParagraph"/>
        <w:numPr>
          <w:ilvl w:val="0"/>
          <w:numId w:val="3"/>
        </w:numPr>
        <w:tabs>
          <w:tab w:pos="900" w:val="left" w:leader="none"/>
          <w:tab w:pos="901" w:val="left" w:leader="none"/>
        </w:tabs>
        <w:spacing w:line="352" w:lineRule="auto" w:before="0" w:after="0"/>
        <w:ind w:left="900" w:right="190" w:hanging="360"/>
        <w:jc w:val="left"/>
        <w:rPr>
          <w:sz w:val="24"/>
        </w:rPr>
      </w:pPr>
      <w:r>
        <w:rPr>
          <w:b/>
          <w:sz w:val="24"/>
        </w:rPr>
        <w:t>Statements of potential witnesses not called to testify</w:t>
      </w:r>
      <w:r>
        <w:rPr>
          <w:sz w:val="24"/>
        </w:rPr>
        <w:t>: </w:t>
      </w:r>
      <w:r>
        <w:rPr>
          <w:i/>
          <w:sz w:val="24"/>
        </w:rPr>
        <w:t>See, e.g., United States v. Frost</w:t>
      </w:r>
      <w:r>
        <w:rPr>
          <w:sz w:val="24"/>
        </w:rPr>
        <w:t>, 125 F.3d 346, 383-84 (6</w:t>
      </w:r>
      <w:r>
        <w:rPr>
          <w:position w:val="9"/>
          <w:sz w:val="16"/>
        </w:rPr>
        <w:t>th </w:t>
      </w:r>
      <w:r>
        <w:rPr>
          <w:sz w:val="24"/>
        </w:rPr>
        <w:t>Cir. 1997) (</w:t>
      </w:r>
      <w:r>
        <w:rPr>
          <w:i/>
          <w:sz w:val="24"/>
        </w:rPr>
        <w:t>Brady </w:t>
      </w:r>
      <w:r>
        <w:rPr>
          <w:sz w:val="24"/>
        </w:rPr>
        <w:t>violation when government does not disclose statement of potentially exculpatory witness, but instead tells defense that that witness would provide inculpatory information if called to</w:t>
      </w:r>
      <w:r>
        <w:rPr>
          <w:spacing w:val="-7"/>
          <w:sz w:val="24"/>
        </w:rPr>
        <w:t> </w:t>
      </w:r>
      <w:r>
        <w:rPr>
          <w:sz w:val="24"/>
        </w:rPr>
        <w:t>testify).</w:t>
      </w:r>
    </w:p>
    <w:p>
      <w:pPr>
        <w:pStyle w:val="BodyText"/>
        <w:spacing w:before="10"/>
        <w:rPr>
          <w:sz w:val="35"/>
        </w:rPr>
      </w:pPr>
    </w:p>
    <w:p>
      <w:pPr>
        <w:pStyle w:val="BodyText"/>
        <w:ind w:left="900"/>
      </w:pPr>
      <w:r>
        <w:rPr/>
        <w:t>New Mexico’s discovery law is further stated in NMRA Rule 5-501(A) which provides:</w:t>
      </w:r>
    </w:p>
    <w:p>
      <w:pPr>
        <w:pStyle w:val="BodyText"/>
        <w:spacing w:before="137"/>
        <w:ind w:left="1620" w:right="682"/>
      </w:pPr>
      <w:r>
        <w:rPr>
          <w:b/>
        </w:rPr>
        <w:t>A. Information subject to disclosure</w:t>
      </w:r>
      <w:r>
        <w:rPr/>
        <w:t>. Unless a shorter period of time is ordered by the court, within ten (10) days after arraignment or the date of filing of a waiver of arraignment, subject to Paragraph E of this rule, the state shall disclose or make available to the defendant:</w:t>
      </w:r>
    </w:p>
    <w:p>
      <w:pPr>
        <w:pStyle w:val="BodyText"/>
        <w:spacing w:before="1"/>
        <w:rPr>
          <w:sz w:val="21"/>
        </w:rPr>
      </w:pPr>
    </w:p>
    <w:p>
      <w:pPr>
        <w:pStyle w:val="ListParagraph"/>
        <w:numPr>
          <w:ilvl w:val="0"/>
          <w:numId w:val="4"/>
        </w:numPr>
        <w:tabs>
          <w:tab w:pos="2139" w:val="left" w:leader="none"/>
        </w:tabs>
        <w:spacing w:line="240" w:lineRule="auto" w:before="0" w:after="0"/>
        <w:ind w:left="1620" w:right="844" w:firstLine="180"/>
        <w:jc w:val="left"/>
        <w:rPr>
          <w:sz w:val="24"/>
        </w:rPr>
      </w:pPr>
      <w:r>
        <w:rPr>
          <w:sz w:val="24"/>
        </w:rPr>
        <w:t>any statement made by the defendant, or codefendant, or copies thereof, within the possession, custody or control of the state, the</w:t>
      </w:r>
      <w:r>
        <w:rPr>
          <w:spacing w:val="-14"/>
          <w:sz w:val="24"/>
        </w:rPr>
        <w:t> </w:t>
      </w:r>
      <w:r>
        <w:rPr>
          <w:sz w:val="24"/>
        </w:rPr>
        <w:t>existence of which is known, or by the exercise of due diligence may become known, to the district</w:t>
      </w:r>
      <w:r>
        <w:rPr>
          <w:spacing w:val="-1"/>
          <w:sz w:val="24"/>
        </w:rPr>
        <w:t> </w:t>
      </w:r>
      <w:r>
        <w:rPr>
          <w:sz w:val="24"/>
        </w:rPr>
        <w:t>attorney;</w:t>
      </w:r>
    </w:p>
    <w:p>
      <w:pPr>
        <w:pStyle w:val="BodyText"/>
        <w:spacing w:before="1"/>
      </w:pPr>
    </w:p>
    <w:p>
      <w:pPr>
        <w:pStyle w:val="ListParagraph"/>
        <w:numPr>
          <w:ilvl w:val="0"/>
          <w:numId w:val="4"/>
        </w:numPr>
        <w:tabs>
          <w:tab w:pos="2139" w:val="left" w:leader="none"/>
        </w:tabs>
        <w:spacing w:line="240" w:lineRule="auto" w:before="0" w:after="0"/>
        <w:ind w:left="1620" w:right="1169" w:firstLine="180"/>
        <w:jc w:val="left"/>
        <w:rPr>
          <w:sz w:val="24"/>
        </w:rPr>
      </w:pPr>
      <w:r>
        <w:rPr>
          <w:sz w:val="24"/>
        </w:rPr>
        <w:t>the defendant's prior criminal record, if any, as is then available</w:t>
      </w:r>
      <w:r>
        <w:rPr>
          <w:spacing w:val="-12"/>
          <w:sz w:val="24"/>
        </w:rPr>
        <w:t> </w:t>
      </w:r>
      <w:r>
        <w:rPr>
          <w:sz w:val="24"/>
        </w:rPr>
        <w:t>to the</w:t>
      </w:r>
      <w:r>
        <w:rPr>
          <w:spacing w:val="-1"/>
          <w:sz w:val="24"/>
        </w:rPr>
        <w:t> </w:t>
      </w:r>
      <w:r>
        <w:rPr>
          <w:sz w:val="24"/>
        </w:rPr>
        <w:t>state;</w:t>
      </w:r>
    </w:p>
    <w:p>
      <w:pPr>
        <w:pStyle w:val="BodyText"/>
      </w:pPr>
    </w:p>
    <w:p>
      <w:pPr>
        <w:pStyle w:val="ListParagraph"/>
        <w:numPr>
          <w:ilvl w:val="0"/>
          <w:numId w:val="4"/>
        </w:numPr>
        <w:tabs>
          <w:tab w:pos="2139" w:val="left" w:leader="none"/>
        </w:tabs>
        <w:spacing w:line="240" w:lineRule="auto" w:before="0" w:after="0"/>
        <w:ind w:left="1620" w:right="998" w:firstLine="180"/>
        <w:jc w:val="left"/>
        <w:rPr>
          <w:sz w:val="24"/>
        </w:rPr>
      </w:pPr>
      <w:r>
        <w:rPr>
          <w:sz w:val="24"/>
        </w:rPr>
        <w:t>any books, papers, documents, photographs, tangible objects, buildings or places, or copies or portions thereof, which are within the possession, custody or control of the state, and which are material to the preparation of the defense or are intended for use by the state as</w:t>
      </w:r>
      <w:r>
        <w:rPr>
          <w:spacing w:val="-14"/>
          <w:sz w:val="24"/>
        </w:rPr>
        <w:t> </w:t>
      </w:r>
      <w:r>
        <w:rPr>
          <w:sz w:val="24"/>
        </w:rPr>
        <w:t>evidence at the trial, or were obtained from or belong to the</w:t>
      </w:r>
      <w:r>
        <w:rPr>
          <w:spacing w:val="-7"/>
          <w:sz w:val="24"/>
        </w:rPr>
        <w:t> </w:t>
      </w:r>
      <w:r>
        <w:rPr>
          <w:sz w:val="24"/>
        </w:rPr>
        <w:t>defendant;</w:t>
      </w:r>
    </w:p>
    <w:p>
      <w:pPr>
        <w:pStyle w:val="BodyText"/>
      </w:pPr>
    </w:p>
    <w:p>
      <w:pPr>
        <w:pStyle w:val="ListParagraph"/>
        <w:numPr>
          <w:ilvl w:val="0"/>
          <w:numId w:val="4"/>
        </w:numPr>
        <w:tabs>
          <w:tab w:pos="2139" w:val="left" w:leader="none"/>
        </w:tabs>
        <w:spacing w:line="240" w:lineRule="auto" w:before="1" w:after="0"/>
        <w:ind w:left="1620" w:right="868" w:firstLine="180"/>
        <w:jc w:val="left"/>
        <w:rPr>
          <w:sz w:val="24"/>
        </w:rPr>
      </w:pPr>
      <w:r>
        <w:rPr>
          <w:sz w:val="24"/>
        </w:rPr>
        <w:t>any results or reports of physical or mental examinations, and of scientific tests or experiments, including all polygraph examinations of</w:t>
      </w:r>
      <w:r>
        <w:rPr>
          <w:spacing w:val="-12"/>
          <w:sz w:val="24"/>
        </w:rPr>
        <w:t> </w:t>
      </w:r>
      <w:r>
        <w:rPr>
          <w:sz w:val="24"/>
        </w:rPr>
        <w:t>the</w:t>
      </w:r>
    </w:p>
    <w:p>
      <w:pPr>
        <w:spacing w:after="0" w:line="240" w:lineRule="auto"/>
        <w:jc w:val="left"/>
        <w:rPr>
          <w:sz w:val="24"/>
        </w:rPr>
        <w:sectPr>
          <w:pgSz w:w="12240" w:h="15840"/>
          <w:pgMar w:top="1360" w:bottom="280" w:left="1260" w:right="1320"/>
        </w:sectPr>
      </w:pPr>
    </w:p>
    <w:p>
      <w:pPr>
        <w:pStyle w:val="BodyText"/>
        <w:spacing w:before="72"/>
        <w:ind w:left="1620" w:right="682"/>
      </w:pPr>
      <w:r>
        <w:rPr/>
        <w:t>defendant and witnesses, made in connection with the particular case, or copies thereof, within the possession, custody or control of the state, the existence of which is known, or by the exercise of due diligence may become known to the prosecutor;</w:t>
      </w:r>
    </w:p>
    <w:p>
      <w:pPr>
        <w:pStyle w:val="BodyText"/>
      </w:pPr>
    </w:p>
    <w:p>
      <w:pPr>
        <w:pStyle w:val="ListParagraph"/>
        <w:numPr>
          <w:ilvl w:val="0"/>
          <w:numId w:val="4"/>
        </w:numPr>
        <w:tabs>
          <w:tab w:pos="2139" w:val="left" w:leader="none"/>
        </w:tabs>
        <w:spacing w:line="240" w:lineRule="auto" w:before="0" w:after="0"/>
        <w:ind w:left="1620" w:right="926" w:firstLine="180"/>
        <w:jc w:val="left"/>
        <w:rPr>
          <w:sz w:val="24"/>
        </w:rPr>
      </w:pPr>
      <w:r>
        <w:rPr>
          <w:sz w:val="24"/>
        </w:rPr>
        <w:t>a written list of the names and addresses of all witnesses which the prosecutor intends to call at the trial, together with any statement made by the witness and any record of prior convictions of any such witness which is within the knowledge of the prosecutor;</w:t>
      </w:r>
      <w:r>
        <w:rPr>
          <w:spacing w:val="-3"/>
          <w:sz w:val="24"/>
        </w:rPr>
        <w:t> </w:t>
      </w:r>
      <w:r>
        <w:rPr>
          <w:sz w:val="24"/>
        </w:rPr>
        <w:t>and</w:t>
      </w:r>
    </w:p>
    <w:p>
      <w:pPr>
        <w:pStyle w:val="BodyText"/>
        <w:spacing w:before="1"/>
      </w:pPr>
    </w:p>
    <w:p>
      <w:pPr>
        <w:pStyle w:val="ListParagraph"/>
        <w:numPr>
          <w:ilvl w:val="0"/>
          <w:numId w:val="4"/>
        </w:numPr>
        <w:tabs>
          <w:tab w:pos="2139" w:val="left" w:leader="none"/>
        </w:tabs>
        <w:spacing w:line="240" w:lineRule="auto" w:before="0" w:after="0"/>
        <w:ind w:left="1620" w:right="1127" w:firstLine="180"/>
        <w:jc w:val="left"/>
        <w:rPr>
          <w:sz w:val="24"/>
        </w:rPr>
      </w:pPr>
      <w:r>
        <w:rPr>
          <w:sz w:val="24"/>
        </w:rPr>
        <w:t>any material evidence favorable to the defendant which the state </w:t>
      </w:r>
      <w:r>
        <w:rPr>
          <w:spacing w:val="-7"/>
          <w:sz w:val="24"/>
        </w:rPr>
        <w:t>is </w:t>
      </w:r>
      <w:r>
        <w:rPr>
          <w:sz w:val="24"/>
        </w:rPr>
        <w:t>required to produce under the due process clause of the United States Constitution.</w:t>
      </w:r>
    </w:p>
    <w:p>
      <w:pPr>
        <w:pStyle w:val="BodyText"/>
        <w:rPr>
          <w:sz w:val="26"/>
        </w:rPr>
      </w:pPr>
    </w:p>
    <w:p>
      <w:pPr>
        <w:pStyle w:val="Heading1"/>
        <w:numPr>
          <w:ilvl w:val="0"/>
          <w:numId w:val="1"/>
        </w:numPr>
        <w:tabs>
          <w:tab w:pos="901" w:val="left" w:leader="none"/>
        </w:tabs>
        <w:spacing w:line="240" w:lineRule="auto" w:before="222" w:after="0"/>
        <w:ind w:left="900" w:right="0" w:hanging="360"/>
        <w:jc w:val="left"/>
      </w:pPr>
      <w:r>
        <w:rPr/>
        <w:t>Conclusion</w:t>
      </w:r>
    </w:p>
    <w:p>
      <w:pPr>
        <w:pStyle w:val="BodyText"/>
        <w:rPr>
          <w:b/>
          <w:sz w:val="26"/>
        </w:rPr>
      </w:pPr>
    </w:p>
    <w:p>
      <w:pPr>
        <w:pStyle w:val="BodyText"/>
        <w:spacing w:line="360" w:lineRule="auto" w:before="171"/>
        <w:ind w:left="180" w:right="682" w:firstLine="719"/>
      </w:pPr>
      <w:r>
        <w:rPr/>
        <w:t>The matters requested above in this motion fall squarely within the parameters of required disclosure. WHEREFORE, the Defendant requests this Court to enter an Order requiring the State to disclose those matters requested above and for such other relief as the Court may deem just and proper pursuant to Rules 5-112, 5-501, and 5-505, NMRA.</w:t>
      </w:r>
    </w:p>
    <w:p>
      <w:pPr>
        <w:pStyle w:val="BodyText"/>
        <w:rPr>
          <w:sz w:val="20"/>
        </w:rPr>
      </w:pPr>
    </w:p>
    <w:p>
      <w:pPr>
        <w:pStyle w:val="BodyText"/>
        <w:spacing w:before="9"/>
      </w:pPr>
    </w:p>
    <w:tbl>
      <w:tblPr>
        <w:tblW w:w="0" w:type="auto"/>
        <w:jc w:val="left"/>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685"/>
        <w:gridCol w:w="4171"/>
      </w:tblGrid>
      <w:tr>
        <w:trPr>
          <w:trHeight w:val="3019" w:hRule="atLeast"/>
        </w:trPr>
        <w:tc>
          <w:tcPr>
            <w:tcW w:w="4685" w:type="dxa"/>
          </w:tcPr>
          <w:p>
            <w:pPr>
              <w:pStyle w:val="TableParagraph"/>
              <w:rPr>
                <w:sz w:val="26"/>
              </w:rPr>
            </w:pPr>
          </w:p>
          <w:p>
            <w:pPr>
              <w:pStyle w:val="TableParagraph"/>
              <w:rPr>
                <w:sz w:val="26"/>
              </w:rPr>
            </w:pPr>
          </w:p>
          <w:p>
            <w:pPr>
              <w:pStyle w:val="TableParagraph"/>
              <w:rPr>
                <w:sz w:val="26"/>
              </w:rPr>
            </w:pPr>
          </w:p>
          <w:p>
            <w:pPr>
              <w:pStyle w:val="TableParagraph"/>
              <w:spacing w:before="189"/>
              <w:ind w:left="200" w:right="109"/>
              <w:rPr>
                <w:sz w:val="24"/>
              </w:rPr>
            </w:pPr>
            <w:r>
              <w:rPr>
                <w:sz w:val="24"/>
              </w:rPr>
              <w:t>This will certify that a copy of the foregoing was placed in the District Attorney's incoming basket and mailed to other counsel upon filing.</w:t>
            </w:r>
          </w:p>
          <w:p>
            <w:pPr>
              <w:pStyle w:val="TableParagraph"/>
              <w:rPr>
                <w:sz w:val="20"/>
              </w:rPr>
            </w:pPr>
          </w:p>
          <w:p>
            <w:pPr>
              <w:pStyle w:val="TableParagraph"/>
              <w:spacing w:before="3"/>
              <w:rPr>
                <w:sz w:val="27"/>
              </w:rPr>
            </w:pPr>
          </w:p>
          <w:p>
            <w:pPr>
              <w:pStyle w:val="TableParagraph"/>
              <w:spacing w:line="20" w:lineRule="exact"/>
              <w:ind w:left="195"/>
              <w:rPr>
                <w:sz w:val="2"/>
              </w:rPr>
            </w:pPr>
            <w:r>
              <w:rPr>
                <w:sz w:val="2"/>
              </w:rPr>
              <w:pict>
                <v:group style="width:156pt;height:.5pt;mso-position-horizontal-relative:char;mso-position-vertical-relative:line" coordorigin="0,0" coordsize="3120,10">
                  <v:line style="position:absolute" from="0,5" to="3120,5" stroked="true" strokeweight=".48pt" strokecolor="#000000">
                    <v:stroke dashstyle="solid"/>
                  </v:line>
                </v:group>
              </w:pict>
            </w:r>
            <w:r>
              <w:rPr>
                <w:sz w:val="2"/>
              </w:rPr>
            </w:r>
          </w:p>
          <w:p>
            <w:pPr>
              <w:pStyle w:val="TableParagraph"/>
              <w:spacing w:line="245" w:lineRule="exact"/>
              <w:ind w:left="200"/>
              <w:rPr>
                <w:sz w:val="24"/>
              </w:rPr>
            </w:pPr>
            <w:r>
              <w:rPr>
                <w:sz w:val="24"/>
              </w:rPr>
              <w:t>Counsel for Defendant</w:t>
            </w:r>
          </w:p>
        </w:tc>
        <w:tc>
          <w:tcPr>
            <w:tcW w:w="4171" w:type="dxa"/>
          </w:tcPr>
          <w:p>
            <w:pPr>
              <w:pStyle w:val="TableParagraph"/>
              <w:spacing w:line="266" w:lineRule="exact"/>
              <w:ind w:left="195"/>
              <w:rPr>
                <w:sz w:val="24"/>
              </w:rPr>
            </w:pPr>
            <w:r>
              <w:rPr>
                <w:sz w:val="24"/>
              </w:rPr>
              <w:t>NEW MEXICO PUBLIC DEFENDER</w:t>
            </w:r>
          </w:p>
          <w:p>
            <w:pPr>
              <w:pStyle w:val="TableParagraph"/>
              <w:spacing w:before="89"/>
              <w:ind w:left="195"/>
              <w:rPr>
                <w:sz w:val="24"/>
              </w:rPr>
            </w:pPr>
            <w:r>
              <w:rPr>
                <w:sz w:val="24"/>
              </w:rPr>
              <w:t>Respectfully Submitted,</w:t>
            </w:r>
          </w:p>
          <w:p>
            <w:pPr>
              <w:pStyle w:val="TableParagraph"/>
              <w:spacing w:before="5"/>
              <w:rPr>
                <w:sz w:val="31"/>
              </w:rPr>
            </w:pPr>
          </w:p>
          <w:p>
            <w:pPr>
              <w:pStyle w:val="TableParagraph"/>
              <w:tabs>
                <w:tab w:pos="3610" w:val="left" w:leader="none"/>
              </w:tabs>
              <w:spacing w:line="370" w:lineRule="atLeast"/>
              <w:ind w:left="195" w:right="558"/>
              <w:rPr>
                <w:sz w:val="24"/>
              </w:rPr>
            </w:pPr>
            <w:r>
              <w:rPr>
                <w:sz w:val="24"/>
                <w:u w:val="single"/>
              </w:rPr>
              <w:t> </w:t>
              <w:tab/>
            </w:r>
            <w:r>
              <w:rPr>
                <w:sz w:val="24"/>
              </w:rPr>
              <w:t> Attorney</w:t>
            </w:r>
            <w:r>
              <w:rPr>
                <w:spacing w:val="-3"/>
                <w:sz w:val="24"/>
              </w:rPr>
              <w:t> </w:t>
            </w:r>
            <w:r>
              <w:rPr>
                <w:w w:val="99"/>
                <w:sz w:val="24"/>
              </w:rPr>
              <w:t>X</w:t>
            </w:r>
          </w:p>
          <w:p>
            <w:pPr>
              <w:pStyle w:val="TableParagraph"/>
              <w:spacing w:before="3"/>
              <w:ind w:left="195"/>
              <w:rPr>
                <w:sz w:val="24"/>
              </w:rPr>
            </w:pPr>
            <w:r>
              <w:rPr>
                <w:sz w:val="24"/>
              </w:rPr>
              <w:t>Phone: 888-555-1212</w:t>
            </w:r>
          </w:p>
          <w:p>
            <w:pPr>
              <w:pStyle w:val="TableParagraph"/>
              <w:rPr>
                <w:sz w:val="24"/>
              </w:rPr>
            </w:pPr>
          </w:p>
          <w:p>
            <w:pPr>
              <w:pStyle w:val="TableParagraph"/>
              <w:ind w:left="195"/>
              <w:rPr>
                <w:sz w:val="24"/>
              </w:rPr>
            </w:pPr>
            <w:r>
              <w:rPr>
                <w:sz w:val="24"/>
              </w:rPr>
              <w:t>Judge: X</w:t>
            </w:r>
          </w:p>
          <w:p>
            <w:pPr>
              <w:pStyle w:val="TableParagraph"/>
              <w:tabs>
                <w:tab w:pos="1690" w:val="left" w:leader="none"/>
              </w:tabs>
              <w:ind w:left="195"/>
              <w:rPr>
                <w:sz w:val="24"/>
              </w:rPr>
            </w:pPr>
            <w:r>
              <w:rPr>
                <w:sz w:val="24"/>
              </w:rPr>
              <w:t>Time:  </w:t>
            </w:r>
            <w:r>
              <w:rPr>
                <w:sz w:val="24"/>
                <w:u w:val="single"/>
              </w:rPr>
              <w:t> </w:t>
              <w:tab/>
            </w:r>
          </w:p>
        </w:tc>
      </w:tr>
    </w:tbl>
    <w:sectPr>
      <w:pgSz w:w="12240" w:h="15840"/>
      <w:pgMar w:top="1360" w:bottom="280" w:left="126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0"/>
      <w:numFmt w:val="bullet"/>
      <w:lvlText w:val=""/>
      <w:lvlJc w:val="left"/>
      <w:pPr>
        <w:ind w:left="900" w:hanging="360"/>
      </w:pPr>
      <w:rPr>
        <w:rFonts w:hint="default" w:ascii="Symbol" w:hAnsi="Symbol" w:eastAsia="Symbol" w:cs="Symbol"/>
        <w:w w:val="100"/>
        <w:sz w:val="24"/>
        <w:szCs w:val="24"/>
        <w:lang w:val="en-us" w:eastAsia="en-us" w:bidi="en-us"/>
      </w:rPr>
    </w:lvl>
    <w:lvl w:ilvl="1">
      <w:start w:val="0"/>
      <w:numFmt w:val="bullet"/>
      <w:lvlText w:val="•"/>
      <w:lvlJc w:val="left"/>
      <w:pPr>
        <w:ind w:left="1776" w:hanging="360"/>
      </w:pPr>
      <w:rPr>
        <w:rFonts w:hint="default"/>
        <w:lang w:val="en-us" w:eastAsia="en-us" w:bidi="en-us"/>
      </w:rPr>
    </w:lvl>
    <w:lvl w:ilvl="2">
      <w:start w:val="0"/>
      <w:numFmt w:val="bullet"/>
      <w:lvlText w:val="•"/>
      <w:lvlJc w:val="left"/>
      <w:pPr>
        <w:ind w:left="2652" w:hanging="360"/>
      </w:pPr>
      <w:rPr>
        <w:rFonts w:hint="default"/>
        <w:lang w:val="en-us" w:eastAsia="en-us" w:bidi="en-us"/>
      </w:rPr>
    </w:lvl>
    <w:lvl w:ilvl="3">
      <w:start w:val="0"/>
      <w:numFmt w:val="bullet"/>
      <w:lvlText w:val="•"/>
      <w:lvlJc w:val="left"/>
      <w:pPr>
        <w:ind w:left="3528" w:hanging="360"/>
      </w:pPr>
      <w:rPr>
        <w:rFonts w:hint="default"/>
        <w:lang w:val="en-us" w:eastAsia="en-us" w:bidi="en-us"/>
      </w:rPr>
    </w:lvl>
    <w:lvl w:ilvl="4">
      <w:start w:val="0"/>
      <w:numFmt w:val="bullet"/>
      <w:lvlText w:val="•"/>
      <w:lvlJc w:val="left"/>
      <w:pPr>
        <w:ind w:left="4404" w:hanging="360"/>
      </w:pPr>
      <w:rPr>
        <w:rFonts w:hint="default"/>
        <w:lang w:val="en-us" w:eastAsia="en-us" w:bidi="en-us"/>
      </w:rPr>
    </w:lvl>
    <w:lvl w:ilvl="5">
      <w:start w:val="0"/>
      <w:numFmt w:val="bullet"/>
      <w:lvlText w:val="•"/>
      <w:lvlJc w:val="left"/>
      <w:pPr>
        <w:ind w:left="5280" w:hanging="360"/>
      </w:pPr>
      <w:rPr>
        <w:rFonts w:hint="default"/>
        <w:lang w:val="en-us" w:eastAsia="en-us" w:bidi="en-us"/>
      </w:rPr>
    </w:lvl>
    <w:lvl w:ilvl="6">
      <w:start w:val="0"/>
      <w:numFmt w:val="bullet"/>
      <w:lvlText w:val="•"/>
      <w:lvlJc w:val="left"/>
      <w:pPr>
        <w:ind w:left="6156" w:hanging="360"/>
      </w:pPr>
      <w:rPr>
        <w:rFonts w:hint="default"/>
        <w:lang w:val="en-us" w:eastAsia="en-us" w:bidi="en-us"/>
      </w:rPr>
    </w:lvl>
    <w:lvl w:ilvl="7">
      <w:start w:val="0"/>
      <w:numFmt w:val="bullet"/>
      <w:lvlText w:val="•"/>
      <w:lvlJc w:val="left"/>
      <w:pPr>
        <w:ind w:left="7032" w:hanging="360"/>
      </w:pPr>
      <w:rPr>
        <w:rFonts w:hint="default"/>
        <w:lang w:val="en-us" w:eastAsia="en-us" w:bidi="en-us"/>
      </w:rPr>
    </w:lvl>
    <w:lvl w:ilvl="8">
      <w:start w:val="0"/>
      <w:numFmt w:val="bullet"/>
      <w:lvlText w:val="•"/>
      <w:lvlJc w:val="left"/>
      <w:pPr>
        <w:ind w:left="7908" w:hanging="360"/>
      </w:pPr>
      <w:rPr>
        <w:rFonts w:hint="default"/>
        <w:lang w:val="en-us" w:eastAsia="en-us" w:bidi="en-us"/>
      </w:rPr>
    </w:lvl>
  </w:abstractNum>
  <w:abstractNum w:abstractNumId="3">
    <w:multiLevelType w:val="hybridMultilevel"/>
    <w:lvl w:ilvl="0">
      <w:start w:val="1"/>
      <w:numFmt w:val="decimal"/>
      <w:lvlText w:val="(%1)"/>
      <w:lvlJc w:val="left"/>
      <w:pPr>
        <w:ind w:left="1620" w:hanging="339"/>
        <w:jc w:val="left"/>
      </w:pPr>
      <w:rPr>
        <w:rFonts w:hint="default" w:ascii="Times New Roman" w:hAnsi="Times New Roman" w:eastAsia="Times New Roman" w:cs="Times New Roman"/>
        <w:w w:val="99"/>
        <w:sz w:val="24"/>
        <w:szCs w:val="24"/>
        <w:lang w:val="en-us" w:eastAsia="en-us" w:bidi="en-us"/>
      </w:rPr>
    </w:lvl>
    <w:lvl w:ilvl="1">
      <w:start w:val="0"/>
      <w:numFmt w:val="bullet"/>
      <w:lvlText w:val="•"/>
      <w:lvlJc w:val="left"/>
      <w:pPr>
        <w:ind w:left="2424" w:hanging="339"/>
      </w:pPr>
      <w:rPr>
        <w:rFonts w:hint="default"/>
        <w:lang w:val="en-us" w:eastAsia="en-us" w:bidi="en-us"/>
      </w:rPr>
    </w:lvl>
    <w:lvl w:ilvl="2">
      <w:start w:val="0"/>
      <w:numFmt w:val="bullet"/>
      <w:lvlText w:val="•"/>
      <w:lvlJc w:val="left"/>
      <w:pPr>
        <w:ind w:left="3228" w:hanging="339"/>
      </w:pPr>
      <w:rPr>
        <w:rFonts w:hint="default"/>
        <w:lang w:val="en-us" w:eastAsia="en-us" w:bidi="en-us"/>
      </w:rPr>
    </w:lvl>
    <w:lvl w:ilvl="3">
      <w:start w:val="0"/>
      <w:numFmt w:val="bullet"/>
      <w:lvlText w:val="•"/>
      <w:lvlJc w:val="left"/>
      <w:pPr>
        <w:ind w:left="4032" w:hanging="339"/>
      </w:pPr>
      <w:rPr>
        <w:rFonts w:hint="default"/>
        <w:lang w:val="en-us" w:eastAsia="en-us" w:bidi="en-us"/>
      </w:rPr>
    </w:lvl>
    <w:lvl w:ilvl="4">
      <w:start w:val="0"/>
      <w:numFmt w:val="bullet"/>
      <w:lvlText w:val="•"/>
      <w:lvlJc w:val="left"/>
      <w:pPr>
        <w:ind w:left="4836" w:hanging="339"/>
      </w:pPr>
      <w:rPr>
        <w:rFonts w:hint="default"/>
        <w:lang w:val="en-us" w:eastAsia="en-us" w:bidi="en-us"/>
      </w:rPr>
    </w:lvl>
    <w:lvl w:ilvl="5">
      <w:start w:val="0"/>
      <w:numFmt w:val="bullet"/>
      <w:lvlText w:val="•"/>
      <w:lvlJc w:val="left"/>
      <w:pPr>
        <w:ind w:left="5640" w:hanging="339"/>
      </w:pPr>
      <w:rPr>
        <w:rFonts w:hint="default"/>
        <w:lang w:val="en-us" w:eastAsia="en-us" w:bidi="en-us"/>
      </w:rPr>
    </w:lvl>
    <w:lvl w:ilvl="6">
      <w:start w:val="0"/>
      <w:numFmt w:val="bullet"/>
      <w:lvlText w:val="•"/>
      <w:lvlJc w:val="left"/>
      <w:pPr>
        <w:ind w:left="6444" w:hanging="339"/>
      </w:pPr>
      <w:rPr>
        <w:rFonts w:hint="default"/>
        <w:lang w:val="en-us" w:eastAsia="en-us" w:bidi="en-us"/>
      </w:rPr>
    </w:lvl>
    <w:lvl w:ilvl="7">
      <w:start w:val="0"/>
      <w:numFmt w:val="bullet"/>
      <w:lvlText w:val="•"/>
      <w:lvlJc w:val="left"/>
      <w:pPr>
        <w:ind w:left="7248" w:hanging="339"/>
      </w:pPr>
      <w:rPr>
        <w:rFonts w:hint="default"/>
        <w:lang w:val="en-us" w:eastAsia="en-us" w:bidi="en-us"/>
      </w:rPr>
    </w:lvl>
    <w:lvl w:ilvl="8">
      <w:start w:val="0"/>
      <w:numFmt w:val="bullet"/>
      <w:lvlText w:val="•"/>
      <w:lvlJc w:val="left"/>
      <w:pPr>
        <w:ind w:left="8052" w:hanging="339"/>
      </w:pPr>
      <w:rPr>
        <w:rFonts w:hint="default"/>
        <w:lang w:val="en-us" w:eastAsia="en-us" w:bidi="en-us"/>
      </w:rPr>
    </w:lvl>
  </w:abstractNum>
  <w:abstractNum w:abstractNumId="1">
    <w:multiLevelType w:val="hybridMultilevel"/>
    <w:lvl w:ilvl="0">
      <w:start w:val="1"/>
      <w:numFmt w:val="decimal"/>
      <w:lvlText w:val="%1"/>
      <w:lvlJc w:val="left"/>
      <w:pPr>
        <w:ind w:left="406" w:hanging="226"/>
        <w:jc w:val="left"/>
      </w:pPr>
      <w:rPr>
        <w:rFonts w:hint="default" w:ascii="Times New Roman" w:hAnsi="Times New Roman" w:eastAsia="Times New Roman" w:cs="Times New Roman"/>
        <w:w w:val="100"/>
        <w:position w:val="9"/>
        <w:sz w:val="16"/>
        <w:szCs w:val="16"/>
        <w:lang w:val="en-us" w:eastAsia="en-us" w:bidi="en-us"/>
      </w:rPr>
    </w:lvl>
    <w:lvl w:ilvl="1">
      <w:start w:val="0"/>
      <w:numFmt w:val="bullet"/>
      <w:lvlText w:val="•"/>
      <w:lvlJc w:val="left"/>
      <w:pPr>
        <w:ind w:left="1620" w:hanging="226"/>
      </w:pPr>
      <w:rPr>
        <w:rFonts w:hint="default"/>
        <w:lang w:val="en-us" w:eastAsia="en-us" w:bidi="en-us"/>
      </w:rPr>
    </w:lvl>
    <w:lvl w:ilvl="2">
      <w:start w:val="0"/>
      <w:numFmt w:val="bullet"/>
      <w:lvlText w:val="•"/>
      <w:lvlJc w:val="left"/>
      <w:pPr>
        <w:ind w:left="2513" w:hanging="226"/>
      </w:pPr>
      <w:rPr>
        <w:rFonts w:hint="default"/>
        <w:lang w:val="en-us" w:eastAsia="en-us" w:bidi="en-us"/>
      </w:rPr>
    </w:lvl>
    <w:lvl w:ilvl="3">
      <w:start w:val="0"/>
      <w:numFmt w:val="bullet"/>
      <w:lvlText w:val="•"/>
      <w:lvlJc w:val="left"/>
      <w:pPr>
        <w:ind w:left="3406" w:hanging="226"/>
      </w:pPr>
      <w:rPr>
        <w:rFonts w:hint="default"/>
        <w:lang w:val="en-us" w:eastAsia="en-us" w:bidi="en-us"/>
      </w:rPr>
    </w:lvl>
    <w:lvl w:ilvl="4">
      <w:start w:val="0"/>
      <w:numFmt w:val="bullet"/>
      <w:lvlText w:val="•"/>
      <w:lvlJc w:val="left"/>
      <w:pPr>
        <w:ind w:left="4300" w:hanging="226"/>
      </w:pPr>
      <w:rPr>
        <w:rFonts w:hint="default"/>
        <w:lang w:val="en-us" w:eastAsia="en-us" w:bidi="en-us"/>
      </w:rPr>
    </w:lvl>
    <w:lvl w:ilvl="5">
      <w:start w:val="0"/>
      <w:numFmt w:val="bullet"/>
      <w:lvlText w:val="•"/>
      <w:lvlJc w:val="left"/>
      <w:pPr>
        <w:ind w:left="5193" w:hanging="226"/>
      </w:pPr>
      <w:rPr>
        <w:rFonts w:hint="default"/>
        <w:lang w:val="en-us" w:eastAsia="en-us" w:bidi="en-us"/>
      </w:rPr>
    </w:lvl>
    <w:lvl w:ilvl="6">
      <w:start w:val="0"/>
      <w:numFmt w:val="bullet"/>
      <w:lvlText w:val="•"/>
      <w:lvlJc w:val="left"/>
      <w:pPr>
        <w:ind w:left="6086" w:hanging="226"/>
      </w:pPr>
      <w:rPr>
        <w:rFonts w:hint="default"/>
        <w:lang w:val="en-us" w:eastAsia="en-us" w:bidi="en-us"/>
      </w:rPr>
    </w:lvl>
    <w:lvl w:ilvl="7">
      <w:start w:val="0"/>
      <w:numFmt w:val="bullet"/>
      <w:lvlText w:val="•"/>
      <w:lvlJc w:val="left"/>
      <w:pPr>
        <w:ind w:left="6980" w:hanging="226"/>
      </w:pPr>
      <w:rPr>
        <w:rFonts w:hint="default"/>
        <w:lang w:val="en-us" w:eastAsia="en-us" w:bidi="en-us"/>
      </w:rPr>
    </w:lvl>
    <w:lvl w:ilvl="8">
      <w:start w:val="0"/>
      <w:numFmt w:val="bullet"/>
      <w:lvlText w:val="•"/>
      <w:lvlJc w:val="left"/>
      <w:pPr>
        <w:ind w:left="7873" w:hanging="226"/>
      </w:pPr>
      <w:rPr>
        <w:rFonts w:hint="default"/>
        <w:lang w:val="en-us" w:eastAsia="en-us" w:bidi="en-us"/>
      </w:rPr>
    </w:lvl>
  </w:abstractNum>
  <w:abstractNum w:abstractNumId="0">
    <w:multiLevelType w:val="hybridMultilevel"/>
    <w:lvl w:ilvl="0">
      <w:start w:val="1"/>
      <w:numFmt w:val="upperLetter"/>
      <w:lvlText w:val="%1."/>
      <w:lvlJc w:val="left"/>
      <w:pPr>
        <w:ind w:left="900" w:hanging="360"/>
        <w:jc w:val="left"/>
      </w:pPr>
      <w:rPr>
        <w:rFonts w:hint="default" w:ascii="Times New Roman" w:hAnsi="Times New Roman" w:eastAsia="Times New Roman" w:cs="Times New Roman"/>
        <w:b/>
        <w:bCs/>
        <w:spacing w:val="-1"/>
        <w:w w:val="99"/>
        <w:sz w:val="24"/>
        <w:szCs w:val="24"/>
        <w:lang w:val="en-us" w:eastAsia="en-us" w:bidi="en-us"/>
      </w:rPr>
    </w:lvl>
    <w:lvl w:ilvl="1">
      <w:start w:val="1"/>
      <w:numFmt w:val="decimal"/>
      <w:lvlText w:val="%2."/>
      <w:lvlJc w:val="left"/>
      <w:pPr>
        <w:ind w:left="1471" w:hanging="572"/>
        <w:jc w:val="left"/>
      </w:pPr>
      <w:rPr>
        <w:rFonts w:hint="default" w:ascii="Times New Roman" w:hAnsi="Times New Roman" w:eastAsia="Times New Roman" w:cs="Times New Roman"/>
        <w:spacing w:val="-5"/>
        <w:w w:val="99"/>
        <w:sz w:val="24"/>
        <w:szCs w:val="24"/>
        <w:lang w:val="en-us" w:eastAsia="en-us" w:bidi="en-us"/>
      </w:rPr>
    </w:lvl>
    <w:lvl w:ilvl="2">
      <w:start w:val="1"/>
      <w:numFmt w:val="lowerLetter"/>
      <w:lvlText w:val="%3."/>
      <w:lvlJc w:val="left"/>
      <w:pPr>
        <w:ind w:left="1831" w:hanging="360"/>
        <w:jc w:val="left"/>
      </w:pPr>
      <w:rPr>
        <w:rFonts w:hint="default" w:ascii="Times New Roman" w:hAnsi="Times New Roman" w:eastAsia="Times New Roman" w:cs="Times New Roman"/>
        <w:b/>
        <w:bCs/>
        <w:spacing w:val="-4"/>
        <w:w w:val="99"/>
        <w:sz w:val="24"/>
        <w:szCs w:val="24"/>
        <w:lang w:val="en-us" w:eastAsia="en-us" w:bidi="en-us"/>
      </w:rPr>
    </w:lvl>
    <w:lvl w:ilvl="3">
      <w:start w:val="0"/>
      <w:numFmt w:val="bullet"/>
      <w:lvlText w:val="•"/>
      <w:lvlJc w:val="left"/>
      <w:pPr>
        <w:ind w:left="2817" w:hanging="360"/>
      </w:pPr>
      <w:rPr>
        <w:rFonts w:hint="default"/>
        <w:lang w:val="en-us" w:eastAsia="en-us" w:bidi="en-us"/>
      </w:rPr>
    </w:lvl>
    <w:lvl w:ilvl="4">
      <w:start w:val="0"/>
      <w:numFmt w:val="bullet"/>
      <w:lvlText w:val="•"/>
      <w:lvlJc w:val="left"/>
      <w:pPr>
        <w:ind w:left="3795" w:hanging="360"/>
      </w:pPr>
      <w:rPr>
        <w:rFonts w:hint="default"/>
        <w:lang w:val="en-us" w:eastAsia="en-us" w:bidi="en-us"/>
      </w:rPr>
    </w:lvl>
    <w:lvl w:ilvl="5">
      <w:start w:val="0"/>
      <w:numFmt w:val="bullet"/>
      <w:lvlText w:val="•"/>
      <w:lvlJc w:val="left"/>
      <w:pPr>
        <w:ind w:left="4772" w:hanging="360"/>
      </w:pPr>
      <w:rPr>
        <w:rFonts w:hint="default"/>
        <w:lang w:val="en-us" w:eastAsia="en-us" w:bidi="en-us"/>
      </w:rPr>
    </w:lvl>
    <w:lvl w:ilvl="6">
      <w:start w:val="0"/>
      <w:numFmt w:val="bullet"/>
      <w:lvlText w:val="•"/>
      <w:lvlJc w:val="left"/>
      <w:pPr>
        <w:ind w:left="5750" w:hanging="360"/>
      </w:pPr>
      <w:rPr>
        <w:rFonts w:hint="default"/>
        <w:lang w:val="en-us" w:eastAsia="en-us" w:bidi="en-us"/>
      </w:rPr>
    </w:lvl>
    <w:lvl w:ilvl="7">
      <w:start w:val="0"/>
      <w:numFmt w:val="bullet"/>
      <w:lvlText w:val="•"/>
      <w:lvlJc w:val="left"/>
      <w:pPr>
        <w:ind w:left="6727" w:hanging="360"/>
      </w:pPr>
      <w:rPr>
        <w:rFonts w:hint="default"/>
        <w:lang w:val="en-us" w:eastAsia="en-us" w:bidi="en-us"/>
      </w:rPr>
    </w:lvl>
    <w:lvl w:ilvl="8">
      <w:start w:val="0"/>
      <w:numFmt w:val="bullet"/>
      <w:lvlText w:val="•"/>
      <w:lvlJc w:val="left"/>
      <w:pPr>
        <w:ind w:left="7705" w:hanging="360"/>
      </w:pPr>
      <w:rPr>
        <w:rFonts w:hint="default"/>
        <w:lang w:val="en-us" w:eastAsia="en-us" w:bidi="en-us"/>
      </w:rPr>
    </w:lvl>
  </w:abstractNum>
  <w:num w:numId="3">
    <w:abstractNumId w:val="2"/>
  </w:num>
  <w:num w:numId="4">
    <w:abstractNumId w:val="3"/>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w:styleId="Heading1" w:type="paragraph">
    <w:name w:val="Heading 1"/>
    <w:basedOn w:val="Normal"/>
    <w:uiPriority w:val="1"/>
    <w:qFormat/>
    <w:pPr>
      <w:ind w:left="900" w:hanging="360"/>
      <w:outlineLvl w:val="1"/>
    </w:pPr>
    <w:rPr>
      <w:rFonts w:ascii="Times New Roman" w:hAnsi="Times New Roman" w:eastAsia="Times New Roman" w:cs="Times New Roman"/>
      <w:b/>
      <w:bCs/>
      <w:sz w:val="24"/>
      <w:szCs w:val="24"/>
      <w:lang w:val="en-us" w:eastAsia="en-us" w:bidi="en-us"/>
    </w:rPr>
  </w:style>
  <w:style w:styleId="Heading2" w:type="paragraph">
    <w:name w:val="Heading 2"/>
    <w:basedOn w:val="Normal"/>
    <w:uiPriority w:val="1"/>
    <w:qFormat/>
    <w:pPr>
      <w:ind w:left="180" w:hanging="360"/>
      <w:outlineLvl w:val="2"/>
    </w:pPr>
    <w:rPr>
      <w:rFonts w:ascii="Times New Roman" w:hAnsi="Times New Roman" w:eastAsia="Times New Roman" w:cs="Times New Roman"/>
      <w:b/>
      <w:bCs/>
      <w:i/>
      <w:sz w:val="24"/>
      <w:szCs w:val="24"/>
      <w:lang w:val="en-us" w:eastAsia="en-us" w:bidi="en-us"/>
    </w:rPr>
  </w:style>
  <w:style w:styleId="ListParagraph" w:type="paragraph">
    <w:name w:val="List Paragraph"/>
    <w:basedOn w:val="Normal"/>
    <w:uiPriority w:val="1"/>
    <w:qFormat/>
    <w:pPr>
      <w:ind w:left="900" w:hanging="360"/>
    </w:pPr>
    <w:rPr>
      <w:rFonts w:ascii="Times New Roman" w:hAnsi="Times New Roman" w:eastAsia="Times New Roman" w:cs="Times New Roman"/>
      <w:lang w:val="en-us" w:eastAsia="en-us" w:bidi="en-us"/>
    </w:rPr>
  </w:style>
  <w:style w:styleId="TableParagraph" w:type="paragraph">
    <w:name w:val="Table Paragraph"/>
    <w:basedOn w:val="Normal"/>
    <w:uiPriority w:val="1"/>
    <w:qFormat/>
    <w:pPr/>
    <w:rPr>
      <w:rFonts w:ascii="Times New Roman" w:hAnsi="Times New Roman" w:eastAsia="Times New Roman" w:cs="Times New Roman"/>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eb2.westlaw.com/find/default.wl?vc=0&amp;amp;rp=%2ffind%2fdefault.wl&amp;amp;DB=661&amp;amp;SerialNum=1982147679&amp;amp;FindType=Y&amp;amp;AP&amp;amp;fn=_top&amp;amp;utid=%7b737804FE-5FE9-4727-B6D5-A96E0173F336%7d&amp;amp;rs=WLW7.07&amp;amp;mt=NewMexico&amp;amp;vr=2.0&amp;amp;sv=Split" TargetMode="External"/><Relationship Id="rId6" Type="http://schemas.openxmlformats.org/officeDocument/2006/relationships/hyperlink" Target="http://web2.westlaw.com/find/default.wl?vc=0&amp;amp;rp=%2ffind%2fdefault.wl&amp;amp;DB=661&amp;amp;SerialNum=1961125164&amp;amp;FindType=Y&amp;amp;AP&amp;amp;fn=_top&amp;amp;utid=%7b737804FE-5FE9-4727-B6D5-A96E0173F336%7d&amp;amp;rs=WLW7.07&amp;amp;mt=NewMexico&amp;amp;vr=2.0&amp;amp;sv=Split" TargetMode="External"/><Relationship Id="rId7" Type="http://schemas.openxmlformats.org/officeDocument/2006/relationships/hyperlink" Target="http://web2.westlaw.com/find/default.wl?vc=0&amp;amp;rp=%2ffind%2fdefault.wl&amp;amp;DB=661&amp;amp;SerialNum=1965123329&amp;amp;FindType=Y&amp;amp;AP&amp;amp;fn=_top&amp;amp;utid=%7b737804FE-5FE9-4727-B6D5-A96E0173F336%7d&amp;amp;rs=WLW7.07&amp;amp;mt=NewMexico&amp;amp;vr=2.0&amp;amp;sv=Split" TargetMode="External"/><Relationship Id="rId8" Type="http://schemas.openxmlformats.org/officeDocument/2006/relationships/hyperlink" Target="http://web2.westlaw.com/find/default.wl?vc=0&amp;amp;rp=%2ffind%2fdefault.wl&amp;amp;DB=344&amp;amp;SerialNum=0292103239&amp;amp;FindType=Y&amp;amp;ReferencePositionType=S&amp;amp;ReferencePosition=304&amp;amp;AP&amp;amp;fn=_top&amp;amp;utid=%7b737804FE-5FE9-4727-B6D5-A96E0173F336%7d&amp;amp;rs=WLW7.11&amp;amp;mt=NewMexico&amp;amp;vr=2.0&amp;amp;sv=Split" TargetMode="External"/><Relationship Id="rId9" Type="http://schemas.openxmlformats.org/officeDocument/2006/relationships/hyperlink" Target="http://web2.westlaw.com/find/default.wl?vc=0&amp;amp;rp=%2ffind%2fdefault.wl&amp;amp;DB=661&amp;amp;SerialNum=1982147679&amp;amp;FindType=Y&amp;amp;AP&amp;amp;fn=_top&amp;amp;utid=%7b737804FE-5FE9-4727-B6D5-A96E0173F336%7d&amp;amp;rs=WLW7.11&amp;amp;mt=NewMexico&amp;amp;vr=2.0&amp;amp;sv=Split" TargetMode="External"/><Relationship Id="rId10" Type="http://schemas.openxmlformats.org/officeDocument/2006/relationships/hyperlink" Target="http://web2.westlaw.com/find/default.wl?vc=0&amp;amp;rp=%2ffind%2fdefault.wl&amp;amp;DB=661&amp;amp;SerialNum=1961125164&amp;amp;FindType=Y&amp;amp;AP&amp;amp;fn=_top&amp;amp;utid=%7b737804FE-5FE9-4727-B6D5-A96E0173F336%7d&amp;amp;rs=WLW7.11&amp;amp;mt=NewMexico&amp;amp;vr=2.0&amp;amp;sv=Split" TargetMode="External"/><Relationship Id="rId11" Type="http://schemas.openxmlformats.org/officeDocument/2006/relationships/hyperlink" Target="http://web2.westlaw.com/find/default.wl?vc=0&amp;amp;rp=%2ffind%2fdefault.wl&amp;amp;DB=661&amp;amp;SerialNum=1965123329&amp;amp;FindType=Y&amp;amp;AP&amp;amp;fn=_top&amp;amp;utid=%7b737804FE-5FE9-4727-B6D5-A96E0173F336%7d&amp;amp;rs=WLW7.11&amp;amp;mt=NewMexico&amp;amp;vr=2.0&amp;amp;sv=Split" TargetMode="External"/><Relationship Id="rId12" Type="http://schemas.openxmlformats.org/officeDocument/2006/relationships/hyperlink" Target="http://web2.westlaw.com/find/default.wl?vc=0&amp;amp;rp=%2ffind%2fdefault.wl&amp;amp;DB=661&amp;amp;SerialNum=1993041511&amp;amp;FindType=Y&amp;amp;AP&amp;amp;fn=_top&amp;amp;utid=%7b737804FE-5FE9-4727-B6D5-A96E0173F336%7d&amp;amp;rs=WLW7.11&amp;amp;mt=NewMexico&amp;amp;vr=2.0&amp;amp;sv=Split" TargetMode="External"/><Relationship Id="rId13" Type="http://schemas.openxmlformats.org/officeDocument/2006/relationships/hyperlink" Target="http://web2.westlaw.com/find/default.wl?vc=0&amp;amp;rp=%2ffind%2fdefault.wl&amp;amp;DB=506&amp;amp;SerialNum=2000087288&amp;amp;FindType=Y&amp;amp;AP&amp;amp;fn=_top&amp;amp;utid=%7b737804FE-5FE9-4727-B6D5-A96E0173F336%7d&amp;amp;rs=WLW7.11&amp;amp;mt=NewMexico&amp;amp;vr=2.0&amp;amp;sv=Split" TargetMode="External"/><Relationship Id="rId1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McIntire</dc:creator>
  <dc:title>SECOND JUDICIAL DISTRICT COURT</dc:title>
  <dcterms:created xsi:type="dcterms:W3CDTF">2019-02-19T18:51:50Z</dcterms:created>
  <dcterms:modified xsi:type="dcterms:W3CDTF">2019-02-19T18:51:50Z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2016-07-10T00:00:00Z</vt:filetime>
  </property>
  <property fmtid="{D5CDD505-2E9C-101B-9397-08002B2CF9AE}" pid="3" name="Creator">
    <vt:lpwstr>Microsoft® Word 2016</vt:lpwstr>
  </property>
  <property fmtid="{D5CDD505-2E9C-101B-9397-08002B2CF9AE}" pid="4" name="LastSaved">
    <vt:filetime>2019-02-19T00:00:00Z</vt:filetime>
  </property>
</Properties>
</file>