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9"/>
        <w:ind w:left="2863" w:right="2863" w:hanging="1"/>
        <w:jc w:val="center"/>
      </w:pPr>
      <w:r>
        <w:rPr/>
        <w:t>UNITED STATES DISTRICT COURT EASTERN DISTRICT OF MICHIGAN SOUTHERN DIVISION</w:t>
      </w:r>
    </w:p>
    <w:p>
      <w:pPr>
        <w:pStyle w:val="BodyText"/>
        <w:ind w:left="0"/>
      </w:pPr>
    </w:p>
    <w:p>
      <w:pPr>
        <w:pStyle w:val="BodyText"/>
      </w:pPr>
      <w:r>
        <w:rPr/>
        <w:t>UNITED STATES OF AMERICA,</w:t>
      </w:r>
    </w:p>
    <w:p>
      <w:pPr>
        <w:pStyle w:val="BodyText"/>
        <w:spacing w:before="2"/>
        <w:ind w:left="0"/>
        <w:rPr>
          <w:sz w:val="16"/>
        </w:rPr>
      </w:pPr>
    </w:p>
    <w:p>
      <w:pPr>
        <w:spacing w:after="0"/>
        <w:rPr>
          <w:sz w:val="16"/>
        </w:rPr>
        <w:sectPr>
          <w:headerReference w:type="default" r:id="rId5"/>
          <w:type w:val="continuous"/>
          <w:pgSz w:w="12240" w:h="15840"/>
          <w:pgMar w:header="283" w:top="1340" w:bottom="280" w:left="1320" w:right="1320"/>
          <w:pgNumType w:start="1"/>
        </w:sectPr>
      </w:pPr>
    </w:p>
    <w:p>
      <w:pPr>
        <w:pStyle w:val="BodyText"/>
        <w:spacing w:before="90"/>
        <w:ind w:left="0" w:right="38"/>
        <w:jc w:val="right"/>
      </w:pPr>
      <w:r>
        <w:rPr/>
        <w:t>Plaintiff,</w:t>
      </w:r>
    </w:p>
    <w:p>
      <w:pPr>
        <w:pStyle w:val="BodyText"/>
        <w:ind w:left="0"/>
      </w:pPr>
    </w:p>
    <w:p>
      <w:pPr>
        <w:pStyle w:val="BodyText"/>
      </w:pPr>
      <w:r>
        <w:rPr/>
        <w:t>v.</w:t>
      </w:r>
    </w:p>
    <w:p>
      <w:pPr>
        <w:pStyle w:val="BodyText"/>
        <w:spacing w:before="9"/>
        <w:ind w:left="0"/>
        <w:rPr>
          <w:sz w:val="31"/>
        </w:rPr>
      </w:pPr>
      <w:r>
        <w:rPr/>
        <w:br w:type="column"/>
      </w:r>
      <w:r>
        <w:rPr>
          <w:sz w:val="31"/>
        </w:rPr>
      </w:r>
    </w:p>
    <w:p>
      <w:pPr>
        <w:pStyle w:val="BodyText"/>
        <w:spacing w:before="1"/>
      </w:pPr>
      <w:r>
        <w:rPr/>
        <w:t>Case No. 12-CR-20287</w:t>
      </w:r>
    </w:p>
    <w:p>
      <w:pPr>
        <w:pStyle w:val="BodyText"/>
        <w:spacing w:before="11"/>
        <w:ind w:left="0"/>
        <w:rPr>
          <w:sz w:val="23"/>
        </w:rPr>
      </w:pPr>
    </w:p>
    <w:p>
      <w:pPr>
        <w:pStyle w:val="BodyText"/>
      </w:pPr>
      <w:r>
        <w:rPr/>
        <w:t>HON. MARK A. GOLDSMITH</w:t>
      </w:r>
    </w:p>
    <w:p>
      <w:pPr>
        <w:spacing w:after="0"/>
        <w:sectPr>
          <w:type w:val="continuous"/>
          <w:pgSz w:w="12240" w:h="15840"/>
          <w:pgMar w:top="1340" w:bottom="280" w:left="1320" w:right="1320"/>
          <w:cols w:num="2" w:equalWidth="0">
            <w:col w:w="3167" w:space="2593"/>
            <w:col w:w="3840"/>
          </w:cols>
        </w:sectPr>
      </w:pPr>
    </w:p>
    <w:p>
      <w:pPr>
        <w:pStyle w:val="BodyText"/>
      </w:pPr>
      <w:r>
        <w:rPr/>
        <w:t>ALEXANDRA NORWOOD, et al.,</w:t>
      </w:r>
    </w:p>
    <w:p>
      <w:pPr>
        <w:pStyle w:val="BodyText"/>
        <w:ind w:left="0"/>
      </w:pPr>
    </w:p>
    <w:p>
      <w:pPr>
        <w:pStyle w:val="BodyText"/>
        <w:ind w:left="2280"/>
      </w:pPr>
      <w:r>
        <w:rPr/>
        <w:t>Defendants.</w:t>
      </w:r>
    </w:p>
    <w:p>
      <w:pPr>
        <w:pStyle w:val="BodyText"/>
        <w:tabs>
          <w:tab w:pos="3600" w:val="left" w:leader="none"/>
        </w:tabs>
      </w:pPr>
      <w:r>
        <w:rPr>
          <w:u w:val="single"/>
        </w:rPr>
        <w:t> </w:t>
        <w:tab/>
      </w:r>
      <w:r>
        <w:rPr/>
        <w:t>/</w:t>
      </w:r>
    </w:p>
    <w:p>
      <w:pPr>
        <w:pStyle w:val="BodyText"/>
        <w:ind w:left="0"/>
        <w:rPr>
          <w:sz w:val="26"/>
        </w:rPr>
      </w:pPr>
    </w:p>
    <w:p>
      <w:pPr>
        <w:pStyle w:val="BodyText"/>
        <w:spacing w:before="3"/>
        <w:ind w:left="0"/>
        <w:rPr>
          <w:sz w:val="22"/>
        </w:rPr>
      </w:pPr>
    </w:p>
    <w:p>
      <w:pPr>
        <w:pStyle w:val="Heading1"/>
        <w:ind w:left="453" w:right="451" w:hanging="2"/>
        <w:jc w:val="center"/>
      </w:pPr>
      <w:r>
        <w:rPr>
          <w:u w:val="thick"/>
        </w:rPr>
        <w:t>OPINION AND ORDER GRANTING IN PART AND DENYING IN PART</w:t>
      </w:r>
      <w:r>
        <w:rPr/>
        <w:t> </w:t>
      </w:r>
      <w:r>
        <w:rPr>
          <w:u w:val="thick"/>
        </w:rPr>
        <w:t>DEFENDANTS’ MOTIONS TO PRECLUDE THE GOVERNMENT’S PROPOSED</w:t>
      </w:r>
      <w:r>
        <w:rPr/>
        <w:t> </w:t>
      </w:r>
      <w:r>
        <w:rPr>
          <w:u w:val="thick"/>
        </w:rPr>
        <w:t>EXPERTS (Dkts. 211 and 263)</w:t>
      </w:r>
    </w:p>
    <w:p>
      <w:pPr>
        <w:pStyle w:val="BodyText"/>
        <w:spacing w:before="10"/>
        <w:ind w:left="0"/>
        <w:rPr>
          <w:b/>
          <w:sz w:val="20"/>
        </w:rPr>
      </w:pPr>
    </w:p>
    <w:p>
      <w:pPr>
        <w:pStyle w:val="ListParagraph"/>
        <w:numPr>
          <w:ilvl w:val="0"/>
          <w:numId w:val="1"/>
        </w:numPr>
        <w:tabs>
          <w:tab w:pos="3977" w:val="left" w:leader="none"/>
        </w:tabs>
        <w:spacing w:line="240" w:lineRule="auto" w:before="0" w:after="0"/>
        <w:ind w:left="3976" w:right="0" w:hanging="273"/>
        <w:jc w:val="left"/>
        <w:rPr>
          <w:b/>
          <w:sz w:val="24"/>
        </w:rPr>
      </w:pPr>
      <w:r>
        <w:rPr>
          <w:b/>
          <w:sz w:val="24"/>
        </w:rPr>
        <w:t>INTRODUCTION</w:t>
      </w:r>
    </w:p>
    <w:p>
      <w:pPr>
        <w:pStyle w:val="BodyText"/>
        <w:spacing w:before="9"/>
        <w:ind w:left="0"/>
        <w:rPr>
          <w:b/>
          <w:sz w:val="23"/>
        </w:rPr>
      </w:pPr>
    </w:p>
    <w:p>
      <w:pPr>
        <w:pStyle w:val="BodyText"/>
        <w:spacing w:line="480" w:lineRule="auto"/>
        <w:ind w:right="115" w:firstLine="720"/>
        <w:jc w:val="both"/>
      </w:pPr>
      <w:r>
        <w:rPr/>
        <w:t>This matter is before the Court on Defendants’ motions to exclude the Government’s proposed experts (Dkts. 211 and 263). Defendants challenge two proposed expert witnesses disclosed by the Government: DEA Special Agent Scott Nedoff and FBI Special Agent Robert Bornstein. The Government proposes to call Nedoff to provide expert testimony on the sale and distribution of drugs, and Bornstein is to provide expert testimony on gangs. For the reasons set forth below, the Court grants in part Defendants’ motions, to the extent they seek to bar Bornstein</w:t>
      </w:r>
      <w:r>
        <w:rPr>
          <w:spacing w:val="3"/>
        </w:rPr>
        <w:t> </w:t>
      </w:r>
      <w:r>
        <w:rPr/>
        <w:t>from</w:t>
      </w:r>
      <w:r>
        <w:rPr>
          <w:spacing w:val="4"/>
        </w:rPr>
        <w:t> </w:t>
      </w:r>
      <w:r>
        <w:rPr/>
        <w:t>testifying</w:t>
      </w:r>
      <w:r>
        <w:rPr>
          <w:spacing w:val="6"/>
        </w:rPr>
        <w:t> </w:t>
      </w:r>
      <w:r>
        <w:rPr/>
        <w:t>at</w:t>
      </w:r>
      <w:r>
        <w:rPr>
          <w:spacing w:val="6"/>
        </w:rPr>
        <w:t> </w:t>
      </w:r>
      <w:r>
        <w:rPr/>
        <w:t>trial,</w:t>
      </w:r>
      <w:r>
        <w:rPr>
          <w:spacing w:val="4"/>
        </w:rPr>
        <w:t> </w:t>
      </w:r>
      <w:r>
        <w:rPr/>
        <w:t>and</w:t>
      </w:r>
      <w:r>
        <w:rPr>
          <w:spacing w:val="6"/>
        </w:rPr>
        <w:t> </w:t>
      </w:r>
      <w:r>
        <w:rPr/>
        <w:t>denies</w:t>
      </w:r>
      <w:r>
        <w:rPr>
          <w:spacing w:val="5"/>
        </w:rPr>
        <w:t> </w:t>
      </w:r>
      <w:r>
        <w:rPr/>
        <w:t>in</w:t>
      </w:r>
      <w:r>
        <w:rPr>
          <w:spacing w:val="4"/>
        </w:rPr>
        <w:t> </w:t>
      </w:r>
      <w:r>
        <w:rPr/>
        <w:t>part</w:t>
      </w:r>
      <w:r>
        <w:rPr>
          <w:spacing w:val="6"/>
        </w:rPr>
        <w:t> </w:t>
      </w:r>
      <w:r>
        <w:rPr/>
        <w:t>Defendants’</w:t>
      </w:r>
      <w:r>
        <w:rPr>
          <w:spacing w:val="5"/>
        </w:rPr>
        <w:t> </w:t>
      </w:r>
      <w:r>
        <w:rPr/>
        <w:t>motions,</w:t>
      </w:r>
      <w:r>
        <w:rPr>
          <w:spacing w:val="6"/>
        </w:rPr>
        <w:t> </w:t>
      </w:r>
      <w:r>
        <w:rPr/>
        <w:t>so</w:t>
      </w:r>
      <w:r>
        <w:rPr>
          <w:spacing w:val="6"/>
        </w:rPr>
        <w:t> </w:t>
      </w:r>
      <w:r>
        <w:rPr/>
        <w:t>as</w:t>
      </w:r>
      <w:r>
        <w:rPr>
          <w:spacing w:val="5"/>
        </w:rPr>
        <w:t> </w:t>
      </w:r>
      <w:r>
        <w:rPr/>
        <w:t>to</w:t>
      </w:r>
      <w:r>
        <w:rPr>
          <w:spacing w:val="4"/>
        </w:rPr>
        <w:t> </w:t>
      </w:r>
      <w:r>
        <w:rPr/>
        <w:t>permit</w:t>
      </w:r>
      <w:r>
        <w:rPr>
          <w:spacing w:val="6"/>
        </w:rPr>
        <w:t> </w:t>
      </w:r>
      <w:r>
        <w:rPr/>
        <w:t>Nedoff</w:t>
      </w:r>
    </w:p>
    <w:p>
      <w:pPr>
        <w:spacing w:after="0" w:line="480" w:lineRule="auto"/>
        <w:jc w:val="both"/>
        <w:sectPr>
          <w:type w:val="continuous"/>
          <w:pgSz w:w="12240" w:h="15840"/>
          <w:pgMar w:top="1340" w:bottom="280" w:left="1320" w:right="1320"/>
        </w:sectPr>
      </w:pPr>
    </w:p>
    <w:p>
      <w:pPr>
        <w:pStyle w:val="BodyText"/>
        <w:spacing w:line="275" w:lineRule="exact"/>
      </w:pPr>
      <w:r>
        <w:rPr/>
        <w:t>to offer expert testimony at trial.</w:t>
      </w:r>
    </w:p>
    <w:p>
      <w:pPr>
        <w:pStyle w:val="BodyText"/>
        <w:ind w:left="0"/>
        <w:rPr>
          <w:sz w:val="30"/>
        </w:rPr>
      </w:pPr>
      <w:r>
        <w:rPr/>
        <w:br w:type="column"/>
      </w:r>
      <w:r>
        <w:rPr>
          <w:sz w:val="30"/>
        </w:rPr>
      </w:r>
    </w:p>
    <w:p>
      <w:pPr>
        <w:pStyle w:val="Heading1"/>
        <w:numPr>
          <w:ilvl w:val="0"/>
          <w:numId w:val="1"/>
        </w:numPr>
        <w:tabs>
          <w:tab w:pos="487" w:val="left" w:leader="none"/>
        </w:tabs>
        <w:spacing w:line="240" w:lineRule="auto" w:before="206" w:after="0"/>
        <w:ind w:left="486" w:right="0" w:hanging="366"/>
        <w:jc w:val="left"/>
        <w:rPr>
          <w:b w:val="0"/>
        </w:rPr>
      </w:pPr>
      <w:r>
        <w:rPr/>
        <w:t>BACKGROUND</w:t>
      </w:r>
      <w:r>
        <w:rPr>
          <w:b w:val="0"/>
          <w:vertAlign w:val="superscript"/>
        </w:rPr>
        <w:t>1</w:t>
      </w:r>
    </w:p>
    <w:p>
      <w:pPr>
        <w:spacing w:after="0" w:line="240" w:lineRule="auto"/>
        <w:jc w:val="left"/>
        <w:sectPr>
          <w:type w:val="continuous"/>
          <w:pgSz w:w="12240" w:h="15840"/>
          <w:pgMar w:top="1340" w:bottom="280" w:left="1320" w:right="1320"/>
          <w:cols w:num="2" w:equalWidth="0">
            <w:col w:w="3281" w:space="295"/>
            <w:col w:w="6024"/>
          </w:cols>
        </w:sectPr>
      </w:pPr>
    </w:p>
    <w:p>
      <w:pPr>
        <w:pStyle w:val="BodyText"/>
        <w:spacing w:before="2"/>
        <w:ind w:left="0"/>
        <w:rPr>
          <w:sz w:val="16"/>
        </w:rPr>
      </w:pPr>
    </w:p>
    <w:p>
      <w:pPr>
        <w:pStyle w:val="BodyText"/>
        <w:spacing w:line="480" w:lineRule="auto" w:before="90"/>
        <w:ind w:right="102" w:firstLine="720"/>
      </w:pPr>
      <w:r>
        <w:rPr/>
        <w:pict>
          <v:line style="position:absolute;mso-position-horizontal-relative:page;mso-position-vertical-relative:paragraph;z-index:-19936" from="72pt,56.443142pt" to="216pt,56.443142pt" stroked="true" strokeweight=".47998pt" strokecolor="#000000">
            <v:stroke dashstyle="solid"/>
            <w10:wrap type="none"/>
          </v:line>
        </w:pict>
      </w:r>
      <w:r>
        <w:rPr/>
        <w:t>According to the governing indictment, Defendants were members of the Howard Boys, a “criminal organization” that “engaged in murders, attempted murders, drug trafficking, weapons</w:t>
      </w:r>
    </w:p>
    <w:p>
      <w:pPr>
        <w:pStyle w:val="BodyText"/>
        <w:spacing w:line="276" w:lineRule="exact" w:before="29"/>
        <w:ind w:right="117"/>
        <w:jc w:val="both"/>
      </w:pPr>
      <w:r>
        <w:rPr>
          <w:position w:val="11"/>
          <w:sz w:val="16"/>
        </w:rPr>
        <w:t>1 </w:t>
      </w:r>
      <w:r>
        <w:rPr/>
        <w:t>The Court has previously provided a full recitation of the background of this case and the scope of the Amended First Superseding Indictment in an Opinion and Order denying Defendant Alexandra Norwood’s motion to dismiss. </w:t>
      </w:r>
      <w:r>
        <w:rPr>
          <w:u w:val="single"/>
        </w:rPr>
        <w:t>See</w:t>
      </w:r>
      <w:r>
        <w:rPr/>
        <w:t> 11/8/13 Opinion and Order (Dkt. 328).</w:t>
      </w:r>
    </w:p>
    <w:p>
      <w:pPr>
        <w:spacing w:after="0" w:line="276" w:lineRule="exact"/>
        <w:jc w:val="both"/>
        <w:sectPr>
          <w:type w:val="continuous"/>
          <w:pgSz w:w="12240" w:h="15840"/>
          <w:pgMar w:top="1340" w:bottom="280" w:left="1320" w:right="1320"/>
        </w:sectPr>
      </w:pPr>
    </w:p>
    <w:p>
      <w:pPr>
        <w:pStyle w:val="BodyText"/>
        <w:spacing w:line="480" w:lineRule="auto" w:before="89"/>
        <w:ind w:left="119" w:right="115"/>
        <w:jc w:val="both"/>
      </w:pPr>
      <w:r>
        <w:rPr/>
        <w:t>trafficking, and other crimes.” Am. First Superseding Indictment at 2 (Dkt. 191).  The  indictment alleges that the Howard Boys constituted an “enterprise” that was engaged in interstate commerce and that “constituted an ongoing organization whose members functioned as a</w:t>
      </w:r>
      <w:r>
        <w:rPr>
          <w:spacing w:val="12"/>
        </w:rPr>
        <w:t> </w:t>
      </w:r>
      <w:r>
        <w:rPr/>
        <w:t>continuing</w:t>
      </w:r>
      <w:r>
        <w:rPr>
          <w:spacing w:val="13"/>
        </w:rPr>
        <w:t> </w:t>
      </w:r>
      <w:r>
        <w:rPr/>
        <w:t>unit</w:t>
      </w:r>
      <w:r>
        <w:rPr>
          <w:spacing w:val="13"/>
        </w:rPr>
        <w:t> </w:t>
      </w:r>
      <w:r>
        <w:rPr/>
        <w:t>for</w:t>
      </w:r>
      <w:r>
        <w:rPr>
          <w:spacing w:val="13"/>
        </w:rPr>
        <w:t> </w:t>
      </w:r>
      <w:r>
        <w:rPr/>
        <w:t>a</w:t>
      </w:r>
      <w:r>
        <w:rPr>
          <w:spacing w:val="12"/>
        </w:rPr>
        <w:t> </w:t>
      </w:r>
      <w:r>
        <w:rPr/>
        <w:t>common</w:t>
      </w:r>
      <w:r>
        <w:rPr>
          <w:spacing w:val="13"/>
        </w:rPr>
        <w:t> </w:t>
      </w:r>
      <w:r>
        <w:rPr/>
        <w:t>purpose</w:t>
      </w:r>
      <w:r>
        <w:rPr>
          <w:spacing w:val="13"/>
        </w:rPr>
        <w:t> </w:t>
      </w:r>
      <w:r>
        <w:rPr/>
        <w:t>of</w:t>
      </w:r>
      <w:r>
        <w:rPr>
          <w:spacing w:val="13"/>
        </w:rPr>
        <w:t> </w:t>
      </w:r>
      <w:r>
        <w:rPr/>
        <w:t>achieving</w:t>
      </w:r>
      <w:r>
        <w:rPr>
          <w:spacing w:val="12"/>
        </w:rPr>
        <w:t> </w:t>
      </w:r>
      <w:r>
        <w:rPr/>
        <w:t>the</w:t>
      </w:r>
      <w:r>
        <w:rPr>
          <w:spacing w:val="13"/>
        </w:rPr>
        <w:t> </w:t>
      </w:r>
      <w:r>
        <w:rPr/>
        <w:t>objectives</w:t>
      </w:r>
      <w:r>
        <w:rPr>
          <w:spacing w:val="13"/>
        </w:rPr>
        <w:t> </w:t>
      </w:r>
      <w:r>
        <w:rPr/>
        <w:t>of</w:t>
      </w:r>
      <w:r>
        <w:rPr>
          <w:spacing w:val="13"/>
        </w:rPr>
        <w:t> </w:t>
      </w:r>
      <w:r>
        <w:rPr/>
        <w:t>the</w:t>
      </w:r>
      <w:r>
        <w:rPr>
          <w:spacing w:val="12"/>
        </w:rPr>
        <w:t> </w:t>
      </w:r>
      <w:r>
        <w:rPr/>
        <w:t>enterprise.” </w:t>
      </w:r>
      <w:r>
        <w:rPr>
          <w:spacing w:val="26"/>
        </w:rPr>
        <w:t> </w:t>
      </w:r>
      <w:r>
        <w:rPr>
          <w:u w:val="single"/>
        </w:rPr>
        <w:t>Id.</w:t>
      </w:r>
      <w:r>
        <w:rPr>
          <w:spacing w:val="13"/>
        </w:rPr>
        <w:t> </w:t>
      </w:r>
      <w:r>
        <w:rPr/>
        <w:t>at</w:t>
      </w:r>
      <w:r>
        <w:rPr>
          <w:spacing w:val="13"/>
        </w:rPr>
        <w:t> </w:t>
      </w:r>
      <w:r>
        <w:rPr/>
        <w:t>3.</w:t>
      </w:r>
    </w:p>
    <w:p>
      <w:pPr>
        <w:pStyle w:val="BodyText"/>
        <w:spacing w:line="480" w:lineRule="auto"/>
      </w:pPr>
      <w:r>
        <w:rPr/>
        <w:t>This forms the basis for the charge of conspiracy under the Racketeer Influenced and Corrupt Organizations</w:t>
      </w:r>
      <w:r>
        <w:rPr>
          <w:spacing w:val="10"/>
        </w:rPr>
        <w:t> </w:t>
      </w:r>
      <w:r>
        <w:rPr/>
        <w:t>Act</w:t>
      </w:r>
      <w:r>
        <w:rPr>
          <w:spacing w:val="11"/>
        </w:rPr>
        <w:t> </w:t>
      </w:r>
      <w:r>
        <w:rPr/>
        <w:t>(“RICO”),</w:t>
      </w:r>
      <w:r>
        <w:rPr>
          <w:spacing w:val="11"/>
        </w:rPr>
        <w:t> </w:t>
      </w:r>
      <w:r>
        <w:rPr/>
        <w:t>18</w:t>
      </w:r>
      <w:r>
        <w:rPr>
          <w:spacing w:val="11"/>
        </w:rPr>
        <w:t> </w:t>
      </w:r>
      <w:r>
        <w:rPr/>
        <w:t>U.S.C.</w:t>
      </w:r>
      <w:r>
        <w:rPr>
          <w:spacing w:val="11"/>
        </w:rPr>
        <w:t> </w:t>
      </w:r>
      <w:r>
        <w:rPr/>
        <w:t>§</w:t>
      </w:r>
      <w:r>
        <w:rPr>
          <w:spacing w:val="11"/>
        </w:rPr>
        <w:t> </w:t>
      </w:r>
      <w:r>
        <w:rPr/>
        <w:t>1961,</w:t>
      </w:r>
      <w:r>
        <w:rPr>
          <w:spacing w:val="11"/>
        </w:rPr>
        <w:t> </w:t>
      </w:r>
      <w:r>
        <w:rPr>
          <w:u w:val="single"/>
        </w:rPr>
        <w:t>et</w:t>
      </w:r>
      <w:r>
        <w:rPr>
          <w:spacing w:val="11"/>
        </w:rPr>
        <w:t> </w:t>
      </w:r>
      <w:r>
        <w:rPr>
          <w:u w:val="single"/>
        </w:rPr>
        <w:t>seq.</w:t>
      </w:r>
      <w:r>
        <w:rPr/>
        <w:t>,</w:t>
      </w:r>
      <w:r>
        <w:rPr>
          <w:spacing w:val="11"/>
        </w:rPr>
        <w:t> </w:t>
      </w:r>
      <w:r>
        <w:rPr/>
        <w:t>leveled</w:t>
      </w:r>
      <w:r>
        <w:rPr>
          <w:spacing w:val="11"/>
        </w:rPr>
        <w:t> </w:t>
      </w:r>
      <w:r>
        <w:rPr/>
        <w:t>against</w:t>
      </w:r>
      <w:r>
        <w:rPr>
          <w:spacing w:val="11"/>
        </w:rPr>
        <w:t> </w:t>
      </w:r>
      <w:r>
        <w:rPr/>
        <w:t>each</w:t>
      </w:r>
      <w:r>
        <w:rPr>
          <w:spacing w:val="11"/>
        </w:rPr>
        <w:t> </w:t>
      </w:r>
      <w:r>
        <w:rPr/>
        <w:t>of</w:t>
      </w:r>
      <w:r>
        <w:rPr>
          <w:spacing w:val="11"/>
        </w:rPr>
        <w:t> </w:t>
      </w:r>
      <w:r>
        <w:rPr/>
        <w:t>the</w:t>
      </w:r>
      <w:r>
        <w:rPr>
          <w:spacing w:val="11"/>
        </w:rPr>
        <w:t> </w:t>
      </w:r>
      <w:r>
        <w:rPr/>
        <w:t>Defendants.</w:t>
      </w:r>
    </w:p>
    <w:p>
      <w:pPr>
        <w:pStyle w:val="BodyText"/>
      </w:pPr>
      <w:r>
        <w:rPr>
          <w:u w:val="single"/>
        </w:rPr>
        <w:t>Id.</w:t>
      </w:r>
      <w:r>
        <w:rPr/>
        <w:t> at 2.  The indictment also contains specific counts against each Defendant for actions taken</w:t>
      </w:r>
      <w:r>
        <w:rPr>
          <w:spacing w:val="22"/>
        </w:rPr>
        <w:t> </w:t>
      </w:r>
      <w:r>
        <w:rPr/>
        <w:t>in</w:t>
      </w:r>
    </w:p>
    <w:p>
      <w:pPr>
        <w:pStyle w:val="BodyText"/>
        <w:spacing w:before="2"/>
        <w:ind w:left="0"/>
        <w:rPr>
          <w:sz w:val="16"/>
        </w:rPr>
      </w:pPr>
    </w:p>
    <w:p>
      <w:pPr>
        <w:pStyle w:val="BodyText"/>
        <w:spacing w:before="90"/>
      </w:pPr>
      <w:r>
        <w:rPr/>
        <w:t>furtherance of the conspiracy.</w:t>
      </w:r>
    </w:p>
    <w:p>
      <w:pPr>
        <w:pStyle w:val="BodyText"/>
        <w:ind w:left="0"/>
      </w:pPr>
    </w:p>
    <w:p>
      <w:pPr>
        <w:pStyle w:val="BodyText"/>
        <w:spacing w:line="480" w:lineRule="auto"/>
        <w:ind w:right="116" w:firstLine="720"/>
        <w:jc w:val="both"/>
      </w:pPr>
      <w:r>
        <w:rPr/>
        <w:t>According to the indictment, the Howard Boys identified themselves and demarcated their territory through the use of graffiti, tattoos, hand signs, handshakes, and social networking sites. </w:t>
      </w:r>
      <w:r>
        <w:rPr>
          <w:spacing w:val="41"/>
        </w:rPr>
        <w:t> </w:t>
      </w:r>
      <w:r>
        <w:rPr>
          <w:u w:val="single"/>
        </w:rPr>
        <w:t>Id.</w:t>
      </w:r>
      <w:r>
        <w:rPr>
          <w:spacing w:val="21"/>
        </w:rPr>
        <w:t> </w:t>
      </w:r>
      <w:r>
        <w:rPr/>
        <w:t>at</w:t>
      </w:r>
      <w:r>
        <w:rPr>
          <w:spacing w:val="21"/>
        </w:rPr>
        <w:t> </w:t>
      </w:r>
      <w:r>
        <w:rPr/>
        <w:t>5-6. </w:t>
      </w:r>
      <w:r>
        <w:rPr>
          <w:spacing w:val="42"/>
        </w:rPr>
        <w:t> </w:t>
      </w:r>
      <w:r>
        <w:rPr/>
        <w:t>The</w:t>
      </w:r>
      <w:r>
        <w:rPr>
          <w:spacing w:val="21"/>
        </w:rPr>
        <w:t> </w:t>
      </w:r>
      <w:r>
        <w:rPr/>
        <w:t>indictment</w:t>
      </w:r>
      <w:r>
        <w:rPr>
          <w:spacing w:val="20"/>
        </w:rPr>
        <w:t> </w:t>
      </w:r>
      <w:r>
        <w:rPr/>
        <w:t>further</w:t>
      </w:r>
      <w:r>
        <w:rPr>
          <w:spacing w:val="21"/>
        </w:rPr>
        <w:t> </w:t>
      </w:r>
      <w:r>
        <w:rPr/>
        <w:t>claims</w:t>
      </w:r>
      <w:r>
        <w:rPr>
          <w:spacing w:val="21"/>
        </w:rPr>
        <w:t> </w:t>
      </w:r>
      <w:r>
        <w:rPr/>
        <w:t>that</w:t>
      </w:r>
      <w:r>
        <w:rPr>
          <w:spacing w:val="21"/>
        </w:rPr>
        <w:t> </w:t>
      </w:r>
      <w:r>
        <w:rPr/>
        <w:t>the</w:t>
      </w:r>
      <w:r>
        <w:rPr>
          <w:spacing w:val="21"/>
        </w:rPr>
        <w:t> </w:t>
      </w:r>
      <w:r>
        <w:rPr/>
        <w:t>Howard</w:t>
      </w:r>
      <w:r>
        <w:rPr>
          <w:spacing w:val="20"/>
        </w:rPr>
        <w:t> </w:t>
      </w:r>
      <w:r>
        <w:rPr/>
        <w:t>Boys’</w:t>
      </w:r>
      <w:r>
        <w:rPr>
          <w:spacing w:val="21"/>
        </w:rPr>
        <w:t> </w:t>
      </w:r>
      <w:r>
        <w:rPr/>
        <w:t>territory,</w:t>
      </w:r>
      <w:r>
        <w:rPr>
          <w:spacing w:val="21"/>
        </w:rPr>
        <w:t> </w:t>
      </w:r>
      <w:r>
        <w:rPr/>
        <w:t>referred</w:t>
      </w:r>
      <w:r>
        <w:rPr>
          <w:spacing w:val="20"/>
        </w:rPr>
        <w:t> </w:t>
      </w:r>
      <w:r>
        <w:rPr/>
        <w:t>to</w:t>
      </w:r>
      <w:r>
        <w:rPr>
          <w:spacing w:val="21"/>
        </w:rPr>
        <w:t> </w:t>
      </w:r>
      <w:r>
        <w:rPr/>
        <w:t>as</w:t>
      </w:r>
    </w:p>
    <w:p>
      <w:pPr>
        <w:pStyle w:val="BodyText"/>
        <w:spacing w:line="480" w:lineRule="auto"/>
        <w:ind w:right="102"/>
      </w:pPr>
      <w:r>
        <w:rPr/>
        <w:t>“Murda Villa,” “Howard Block,” or “The Bricks,” is the Howard Estates public housing complex in Flint, Michigan.  </w:t>
      </w:r>
      <w:r>
        <w:rPr>
          <w:u w:val="single"/>
        </w:rPr>
        <w:t>Id.</w:t>
      </w:r>
      <w:r>
        <w:rPr/>
        <w:t> at 4-5.  Howard Boys members sought to be the sole distributors of</w:t>
      </w:r>
      <w:r>
        <w:rPr>
          <w:spacing w:val="44"/>
        </w:rPr>
        <w:t> </w:t>
      </w:r>
      <w:r>
        <w:rPr/>
        <w:t>drugs</w:t>
      </w:r>
    </w:p>
    <w:p>
      <w:pPr>
        <w:pStyle w:val="BodyText"/>
        <w:spacing w:line="480" w:lineRule="auto"/>
      </w:pPr>
      <w:r>
        <w:rPr/>
        <w:t>operating within this territory. The Howard Boys protected their territory through “intimidation, fear and violence.” </w:t>
      </w:r>
      <w:r>
        <w:rPr>
          <w:u w:val="single"/>
        </w:rPr>
        <w:t>Id.</w:t>
      </w:r>
      <w:r>
        <w:rPr/>
        <w:t> at 5.</w:t>
      </w:r>
    </w:p>
    <w:p>
      <w:pPr>
        <w:pStyle w:val="BodyText"/>
        <w:spacing w:line="480" w:lineRule="auto"/>
        <w:ind w:left="119" w:right="116" w:firstLine="720"/>
        <w:jc w:val="both"/>
      </w:pPr>
      <w:r>
        <w:rPr/>
        <w:t>The catalyst for the motions under consideration was the Government’s initial expert witness disclosure, in which the Government provided notice that it would call seventeen expert witnesses. Gov’t Disclosure (Dkt. 138) (listing experts in forensics, sale and distribution of controlled substances, fingerprint analysis, firearms/ballistics, cause of death, DNA, firearms identification, and gangs). In pertinent part, this disclosure summarized the testimony  that Nedoff</w:t>
      </w:r>
      <w:r>
        <w:rPr>
          <w:spacing w:val="20"/>
        </w:rPr>
        <w:t> </w:t>
      </w:r>
      <w:r>
        <w:rPr/>
        <w:t>and</w:t>
      </w:r>
      <w:r>
        <w:rPr>
          <w:spacing w:val="20"/>
        </w:rPr>
        <w:t> </w:t>
      </w:r>
      <w:r>
        <w:rPr/>
        <w:t>Bornstein</w:t>
      </w:r>
      <w:r>
        <w:rPr>
          <w:spacing w:val="20"/>
        </w:rPr>
        <w:t> </w:t>
      </w:r>
      <w:r>
        <w:rPr/>
        <w:t>would</w:t>
      </w:r>
      <w:r>
        <w:rPr>
          <w:spacing w:val="20"/>
        </w:rPr>
        <w:t> </w:t>
      </w:r>
      <w:r>
        <w:rPr/>
        <w:t>provide.</w:t>
      </w:r>
      <w:r>
        <w:rPr>
          <w:spacing w:val="42"/>
        </w:rPr>
        <w:t> </w:t>
      </w:r>
      <w:r>
        <w:rPr>
          <w:u w:val="single"/>
        </w:rPr>
        <w:t>Id.</w:t>
      </w:r>
      <w:r>
        <w:rPr>
          <w:spacing w:val="20"/>
        </w:rPr>
        <w:t> </w:t>
      </w:r>
      <w:r>
        <w:rPr/>
        <w:t>at</w:t>
      </w:r>
      <w:r>
        <w:rPr>
          <w:spacing w:val="20"/>
        </w:rPr>
        <w:t> </w:t>
      </w:r>
      <w:r>
        <w:rPr/>
        <w:t>2-4,</w:t>
      </w:r>
      <w:r>
        <w:rPr>
          <w:spacing w:val="21"/>
        </w:rPr>
        <w:t> </w:t>
      </w:r>
      <w:r>
        <w:rPr/>
        <w:t>15-16.</w:t>
      </w:r>
      <w:r>
        <w:rPr>
          <w:spacing w:val="41"/>
        </w:rPr>
        <w:t> </w:t>
      </w:r>
      <w:r>
        <w:rPr/>
        <w:t>The</w:t>
      </w:r>
      <w:r>
        <w:rPr>
          <w:spacing w:val="20"/>
        </w:rPr>
        <w:t> </w:t>
      </w:r>
      <w:r>
        <w:rPr/>
        <w:t>Government</w:t>
      </w:r>
      <w:r>
        <w:rPr>
          <w:spacing w:val="21"/>
        </w:rPr>
        <w:t> </w:t>
      </w:r>
      <w:r>
        <w:rPr/>
        <w:t>also</w:t>
      </w:r>
      <w:r>
        <w:rPr>
          <w:spacing w:val="20"/>
        </w:rPr>
        <w:t> </w:t>
      </w:r>
      <w:r>
        <w:rPr/>
        <w:t>attached</w:t>
      </w:r>
      <w:r>
        <w:rPr>
          <w:spacing w:val="20"/>
        </w:rPr>
        <w:t> </w:t>
      </w:r>
      <w:r>
        <w:rPr/>
        <w:t>to</w:t>
      </w:r>
      <w:r>
        <w:rPr>
          <w:spacing w:val="20"/>
        </w:rPr>
        <w:t> </w:t>
      </w:r>
      <w:r>
        <w:rPr/>
        <w:t>the</w:t>
      </w:r>
    </w:p>
    <w:p>
      <w:pPr>
        <w:pStyle w:val="BodyText"/>
        <w:spacing w:line="480" w:lineRule="auto"/>
        <w:ind w:right="102"/>
      </w:pPr>
      <w:r>
        <w:rPr/>
        <w:t>disclosure the curriculum vitae of all its proposed experts, including Nedoff’s and Bornstein’s. </w:t>
      </w:r>
      <w:r>
        <w:rPr>
          <w:u w:val="single"/>
        </w:rPr>
        <w:t>See</w:t>
      </w:r>
      <w:r>
        <w:rPr/>
        <w:t> Nedoff CV (Dkt. 138-7), Bornstein CV (Dkt. 138-18).</w:t>
      </w:r>
    </w:p>
    <w:p>
      <w:pPr>
        <w:spacing w:after="0" w:line="480" w:lineRule="auto"/>
        <w:sectPr>
          <w:headerReference w:type="default" r:id="rId6"/>
          <w:footerReference w:type="default" r:id="rId7"/>
          <w:pgSz w:w="12240" w:h="15840"/>
          <w:pgMar w:header="283" w:footer="1019" w:top="1340" w:bottom="1200" w:left="1320" w:right="1320"/>
          <w:pgNumType w:start="2"/>
        </w:sectPr>
      </w:pPr>
    </w:p>
    <w:p>
      <w:pPr>
        <w:pStyle w:val="BodyText"/>
        <w:spacing w:line="480" w:lineRule="auto" w:before="89"/>
        <w:ind w:left="119" w:right="116" w:firstLine="720"/>
        <w:jc w:val="both"/>
      </w:pPr>
      <w:r>
        <w:rPr/>
        <w:t>After making these disclosures, Defendant Norwood filed his “Motion to Exclude or Limit Expert Testimony, and, in the Alternative, for Additional Discovery.” Norwood Mot.  (Dkt. 211). Defendant Jonathan Oldham filed his “Motion for Rule 16 Disclosure and to Limit Testimony.” Oldham Mot. (Dk. 263).</w:t>
      </w:r>
      <w:r>
        <w:rPr>
          <w:vertAlign w:val="superscript"/>
        </w:rPr>
        <w:t>2</w:t>
      </w:r>
      <w:r>
        <w:rPr>
          <w:vertAlign w:val="baseline"/>
        </w:rPr>
        <w:t>  After the Government filed its initial response (Dkt.  291), the Court ordered additional briefing and ordered the Government twice to supplement its expert disclosures to provide more specificity with respect to Nedoff’s and Bornstein’s proposed testimony. The Court ultimately conducted an evidentiary hearing regarding Bornstein, and ordered one last round of supplemental</w:t>
      </w:r>
      <w:r>
        <w:rPr>
          <w:spacing w:val="-7"/>
          <w:vertAlign w:val="baseline"/>
        </w:rPr>
        <w:t> </w:t>
      </w:r>
      <w:r>
        <w:rPr>
          <w:vertAlign w:val="baseline"/>
        </w:rPr>
        <w:t>briefing.</w:t>
      </w:r>
      <w:r>
        <w:rPr>
          <w:vertAlign w:val="superscript"/>
        </w:rPr>
        <w:t>3</w:t>
      </w:r>
    </w:p>
    <w:p>
      <w:pPr>
        <w:pStyle w:val="Heading1"/>
        <w:numPr>
          <w:ilvl w:val="0"/>
          <w:numId w:val="1"/>
        </w:numPr>
        <w:tabs>
          <w:tab w:pos="4423" w:val="left" w:leader="none"/>
        </w:tabs>
        <w:spacing w:line="240" w:lineRule="auto" w:before="3" w:after="0"/>
        <w:ind w:left="4422" w:right="0" w:hanging="460"/>
        <w:jc w:val="left"/>
      </w:pPr>
      <w:r>
        <w:rPr/>
        <w:t>ANALYSIS</w:t>
      </w:r>
    </w:p>
    <w:p>
      <w:pPr>
        <w:pStyle w:val="BodyText"/>
        <w:spacing w:before="9"/>
        <w:ind w:left="0"/>
        <w:rPr>
          <w:b/>
          <w:sz w:val="23"/>
        </w:rPr>
      </w:pPr>
    </w:p>
    <w:p>
      <w:pPr>
        <w:pStyle w:val="BodyText"/>
        <w:spacing w:line="480" w:lineRule="auto"/>
        <w:ind w:right="115" w:firstLine="720"/>
        <w:jc w:val="both"/>
      </w:pPr>
      <w:r>
        <w:rPr/>
        <w:t>Whether the Court will permit the proffered expert testimony by Nedoff and Bornstein turns upon Federal Rule of Evidence 702 and applicable case law. Under Rule 702, a “witness who is qualified as an expert by knowledge, skill, experience, training, or education may testify in the form of an opinion” if the following criteria are</w:t>
      </w:r>
      <w:r>
        <w:rPr>
          <w:spacing w:val="-5"/>
        </w:rPr>
        <w:t> </w:t>
      </w:r>
      <w:r>
        <w:rPr/>
        <w:t>met:</w:t>
      </w:r>
    </w:p>
    <w:p>
      <w:pPr>
        <w:pStyle w:val="ListParagraph"/>
        <w:numPr>
          <w:ilvl w:val="0"/>
          <w:numId w:val="2"/>
        </w:numPr>
        <w:tabs>
          <w:tab w:pos="1918" w:val="left" w:leader="none"/>
        </w:tabs>
        <w:spacing w:line="240" w:lineRule="auto" w:before="0" w:after="0"/>
        <w:ind w:left="1560" w:right="837" w:firstLine="0"/>
        <w:jc w:val="both"/>
        <w:rPr>
          <w:sz w:val="24"/>
        </w:rPr>
      </w:pPr>
      <w:r>
        <w:rPr>
          <w:sz w:val="24"/>
        </w:rPr>
        <w:t>the expert’s scientific, technical, or other specialized knowledge will help the trier of fact to understand the evidence or to determine a fact in issue;</w:t>
      </w:r>
    </w:p>
    <w:p>
      <w:pPr>
        <w:pStyle w:val="ListParagraph"/>
        <w:numPr>
          <w:ilvl w:val="0"/>
          <w:numId w:val="2"/>
        </w:numPr>
        <w:tabs>
          <w:tab w:pos="1900" w:val="left" w:leader="none"/>
        </w:tabs>
        <w:spacing w:line="240" w:lineRule="auto" w:before="0" w:after="0"/>
        <w:ind w:left="1899" w:right="0" w:hanging="339"/>
        <w:jc w:val="left"/>
        <w:rPr>
          <w:sz w:val="24"/>
        </w:rPr>
      </w:pPr>
      <w:r>
        <w:rPr>
          <w:sz w:val="24"/>
        </w:rPr>
        <w:t>the testimony is based on sufficient facts or</w:t>
      </w:r>
      <w:r>
        <w:rPr>
          <w:spacing w:val="-8"/>
          <w:sz w:val="24"/>
        </w:rPr>
        <w:t> </w:t>
      </w:r>
      <w:r>
        <w:rPr>
          <w:sz w:val="24"/>
        </w:rPr>
        <w:t>data;</w:t>
      </w:r>
    </w:p>
    <w:p>
      <w:pPr>
        <w:pStyle w:val="ListParagraph"/>
        <w:numPr>
          <w:ilvl w:val="0"/>
          <w:numId w:val="2"/>
        </w:numPr>
        <w:tabs>
          <w:tab w:pos="1887" w:val="left" w:leader="none"/>
        </w:tabs>
        <w:spacing w:line="240" w:lineRule="auto" w:before="0" w:after="0"/>
        <w:ind w:left="1886" w:right="0" w:hanging="326"/>
        <w:jc w:val="left"/>
        <w:rPr>
          <w:sz w:val="24"/>
        </w:rPr>
      </w:pPr>
      <w:r>
        <w:rPr>
          <w:sz w:val="24"/>
        </w:rPr>
        <w:t>the testimony is the product of reliable principles and methods;</w:t>
      </w:r>
      <w:r>
        <w:rPr>
          <w:spacing w:val="-11"/>
          <w:sz w:val="24"/>
        </w:rPr>
        <w:t> </w:t>
      </w:r>
      <w:r>
        <w:rPr>
          <w:sz w:val="24"/>
        </w:rPr>
        <w:t>and</w:t>
      </w:r>
    </w:p>
    <w:p>
      <w:pPr>
        <w:pStyle w:val="ListParagraph"/>
        <w:numPr>
          <w:ilvl w:val="0"/>
          <w:numId w:val="2"/>
        </w:numPr>
        <w:tabs>
          <w:tab w:pos="1918" w:val="left" w:leader="none"/>
        </w:tabs>
        <w:spacing w:line="240" w:lineRule="auto" w:before="0" w:after="0"/>
        <w:ind w:left="1560" w:right="837" w:firstLine="0"/>
        <w:jc w:val="left"/>
        <w:rPr>
          <w:sz w:val="24"/>
        </w:rPr>
      </w:pPr>
      <w:r>
        <w:rPr>
          <w:sz w:val="24"/>
        </w:rPr>
        <w:t>the expert has reliably applied the principles and methods to the facts of the case.</w:t>
      </w:r>
    </w:p>
    <w:p>
      <w:pPr>
        <w:pStyle w:val="BodyText"/>
        <w:spacing w:before="9"/>
        <w:ind w:left="0"/>
        <w:rPr>
          <w:sz w:val="20"/>
        </w:rPr>
      </w:pPr>
    </w:p>
    <w:p>
      <w:pPr>
        <w:pStyle w:val="BodyText"/>
      </w:pPr>
      <w:r>
        <w:rPr/>
        <w:t>Fed. R. Evid. 702.</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
        <w:ind w:left="0"/>
        <w:rPr>
          <w:sz w:val="20"/>
        </w:rPr>
      </w:pPr>
      <w:r>
        <w:rPr/>
        <w:pict>
          <v:line style="position:absolute;mso-position-horizontal-relative:page;mso-position-vertical-relative:paragraph;z-index:-1000;mso-wrap-distance-left:0;mso-wrap-distance-right:0" from="72pt,13.764131pt" to="216pt,13.764131pt" stroked="true" strokeweight=".48pt" strokecolor="#000000">
            <v:stroke dashstyle="solid"/>
            <w10:wrap type="topAndBottom"/>
          </v:line>
        </w:pict>
      </w:r>
    </w:p>
    <w:p>
      <w:pPr>
        <w:pStyle w:val="BodyText"/>
        <w:spacing w:before="21"/>
        <w:ind w:left="119" w:right="116"/>
        <w:jc w:val="both"/>
      </w:pPr>
      <w:r>
        <w:rPr>
          <w:position w:val="11"/>
          <w:sz w:val="16"/>
        </w:rPr>
        <w:t>2 </w:t>
      </w:r>
      <w:r>
        <w:rPr/>
        <w:t>Defendants Jamil Cureton, Leon Gills, Jatimothy Walker, and Jonathan Walker joined Norwood’s motion. </w:t>
      </w:r>
      <w:r>
        <w:rPr>
          <w:u w:val="single"/>
        </w:rPr>
        <w:t>See</w:t>
      </w:r>
      <w:r>
        <w:rPr/>
        <w:t> Dkts. 217, 231, 245, 274. Defendants Gills and Jonathan Walker also joined Oldham’s motion. </w:t>
      </w:r>
      <w:r>
        <w:rPr>
          <w:u w:val="single"/>
        </w:rPr>
        <w:t>See</w:t>
      </w:r>
      <w:r>
        <w:rPr/>
        <w:t> Dkts. 268 and 274. For purposes of deciding the instant motions, the Court refers to “Defendants” generally, unless specifically referencing a particular Defendant.</w:t>
      </w:r>
    </w:p>
    <w:p>
      <w:pPr>
        <w:pStyle w:val="BodyText"/>
        <w:spacing w:before="85"/>
        <w:ind w:right="117"/>
        <w:jc w:val="both"/>
      </w:pPr>
      <w:r>
        <w:rPr>
          <w:position w:val="11"/>
          <w:sz w:val="16"/>
        </w:rPr>
        <w:t>3 </w:t>
      </w:r>
      <w:r>
        <w:rPr/>
        <w:t>The parties agreed that no evidentiary hearing was required regarding Nedoff. 3/26/14 Tr. at 141.</w:t>
      </w:r>
    </w:p>
    <w:p>
      <w:pPr>
        <w:spacing w:after="0"/>
        <w:jc w:val="both"/>
        <w:sectPr>
          <w:headerReference w:type="default" r:id="rId8"/>
          <w:pgSz w:w="12240" w:h="15840"/>
          <w:pgMar w:header="283" w:footer="1019" w:top="1340" w:bottom="1200" w:left="1320" w:right="1320"/>
          <w:pgNumType w:start="3"/>
        </w:sectPr>
      </w:pPr>
    </w:p>
    <w:p>
      <w:pPr>
        <w:pStyle w:val="BodyText"/>
        <w:spacing w:line="480" w:lineRule="auto" w:before="89"/>
        <w:ind w:right="102" w:firstLine="720"/>
      </w:pPr>
      <w:r>
        <w:rPr/>
        <w:t>Rule 702 places a special obligation on the trial court to be a gatekeeper, ensuring that “any and all scientific testimony or evidence admitted is not only relevant, but reliable.” </w:t>
      </w:r>
      <w:r>
        <w:rPr>
          <w:u w:val="single"/>
        </w:rPr>
        <w:t>Daubert</w:t>
      </w:r>
    </w:p>
    <w:p>
      <w:pPr>
        <w:pStyle w:val="ListParagraph"/>
        <w:numPr>
          <w:ilvl w:val="0"/>
          <w:numId w:val="3"/>
        </w:numPr>
        <w:tabs>
          <w:tab w:pos="401" w:val="left" w:leader="none"/>
          <w:tab w:pos="6646" w:val="left" w:leader="none"/>
        </w:tabs>
        <w:spacing w:line="240" w:lineRule="auto" w:before="0" w:after="0"/>
        <w:ind w:left="400" w:right="0" w:hanging="280"/>
        <w:jc w:val="left"/>
        <w:rPr>
          <w:sz w:val="24"/>
        </w:rPr>
      </w:pPr>
      <w:r>
        <w:rPr>
          <w:sz w:val="24"/>
          <w:u w:val="single"/>
        </w:rPr>
        <w:t>Merrell</w:t>
      </w:r>
      <w:r>
        <w:rPr>
          <w:spacing w:val="36"/>
          <w:sz w:val="24"/>
          <w:u w:val="single"/>
        </w:rPr>
        <w:t> </w:t>
      </w:r>
      <w:r>
        <w:rPr>
          <w:sz w:val="24"/>
          <w:u w:val="single"/>
        </w:rPr>
        <w:t>Dow</w:t>
      </w:r>
      <w:r>
        <w:rPr>
          <w:spacing w:val="37"/>
          <w:sz w:val="24"/>
          <w:u w:val="single"/>
        </w:rPr>
        <w:t> </w:t>
      </w:r>
      <w:r>
        <w:rPr>
          <w:sz w:val="24"/>
          <w:u w:val="single"/>
        </w:rPr>
        <w:t>Pharms.,</w:t>
      </w:r>
      <w:r>
        <w:rPr>
          <w:spacing w:val="37"/>
          <w:sz w:val="24"/>
          <w:u w:val="single"/>
        </w:rPr>
        <w:t> </w:t>
      </w:r>
      <w:r>
        <w:rPr>
          <w:sz w:val="24"/>
          <w:u w:val="single"/>
        </w:rPr>
        <w:t>Inc.</w:t>
      </w:r>
      <w:r>
        <w:rPr>
          <w:sz w:val="24"/>
        </w:rPr>
        <w:t>,</w:t>
      </w:r>
      <w:r>
        <w:rPr>
          <w:spacing w:val="37"/>
          <w:sz w:val="24"/>
        </w:rPr>
        <w:t> </w:t>
      </w:r>
      <w:r>
        <w:rPr>
          <w:sz w:val="24"/>
        </w:rPr>
        <w:t>509</w:t>
      </w:r>
      <w:r>
        <w:rPr>
          <w:spacing w:val="37"/>
          <w:sz w:val="24"/>
        </w:rPr>
        <w:t> </w:t>
      </w:r>
      <w:r>
        <w:rPr>
          <w:sz w:val="24"/>
        </w:rPr>
        <w:t>U.S.</w:t>
      </w:r>
      <w:r>
        <w:rPr>
          <w:spacing w:val="36"/>
          <w:sz w:val="24"/>
        </w:rPr>
        <w:t> </w:t>
      </w:r>
      <w:r>
        <w:rPr>
          <w:sz w:val="24"/>
        </w:rPr>
        <w:t>579,</w:t>
      </w:r>
      <w:r>
        <w:rPr>
          <w:spacing w:val="37"/>
          <w:sz w:val="24"/>
        </w:rPr>
        <w:t> </w:t>
      </w:r>
      <w:r>
        <w:rPr>
          <w:sz w:val="24"/>
        </w:rPr>
        <w:t>589,</w:t>
      </w:r>
      <w:r>
        <w:rPr>
          <w:spacing w:val="37"/>
          <w:sz w:val="24"/>
        </w:rPr>
        <w:t> </w:t>
      </w:r>
      <w:r>
        <w:rPr>
          <w:sz w:val="24"/>
        </w:rPr>
        <w:t>597</w:t>
      </w:r>
      <w:r>
        <w:rPr>
          <w:spacing w:val="37"/>
          <w:sz w:val="24"/>
        </w:rPr>
        <w:t> </w:t>
      </w:r>
      <w:r>
        <w:rPr>
          <w:sz w:val="24"/>
        </w:rPr>
        <w:t>(1993).</w:t>
        <w:tab/>
        <w:t>In </w:t>
      </w:r>
      <w:r>
        <w:rPr>
          <w:sz w:val="24"/>
          <w:u w:val="single"/>
        </w:rPr>
        <w:t>Kumho Tire Company</w:t>
      </w:r>
      <w:r>
        <w:rPr>
          <w:spacing w:val="-26"/>
          <w:sz w:val="24"/>
          <w:u w:val="single"/>
        </w:rPr>
        <w:t> </w:t>
      </w:r>
      <w:r>
        <w:rPr>
          <w:sz w:val="24"/>
          <w:u w:val="single"/>
        </w:rPr>
        <w:t>v.</w:t>
      </w:r>
    </w:p>
    <w:p>
      <w:pPr>
        <w:pStyle w:val="BodyText"/>
        <w:spacing w:before="2"/>
        <w:ind w:left="0"/>
        <w:rPr>
          <w:sz w:val="16"/>
        </w:rPr>
      </w:pPr>
    </w:p>
    <w:p>
      <w:pPr>
        <w:pStyle w:val="BodyText"/>
        <w:spacing w:before="90"/>
      </w:pPr>
      <w:r>
        <w:rPr>
          <w:u w:val="single"/>
        </w:rPr>
        <w:t>Carmichael</w:t>
      </w:r>
      <w:r>
        <w:rPr/>
        <w:t>,</w:t>
      </w:r>
      <w:r>
        <w:rPr>
          <w:spacing w:val="9"/>
        </w:rPr>
        <w:t> </w:t>
      </w:r>
      <w:r>
        <w:rPr/>
        <w:t>526</w:t>
      </w:r>
      <w:r>
        <w:rPr>
          <w:spacing w:val="10"/>
        </w:rPr>
        <w:t> </w:t>
      </w:r>
      <w:r>
        <w:rPr/>
        <w:t>U.S.</w:t>
      </w:r>
      <w:r>
        <w:rPr>
          <w:spacing w:val="9"/>
        </w:rPr>
        <w:t> </w:t>
      </w:r>
      <w:r>
        <w:rPr/>
        <w:t>137</w:t>
      </w:r>
      <w:r>
        <w:rPr>
          <w:spacing w:val="10"/>
        </w:rPr>
        <w:t> </w:t>
      </w:r>
      <w:r>
        <w:rPr/>
        <w:t>(1999),</w:t>
      </w:r>
      <w:r>
        <w:rPr>
          <w:spacing w:val="10"/>
        </w:rPr>
        <w:t> </w:t>
      </w:r>
      <w:r>
        <w:rPr/>
        <w:t>the</w:t>
      </w:r>
      <w:r>
        <w:rPr>
          <w:spacing w:val="9"/>
        </w:rPr>
        <w:t> </w:t>
      </w:r>
      <w:r>
        <w:rPr/>
        <w:t>Supreme</w:t>
      </w:r>
      <w:r>
        <w:rPr>
          <w:spacing w:val="11"/>
        </w:rPr>
        <w:t> </w:t>
      </w:r>
      <w:r>
        <w:rPr/>
        <w:t>Court</w:t>
      </w:r>
      <w:r>
        <w:rPr>
          <w:spacing w:val="10"/>
        </w:rPr>
        <w:t> </w:t>
      </w:r>
      <w:r>
        <w:rPr/>
        <w:t>clarified</w:t>
      </w:r>
      <w:r>
        <w:rPr>
          <w:spacing w:val="9"/>
        </w:rPr>
        <w:t> </w:t>
      </w:r>
      <w:r>
        <w:rPr/>
        <w:t>that</w:t>
      </w:r>
      <w:r>
        <w:rPr>
          <w:spacing w:val="9"/>
        </w:rPr>
        <w:t> </w:t>
      </w:r>
      <w:r>
        <w:rPr/>
        <w:t>the</w:t>
      </w:r>
      <w:r>
        <w:rPr>
          <w:spacing w:val="9"/>
        </w:rPr>
        <w:t> </w:t>
      </w:r>
      <w:r>
        <w:rPr/>
        <w:t>“gatekeeping</w:t>
      </w:r>
      <w:r>
        <w:rPr>
          <w:spacing w:val="8"/>
        </w:rPr>
        <w:t> </w:t>
      </w:r>
      <w:r>
        <w:rPr/>
        <w:t>obligation”</w:t>
      </w:r>
    </w:p>
    <w:p>
      <w:pPr>
        <w:pStyle w:val="BodyText"/>
        <w:spacing w:before="2"/>
        <w:ind w:left="0"/>
        <w:rPr>
          <w:sz w:val="16"/>
        </w:rPr>
      </w:pPr>
    </w:p>
    <w:p>
      <w:pPr>
        <w:pStyle w:val="BodyText"/>
        <w:spacing w:line="480" w:lineRule="auto" w:before="90"/>
        <w:ind w:right="115"/>
        <w:jc w:val="both"/>
      </w:pPr>
      <w:r>
        <w:rPr/>
        <w:t>is not limited to “scientific” expert testimony, but applies to all expert testimony. In other words, Rule 702 requires a district court to satisfy itself that the proposed expert testimony will assist the</w:t>
      </w:r>
      <w:r>
        <w:rPr>
          <w:spacing w:val="13"/>
        </w:rPr>
        <w:t> </w:t>
      </w:r>
      <w:r>
        <w:rPr/>
        <w:t>jury,</w:t>
      </w:r>
      <w:r>
        <w:rPr>
          <w:spacing w:val="14"/>
        </w:rPr>
        <w:t> </w:t>
      </w:r>
      <w:r>
        <w:rPr/>
        <w:t>before</w:t>
      </w:r>
      <w:r>
        <w:rPr>
          <w:spacing w:val="13"/>
        </w:rPr>
        <w:t> </w:t>
      </w:r>
      <w:r>
        <w:rPr/>
        <w:t>permitting</w:t>
      </w:r>
      <w:r>
        <w:rPr>
          <w:spacing w:val="14"/>
        </w:rPr>
        <w:t> </w:t>
      </w:r>
      <w:r>
        <w:rPr/>
        <w:t>the</w:t>
      </w:r>
      <w:r>
        <w:rPr>
          <w:spacing w:val="14"/>
        </w:rPr>
        <w:t> </w:t>
      </w:r>
      <w:r>
        <w:rPr/>
        <w:t>jury</w:t>
      </w:r>
      <w:r>
        <w:rPr>
          <w:spacing w:val="13"/>
        </w:rPr>
        <w:t> </w:t>
      </w:r>
      <w:r>
        <w:rPr/>
        <w:t>to</w:t>
      </w:r>
      <w:r>
        <w:rPr>
          <w:spacing w:val="14"/>
        </w:rPr>
        <w:t> </w:t>
      </w:r>
      <w:r>
        <w:rPr/>
        <w:t>assess</w:t>
      </w:r>
      <w:r>
        <w:rPr>
          <w:spacing w:val="14"/>
        </w:rPr>
        <w:t> </w:t>
      </w:r>
      <w:r>
        <w:rPr/>
        <w:t>such</w:t>
      </w:r>
      <w:r>
        <w:rPr>
          <w:spacing w:val="13"/>
        </w:rPr>
        <w:t> </w:t>
      </w:r>
      <w:r>
        <w:rPr/>
        <w:t>testimony. </w:t>
      </w:r>
      <w:r>
        <w:rPr>
          <w:spacing w:val="28"/>
        </w:rPr>
        <w:t> </w:t>
      </w:r>
      <w:r>
        <w:rPr>
          <w:u w:val="single"/>
        </w:rPr>
        <w:t>Id.</w:t>
      </w:r>
      <w:r>
        <w:rPr>
          <w:spacing w:val="13"/>
        </w:rPr>
        <w:t> </w:t>
      </w:r>
      <w:r>
        <w:rPr/>
        <w:t>at</w:t>
      </w:r>
      <w:r>
        <w:rPr>
          <w:spacing w:val="14"/>
        </w:rPr>
        <w:t> </w:t>
      </w:r>
      <w:r>
        <w:rPr/>
        <w:t>148-149. </w:t>
      </w:r>
      <w:r>
        <w:rPr>
          <w:spacing w:val="27"/>
        </w:rPr>
        <w:t> </w:t>
      </w:r>
      <w:r>
        <w:rPr/>
        <w:t>The</w:t>
      </w:r>
      <w:r>
        <w:rPr>
          <w:spacing w:val="14"/>
        </w:rPr>
        <w:t> </w:t>
      </w:r>
      <w:r>
        <w:rPr/>
        <w:t>proponent</w:t>
      </w:r>
      <w:r>
        <w:rPr>
          <w:spacing w:val="13"/>
        </w:rPr>
        <w:t> </w:t>
      </w:r>
      <w:r>
        <w:rPr/>
        <w:t>of</w:t>
      </w:r>
    </w:p>
    <w:p>
      <w:pPr>
        <w:pStyle w:val="BodyText"/>
      </w:pPr>
      <w:r>
        <w:rPr/>
        <w:t>the expert must establish admissibility by a preponderance of the evidence.  </w:t>
      </w:r>
      <w:r>
        <w:rPr>
          <w:u w:val="single"/>
        </w:rPr>
        <w:t>Nelson v. Tenn.</w:t>
      </w:r>
      <w:r>
        <w:rPr>
          <w:spacing w:val="41"/>
          <w:u w:val="single"/>
        </w:rPr>
        <w:t> </w:t>
      </w:r>
      <w:r>
        <w:rPr>
          <w:u w:val="single"/>
        </w:rPr>
        <w:t>Gas</w:t>
      </w:r>
    </w:p>
    <w:p>
      <w:pPr>
        <w:pStyle w:val="BodyText"/>
        <w:spacing w:before="2"/>
        <w:ind w:left="0"/>
        <w:rPr>
          <w:sz w:val="16"/>
        </w:rPr>
      </w:pPr>
    </w:p>
    <w:p>
      <w:pPr>
        <w:pStyle w:val="BodyText"/>
        <w:spacing w:before="90"/>
      </w:pPr>
      <w:r>
        <w:rPr>
          <w:u w:val="single"/>
        </w:rPr>
        <w:t>Pipeline,</w:t>
      </w:r>
      <w:r>
        <w:rPr>
          <w:spacing w:val="32"/>
          <w:u w:val="single"/>
        </w:rPr>
        <w:t> </w:t>
      </w:r>
      <w:r>
        <w:rPr>
          <w:u w:val="single"/>
        </w:rPr>
        <w:t>Co.</w:t>
      </w:r>
      <w:r>
        <w:rPr/>
        <w:t>,</w:t>
      </w:r>
      <w:r>
        <w:rPr>
          <w:spacing w:val="33"/>
        </w:rPr>
        <w:t> </w:t>
      </w:r>
      <w:r>
        <w:rPr/>
        <w:t>243</w:t>
      </w:r>
      <w:r>
        <w:rPr>
          <w:spacing w:val="33"/>
        </w:rPr>
        <w:t> </w:t>
      </w:r>
      <w:r>
        <w:rPr/>
        <w:t>F.3d</w:t>
      </w:r>
      <w:r>
        <w:rPr>
          <w:spacing w:val="33"/>
        </w:rPr>
        <w:t> </w:t>
      </w:r>
      <w:r>
        <w:rPr/>
        <w:t>244,</w:t>
      </w:r>
      <w:r>
        <w:rPr>
          <w:spacing w:val="33"/>
        </w:rPr>
        <w:t> </w:t>
      </w:r>
      <w:r>
        <w:rPr/>
        <w:t>251</w:t>
      </w:r>
      <w:r>
        <w:rPr>
          <w:spacing w:val="33"/>
        </w:rPr>
        <w:t> </w:t>
      </w:r>
      <w:r>
        <w:rPr/>
        <w:t>(6th</w:t>
      </w:r>
      <w:r>
        <w:rPr>
          <w:spacing w:val="32"/>
        </w:rPr>
        <w:t> </w:t>
      </w:r>
      <w:r>
        <w:rPr/>
        <w:t>Cir.</w:t>
      </w:r>
      <w:r>
        <w:rPr>
          <w:spacing w:val="33"/>
        </w:rPr>
        <w:t> </w:t>
      </w:r>
      <w:r>
        <w:rPr/>
        <w:t>2001).  </w:t>
      </w:r>
      <w:r>
        <w:rPr>
          <w:spacing w:val="7"/>
        </w:rPr>
        <w:t> </w:t>
      </w:r>
      <w:r>
        <w:rPr/>
        <w:t>These</w:t>
      </w:r>
      <w:r>
        <w:rPr>
          <w:spacing w:val="33"/>
        </w:rPr>
        <w:t> </w:t>
      </w:r>
      <w:r>
        <w:rPr/>
        <w:t>same</w:t>
      </w:r>
      <w:r>
        <w:rPr>
          <w:spacing w:val="34"/>
        </w:rPr>
        <w:t> </w:t>
      </w:r>
      <w:r>
        <w:rPr/>
        <w:t>principles</w:t>
      </w:r>
      <w:r>
        <w:rPr>
          <w:spacing w:val="32"/>
        </w:rPr>
        <w:t> </w:t>
      </w:r>
      <w:r>
        <w:rPr/>
        <w:t>are</w:t>
      </w:r>
      <w:r>
        <w:rPr>
          <w:spacing w:val="33"/>
        </w:rPr>
        <w:t> </w:t>
      </w:r>
      <w:r>
        <w:rPr/>
        <w:t>used</w:t>
      </w:r>
      <w:r>
        <w:rPr>
          <w:spacing w:val="33"/>
        </w:rPr>
        <w:t> </w:t>
      </w:r>
      <w:r>
        <w:rPr/>
        <w:t>to</w:t>
      </w:r>
      <w:r>
        <w:rPr>
          <w:spacing w:val="33"/>
        </w:rPr>
        <w:t> </w:t>
      </w:r>
      <w:r>
        <w:rPr/>
        <w:t>analyze</w:t>
      </w:r>
    </w:p>
    <w:p>
      <w:pPr>
        <w:pStyle w:val="BodyText"/>
        <w:spacing w:before="2"/>
        <w:ind w:left="0"/>
        <w:rPr>
          <w:sz w:val="16"/>
        </w:rPr>
      </w:pPr>
    </w:p>
    <w:p>
      <w:pPr>
        <w:pStyle w:val="BodyText"/>
        <w:spacing w:before="90"/>
      </w:pPr>
      <w:r>
        <w:rPr/>
        <w:t>whether</w:t>
      </w:r>
      <w:r>
        <w:rPr>
          <w:spacing w:val="16"/>
        </w:rPr>
        <w:t> </w:t>
      </w:r>
      <w:r>
        <w:rPr/>
        <w:t>a</w:t>
      </w:r>
      <w:r>
        <w:rPr>
          <w:spacing w:val="16"/>
        </w:rPr>
        <w:t> </w:t>
      </w:r>
      <w:r>
        <w:rPr/>
        <w:t>law</w:t>
      </w:r>
      <w:r>
        <w:rPr>
          <w:spacing w:val="17"/>
        </w:rPr>
        <w:t> </w:t>
      </w:r>
      <w:r>
        <w:rPr/>
        <w:t>enforcement</w:t>
      </w:r>
      <w:r>
        <w:rPr>
          <w:spacing w:val="16"/>
        </w:rPr>
        <w:t> </w:t>
      </w:r>
      <w:r>
        <w:rPr/>
        <w:t>officer</w:t>
      </w:r>
      <w:r>
        <w:rPr>
          <w:spacing w:val="15"/>
        </w:rPr>
        <w:t> </w:t>
      </w:r>
      <w:r>
        <w:rPr/>
        <w:t>may</w:t>
      </w:r>
      <w:r>
        <w:rPr>
          <w:spacing w:val="17"/>
        </w:rPr>
        <w:t> </w:t>
      </w:r>
      <w:r>
        <w:rPr/>
        <w:t>testify</w:t>
      </w:r>
      <w:r>
        <w:rPr>
          <w:spacing w:val="18"/>
        </w:rPr>
        <w:t> </w:t>
      </w:r>
      <w:r>
        <w:rPr/>
        <w:t>in</w:t>
      </w:r>
      <w:r>
        <w:rPr>
          <w:spacing w:val="17"/>
        </w:rPr>
        <w:t> </w:t>
      </w:r>
      <w:r>
        <w:rPr/>
        <w:t>the</w:t>
      </w:r>
      <w:r>
        <w:rPr>
          <w:spacing w:val="17"/>
        </w:rPr>
        <w:t> </w:t>
      </w:r>
      <w:r>
        <w:rPr/>
        <w:t>criminal</w:t>
      </w:r>
      <w:r>
        <w:rPr>
          <w:spacing w:val="18"/>
        </w:rPr>
        <w:t> </w:t>
      </w:r>
      <w:r>
        <w:rPr/>
        <w:t>context. </w:t>
      </w:r>
      <w:r>
        <w:rPr>
          <w:spacing w:val="34"/>
        </w:rPr>
        <w:t> </w:t>
      </w:r>
      <w:r>
        <w:rPr>
          <w:u w:val="single"/>
        </w:rPr>
        <w:t>United</w:t>
      </w:r>
      <w:r>
        <w:rPr>
          <w:spacing w:val="17"/>
          <w:u w:val="single"/>
        </w:rPr>
        <w:t> </w:t>
      </w:r>
      <w:r>
        <w:rPr>
          <w:u w:val="single"/>
        </w:rPr>
        <w:t>States</w:t>
      </w:r>
      <w:r>
        <w:rPr>
          <w:spacing w:val="18"/>
          <w:u w:val="single"/>
        </w:rPr>
        <w:t> </w:t>
      </w:r>
      <w:r>
        <w:rPr>
          <w:u w:val="single"/>
        </w:rPr>
        <w:t>v.</w:t>
      </w:r>
      <w:r>
        <w:rPr>
          <w:spacing w:val="17"/>
          <w:u w:val="single"/>
        </w:rPr>
        <w:t> </w:t>
      </w:r>
      <w:r>
        <w:rPr>
          <w:u w:val="single"/>
        </w:rPr>
        <w:t>Harris</w:t>
      </w:r>
      <w:r>
        <w:rPr/>
        <w:t>,</w:t>
      </w:r>
    </w:p>
    <w:p>
      <w:pPr>
        <w:pStyle w:val="BodyText"/>
        <w:spacing w:before="2"/>
        <w:ind w:left="0"/>
        <w:rPr>
          <w:sz w:val="16"/>
        </w:rPr>
      </w:pPr>
    </w:p>
    <w:p>
      <w:pPr>
        <w:pStyle w:val="BodyText"/>
        <w:spacing w:before="90"/>
      </w:pPr>
      <w:r>
        <w:rPr/>
        <w:t>192 F.3d 580, 588 (6th Cir. 1999).</w:t>
      </w:r>
    </w:p>
    <w:p>
      <w:pPr>
        <w:pStyle w:val="BodyText"/>
        <w:ind w:left="0"/>
      </w:pPr>
    </w:p>
    <w:p>
      <w:pPr>
        <w:pStyle w:val="BodyText"/>
        <w:spacing w:line="480" w:lineRule="auto"/>
        <w:ind w:right="116" w:firstLine="720"/>
        <w:jc w:val="both"/>
      </w:pPr>
      <w:r>
        <w:rPr/>
        <w:t>With these principles at hand, the Court first proceeds to examine whether Nedoff’s proposed testimony concerning the sale and distribution of narcotics is admissible, and concludes that it is. The Court then examines Bornstein’s proposed testimony regarding gangs, and determines that it is not admissible.</w:t>
      </w:r>
    </w:p>
    <w:p>
      <w:pPr>
        <w:pStyle w:val="Heading1"/>
        <w:numPr>
          <w:ilvl w:val="1"/>
          <w:numId w:val="3"/>
        </w:numPr>
        <w:tabs>
          <w:tab w:pos="1200" w:val="left" w:leader="none"/>
        </w:tabs>
        <w:spacing w:line="240" w:lineRule="auto" w:before="2" w:after="0"/>
        <w:ind w:left="1200" w:right="0" w:hanging="360"/>
        <w:jc w:val="left"/>
      </w:pPr>
      <w:r>
        <w:rPr/>
        <w:t>Agent</w:t>
      </w:r>
      <w:r>
        <w:rPr>
          <w:spacing w:val="-2"/>
        </w:rPr>
        <w:t> </w:t>
      </w:r>
      <w:r>
        <w:rPr/>
        <w:t>Nedoff</w:t>
      </w:r>
    </w:p>
    <w:p>
      <w:pPr>
        <w:pStyle w:val="BodyText"/>
        <w:ind w:left="0"/>
        <w:rPr>
          <w:b/>
        </w:rPr>
      </w:pPr>
    </w:p>
    <w:p>
      <w:pPr>
        <w:pStyle w:val="ListParagraph"/>
        <w:numPr>
          <w:ilvl w:val="2"/>
          <w:numId w:val="3"/>
        </w:numPr>
        <w:tabs>
          <w:tab w:pos="1920" w:val="left" w:leader="none"/>
        </w:tabs>
        <w:spacing w:line="240" w:lineRule="auto" w:before="0" w:after="0"/>
        <w:ind w:left="1920" w:right="0" w:hanging="360"/>
        <w:jc w:val="left"/>
        <w:rPr>
          <w:b/>
          <w:sz w:val="24"/>
        </w:rPr>
      </w:pPr>
      <w:r>
        <w:rPr>
          <w:b/>
          <w:sz w:val="24"/>
        </w:rPr>
        <w:t>The Proposed Testimony of Agent</w:t>
      </w:r>
      <w:r>
        <w:rPr>
          <w:b/>
          <w:spacing w:val="-1"/>
          <w:sz w:val="24"/>
        </w:rPr>
        <w:t> </w:t>
      </w:r>
      <w:r>
        <w:rPr>
          <w:b/>
          <w:sz w:val="24"/>
        </w:rPr>
        <w:t>Nedoff</w:t>
      </w:r>
    </w:p>
    <w:p>
      <w:pPr>
        <w:pStyle w:val="BodyText"/>
        <w:spacing w:before="9"/>
        <w:ind w:left="0"/>
        <w:rPr>
          <w:b/>
          <w:sz w:val="23"/>
        </w:rPr>
      </w:pPr>
    </w:p>
    <w:p>
      <w:pPr>
        <w:pStyle w:val="BodyText"/>
        <w:spacing w:line="480" w:lineRule="auto"/>
        <w:ind w:right="117" w:firstLine="720"/>
        <w:jc w:val="both"/>
      </w:pPr>
      <w:r>
        <w:rPr/>
        <w:t>The Government proposes that Nedoff testify as a drug-trafficking expert regarding “the common practices employed by individuals who sell illegal narcotics and conduct that would be consistent with distribution and/or an intent to distribute.” Gov’t Supp. Disclosure (Dkt. 333). The Government further states that Nedoff will provide the following specific opinions:</w:t>
      </w:r>
    </w:p>
    <w:p>
      <w:pPr>
        <w:pStyle w:val="ListParagraph"/>
        <w:numPr>
          <w:ilvl w:val="0"/>
          <w:numId w:val="4"/>
        </w:numPr>
        <w:tabs>
          <w:tab w:pos="1559" w:val="left" w:leader="none"/>
          <w:tab w:pos="1560" w:val="left" w:leader="none"/>
        </w:tabs>
        <w:spacing w:line="240" w:lineRule="auto" w:before="1" w:after="0"/>
        <w:ind w:left="1560" w:right="117" w:hanging="360"/>
        <w:jc w:val="left"/>
        <w:rPr>
          <w:sz w:val="24"/>
        </w:rPr>
      </w:pPr>
      <w:r>
        <w:rPr>
          <w:sz w:val="24"/>
        </w:rPr>
        <w:t>cocaine is distributed from source countries to “mid-level” and “low-level” dealers;</w:t>
      </w:r>
    </w:p>
    <w:p>
      <w:pPr>
        <w:pStyle w:val="ListParagraph"/>
        <w:numPr>
          <w:ilvl w:val="0"/>
          <w:numId w:val="4"/>
        </w:numPr>
        <w:tabs>
          <w:tab w:pos="1559" w:val="left" w:leader="none"/>
          <w:tab w:pos="1560" w:val="left" w:leader="none"/>
        </w:tabs>
        <w:spacing w:line="293" w:lineRule="exact" w:before="0" w:after="0"/>
        <w:ind w:left="1560" w:right="0" w:hanging="360"/>
        <w:jc w:val="left"/>
        <w:rPr>
          <w:sz w:val="24"/>
        </w:rPr>
      </w:pPr>
      <w:r>
        <w:rPr>
          <w:sz w:val="24"/>
        </w:rPr>
        <w:t>“low-level” and “street-level” drug dealers coordinate their</w:t>
      </w:r>
      <w:r>
        <w:rPr>
          <w:spacing w:val="-10"/>
          <w:sz w:val="24"/>
        </w:rPr>
        <w:t> </w:t>
      </w:r>
      <w:r>
        <w:rPr>
          <w:sz w:val="24"/>
        </w:rPr>
        <w:t>activities;</w:t>
      </w:r>
    </w:p>
    <w:p>
      <w:pPr>
        <w:pStyle w:val="ListParagraph"/>
        <w:numPr>
          <w:ilvl w:val="0"/>
          <w:numId w:val="4"/>
        </w:numPr>
        <w:tabs>
          <w:tab w:pos="1559" w:val="left" w:leader="none"/>
          <w:tab w:pos="1560" w:val="left" w:leader="none"/>
        </w:tabs>
        <w:spacing w:line="240" w:lineRule="auto" w:before="0" w:after="0"/>
        <w:ind w:left="1560" w:right="0" w:hanging="360"/>
        <w:jc w:val="left"/>
        <w:rPr>
          <w:sz w:val="24"/>
        </w:rPr>
      </w:pPr>
      <w:r>
        <w:rPr>
          <w:sz w:val="24"/>
        </w:rPr>
        <w:t>powder cocaine is turned into crack</w:t>
      </w:r>
      <w:r>
        <w:rPr>
          <w:spacing w:val="-7"/>
          <w:sz w:val="24"/>
        </w:rPr>
        <w:t> </w:t>
      </w:r>
      <w:r>
        <w:rPr>
          <w:sz w:val="24"/>
        </w:rPr>
        <w:t>cocaine;</w:t>
      </w:r>
    </w:p>
    <w:p>
      <w:pPr>
        <w:spacing w:after="0" w:line="240" w:lineRule="auto"/>
        <w:jc w:val="left"/>
        <w:rPr>
          <w:sz w:val="24"/>
        </w:rPr>
        <w:sectPr>
          <w:headerReference w:type="default" r:id="rId9"/>
          <w:pgSz w:w="12240" w:h="15840"/>
          <w:pgMar w:header="283" w:footer="1019" w:top="1340" w:bottom="1200" w:left="1320" w:right="1320"/>
        </w:sectPr>
      </w:pPr>
    </w:p>
    <w:p>
      <w:pPr>
        <w:pStyle w:val="ListParagraph"/>
        <w:numPr>
          <w:ilvl w:val="0"/>
          <w:numId w:val="4"/>
        </w:numPr>
        <w:tabs>
          <w:tab w:pos="1559" w:val="left" w:leader="none"/>
          <w:tab w:pos="1560" w:val="left" w:leader="none"/>
        </w:tabs>
        <w:spacing w:line="293" w:lineRule="exact" w:before="90" w:after="0"/>
        <w:ind w:left="1560" w:right="0" w:hanging="360"/>
        <w:jc w:val="left"/>
        <w:rPr>
          <w:sz w:val="24"/>
        </w:rPr>
      </w:pPr>
      <w:r>
        <w:rPr>
          <w:sz w:val="24"/>
        </w:rPr>
        <w:t>“low-level” dealers distribute narcotics in plastic</w:t>
      </w:r>
      <w:r>
        <w:rPr>
          <w:spacing w:val="-10"/>
          <w:sz w:val="24"/>
        </w:rPr>
        <w:t> </w:t>
      </w:r>
      <w:r>
        <w:rPr>
          <w:sz w:val="24"/>
        </w:rPr>
        <w:t>baggies;</w:t>
      </w:r>
    </w:p>
    <w:p>
      <w:pPr>
        <w:pStyle w:val="ListParagraph"/>
        <w:numPr>
          <w:ilvl w:val="0"/>
          <w:numId w:val="4"/>
        </w:numPr>
        <w:tabs>
          <w:tab w:pos="1559" w:val="left" w:leader="none"/>
          <w:tab w:pos="1560" w:val="left" w:leader="none"/>
        </w:tabs>
        <w:spacing w:line="293" w:lineRule="exact" w:before="0" w:after="0"/>
        <w:ind w:left="1560" w:right="0" w:hanging="360"/>
        <w:jc w:val="left"/>
        <w:rPr>
          <w:sz w:val="24"/>
        </w:rPr>
      </w:pPr>
      <w:r>
        <w:rPr>
          <w:sz w:val="24"/>
        </w:rPr>
        <w:t>drug dealers almost always conduct their transactions in</w:t>
      </w:r>
      <w:r>
        <w:rPr>
          <w:spacing w:val="-5"/>
          <w:sz w:val="24"/>
        </w:rPr>
        <w:t> </w:t>
      </w:r>
      <w:r>
        <w:rPr>
          <w:sz w:val="24"/>
        </w:rPr>
        <w:t>cash;</w:t>
      </w:r>
    </w:p>
    <w:p>
      <w:pPr>
        <w:pStyle w:val="ListParagraph"/>
        <w:numPr>
          <w:ilvl w:val="0"/>
          <w:numId w:val="4"/>
        </w:numPr>
        <w:tabs>
          <w:tab w:pos="1559" w:val="left" w:leader="none"/>
          <w:tab w:pos="1560" w:val="left" w:leader="none"/>
        </w:tabs>
        <w:spacing w:line="240" w:lineRule="auto" w:before="0" w:after="0"/>
        <w:ind w:left="1560" w:right="115" w:hanging="360"/>
        <w:jc w:val="left"/>
        <w:rPr>
          <w:sz w:val="24"/>
        </w:rPr>
      </w:pPr>
      <w:r>
        <w:rPr>
          <w:sz w:val="24"/>
        </w:rPr>
        <w:t>it is common for drug dealers to possess scales, packaging materials, and firearms;</w:t>
      </w:r>
    </w:p>
    <w:p>
      <w:pPr>
        <w:pStyle w:val="ListParagraph"/>
        <w:numPr>
          <w:ilvl w:val="0"/>
          <w:numId w:val="4"/>
        </w:numPr>
        <w:tabs>
          <w:tab w:pos="1560" w:val="left" w:leader="none"/>
        </w:tabs>
        <w:spacing w:line="240" w:lineRule="auto" w:before="0" w:after="0"/>
        <w:ind w:left="1560" w:right="117" w:hanging="360"/>
        <w:jc w:val="both"/>
        <w:rPr>
          <w:sz w:val="24"/>
        </w:rPr>
      </w:pPr>
      <w:r>
        <w:rPr>
          <w:sz w:val="24"/>
        </w:rPr>
        <w:t>it is common for drug users, but not drug dealers, to possess drug paraphernalia, “which facilitates the use of the respective drug such as pipes, filters, straws, rolling papers, and blunts”;</w:t>
      </w:r>
      <w:r>
        <w:rPr>
          <w:spacing w:val="-6"/>
          <w:sz w:val="24"/>
        </w:rPr>
        <w:t> </w:t>
      </w:r>
      <w:r>
        <w:rPr>
          <w:sz w:val="24"/>
        </w:rPr>
        <w:t>and</w:t>
      </w:r>
    </w:p>
    <w:p>
      <w:pPr>
        <w:pStyle w:val="ListParagraph"/>
        <w:numPr>
          <w:ilvl w:val="0"/>
          <w:numId w:val="4"/>
        </w:numPr>
        <w:tabs>
          <w:tab w:pos="1559" w:val="left" w:leader="none"/>
          <w:tab w:pos="1560" w:val="left" w:leader="none"/>
        </w:tabs>
        <w:spacing w:line="240" w:lineRule="auto" w:before="0" w:after="0"/>
        <w:ind w:left="1560" w:right="117" w:hanging="360"/>
        <w:jc w:val="left"/>
        <w:rPr>
          <w:sz w:val="24"/>
        </w:rPr>
      </w:pPr>
      <w:r>
        <w:rPr>
          <w:sz w:val="24"/>
        </w:rPr>
        <w:t>drug dealers employ various means to evade law enforcement, such as using other people’s</w:t>
      </w:r>
      <w:r>
        <w:rPr>
          <w:spacing w:val="-1"/>
          <w:sz w:val="24"/>
        </w:rPr>
        <w:t> </w:t>
      </w:r>
      <w:r>
        <w:rPr>
          <w:sz w:val="24"/>
        </w:rPr>
        <w:t>vehicles.</w:t>
      </w:r>
    </w:p>
    <w:p>
      <w:pPr>
        <w:pStyle w:val="BodyText"/>
        <w:spacing w:before="6"/>
        <w:ind w:left="0"/>
        <w:rPr>
          <w:sz w:val="20"/>
        </w:rPr>
      </w:pPr>
    </w:p>
    <w:p>
      <w:pPr>
        <w:pStyle w:val="BodyText"/>
        <w:spacing w:line="480" w:lineRule="auto" w:before="1"/>
        <w:ind w:left="119"/>
      </w:pPr>
      <w:r>
        <w:rPr/>
        <w:t>Gov’t Am. Disclosure at 2-4 (Dkt. 382). Nedoff will formulate his opinions by drawing from his DEA training, investigative experience, and training of other law enforcement officers. </w:t>
      </w:r>
      <w:r>
        <w:rPr>
          <w:u w:val="single"/>
        </w:rPr>
        <w:t>Id.</w:t>
      </w:r>
      <w:r>
        <w:rPr/>
        <w:t> at 4-</w:t>
      </w:r>
    </w:p>
    <w:p>
      <w:pPr>
        <w:pStyle w:val="ListParagraph"/>
        <w:numPr>
          <w:ilvl w:val="0"/>
          <w:numId w:val="5"/>
        </w:numPr>
        <w:tabs>
          <w:tab w:pos="420" w:val="left" w:leader="none"/>
        </w:tabs>
        <w:spacing w:line="240" w:lineRule="auto" w:before="0" w:after="0"/>
        <w:ind w:left="419" w:right="0" w:hanging="299"/>
        <w:jc w:val="left"/>
        <w:rPr>
          <w:sz w:val="24"/>
        </w:rPr>
      </w:pPr>
      <w:r>
        <w:rPr>
          <w:sz w:val="24"/>
        </w:rPr>
        <w:t>Nedoff has testified three times as an expert on narcotics. </w:t>
      </w:r>
      <w:r>
        <w:rPr>
          <w:sz w:val="24"/>
          <w:u w:val="single"/>
        </w:rPr>
        <w:t>Id.</w:t>
      </w:r>
      <w:r>
        <w:rPr>
          <w:sz w:val="24"/>
        </w:rPr>
        <w:t> at</w:t>
      </w:r>
      <w:r>
        <w:rPr>
          <w:spacing w:val="-13"/>
          <w:sz w:val="24"/>
        </w:rPr>
        <w:t> </w:t>
      </w:r>
      <w:r>
        <w:rPr>
          <w:sz w:val="24"/>
        </w:rPr>
        <w:t>6-7.</w:t>
      </w:r>
    </w:p>
    <w:p>
      <w:pPr>
        <w:pStyle w:val="BodyText"/>
        <w:spacing w:before="3"/>
        <w:ind w:left="0"/>
        <w:rPr>
          <w:sz w:val="16"/>
        </w:rPr>
      </w:pPr>
    </w:p>
    <w:p>
      <w:pPr>
        <w:pStyle w:val="Heading1"/>
        <w:numPr>
          <w:ilvl w:val="1"/>
          <w:numId w:val="5"/>
        </w:numPr>
        <w:tabs>
          <w:tab w:pos="1920" w:val="left" w:leader="none"/>
        </w:tabs>
        <w:spacing w:line="240" w:lineRule="auto" w:before="90" w:after="0"/>
        <w:ind w:left="1920" w:right="0" w:hanging="360"/>
        <w:jc w:val="left"/>
      </w:pPr>
      <w:r>
        <w:rPr/>
        <w:t>The Parties’</w:t>
      </w:r>
      <w:r>
        <w:rPr>
          <w:spacing w:val="-1"/>
        </w:rPr>
        <w:t> </w:t>
      </w:r>
      <w:r>
        <w:rPr/>
        <w:t>Arguments</w:t>
      </w:r>
    </w:p>
    <w:p>
      <w:pPr>
        <w:pStyle w:val="BodyText"/>
        <w:spacing w:before="9"/>
        <w:ind w:left="0"/>
        <w:rPr>
          <w:b/>
          <w:sz w:val="23"/>
        </w:rPr>
      </w:pPr>
    </w:p>
    <w:p>
      <w:pPr>
        <w:pStyle w:val="BodyText"/>
        <w:spacing w:line="480" w:lineRule="auto"/>
        <w:ind w:right="114" w:firstLine="720"/>
        <w:jc w:val="both"/>
      </w:pPr>
      <w:r>
        <w:rPr/>
        <w:t>In attacking the Government’s proposed use of Nedoff, Defendants assert that the authority cited by the Government does not support the Government’s proffered testimony of Nedoff regarding drug trafficking in general. Gills Supp. Br. at 6-9 (Dkt. 345). Defendants demand that the Government provide more appropriate legal authority and/or more facts to substantiate</w:t>
      </w:r>
      <w:r>
        <w:rPr>
          <w:spacing w:val="13"/>
        </w:rPr>
        <w:t> </w:t>
      </w:r>
      <w:r>
        <w:rPr/>
        <w:t>Nedoff’s</w:t>
      </w:r>
      <w:r>
        <w:rPr>
          <w:spacing w:val="14"/>
        </w:rPr>
        <w:t> </w:t>
      </w:r>
      <w:r>
        <w:rPr/>
        <w:t>training</w:t>
      </w:r>
      <w:r>
        <w:rPr>
          <w:spacing w:val="13"/>
        </w:rPr>
        <w:t> </w:t>
      </w:r>
      <w:r>
        <w:rPr/>
        <w:t>and</w:t>
      </w:r>
      <w:r>
        <w:rPr>
          <w:spacing w:val="13"/>
        </w:rPr>
        <w:t> </w:t>
      </w:r>
      <w:r>
        <w:rPr/>
        <w:t>experience</w:t>
      </w:r>
      <w:r>
        <w:rPr>
          <w:spacing w:val="14"/>
        </w:rPr>
        <w:t> </w:t>
      </w:r>
      <w:r>
        <w:rPr/>
        <w:t>to</w:t>
      </w:r>
      <w:r>
        <w:rPr>
          <w:spacing w:val="13"/>
        </w:rPr>
        <w:t> </w:t>
      </w:r>
      <w:r>
        <w:rPr/>
        <w:t>qualify</w:t>
      </w:r>
      <w:r>
        <w:rPr>
          <w:spacing w:val="14"/>
        </w:rPr>
        <w:t> </w:t>
      </w:r>
      <w:r>
        <w:rPr/>
        <w:t>him</w:t>
      </w:r>
      <w:r>
        <w:rPr>
          <w:spacing w:val="12"/>
        </w:rPr>
        <w:t> </w:t>
      </w:r>
      <w:r>
        <w:rPr/>
        <w:t>as</w:t>
      </w:r>
      <w:r>
        <w:rPr>
          <w:spacing w:val="13"/>
        </w:rPr>
        <w:t> </w:t>
      </w:r>
      <w:r>
        <w:rPr/>
        <w:t>an</w:t>
      </w:r>
      <w:r>
        <w:rPr>
          <w:spacing w:val="14"/>
        </w:rPr>
        <w:t> </w:t>
      </w:r>
      <w:r>
        <w:rPr/>
        <w:t>expert. </w:t>
      </w:r>
      <w:r>
        <w:rPr>
          <w:spacing w:val="26"/>
        </w:rPr>
        <w:t> </w:t>
      </w:r>
      <w:r>
        <w:rPr>
          <w:u w:val="single"/>
        </w:rPr>
        <w:t>Id.</w:t>
      </w:r>
      <w:r>
        <w:rPr>
          <w:spacing w:val="14"/>
        </w:rPr>
        <w:t> </w:t>
      </w:r>
      <w:r>
        <w:rPr/>
        <w:t>at</w:t>
      </w:r>
      <w:r>
        <w:rPr>
          <w:spacing w:val="13"/>
        </w:rPr>
        <w:t> </w:t>
      </w:r>
      <w:r>
        <w:rPr/>
        <w:t>9. </w:t>
      </w:r>
      <w:r>
        <w:rPr>
          <w:spacing w:val="27"/>
        </w:rPr>
        <w:t> </w:t>
      </w:r>
      <w:r>
        <w:rPr/>
        <w:t>Defendants</w:t>
      </w:r>
    </w:p>
    <w:p>
      <w:pPr>
        <w:pStyle w:val="BodyText"/>
        <w:spacing w:line="480" w:lineRule="auto"/>
        <w:ind w:right="102"/>
      </w:pPr>
      <w:r>
        <w:rPr/>
        <w:t>argue that Nedoff lacks the specialized knowledge or reliable methods of analysis to qualify </w:t>
      </w:r>
      <w:r>
        <w:rPr>
          <w:spacing w:val="-4"/>
        </w:rPr>
        <w:t>him </w:t>
      </w:r>
      <w:r>
        <w:rPr/>
        <w:t>as</w:t>
      </w:r>
      <w:r>
        <w:rPr>
          <w:spacing w:val="26"/>
        </w:rPr>
        <w:t> </w:t>
      </w:r>
      <w:r>
        <w:rPr/>
        <w:t>an</w:t>
      </w:r>
      <w:r>
        <w:rPr>
          <w:spacing w:val="26"/>
        </w:rPr>
        <w:t> </w:t>
      </w:r>
      <w:r>
        <w:rPr/>
        <w:t>expert</w:t>
      </w:r>
      <w:r>
        <w:rPr>
          <w:spacing w:val="26"/>
        </w:rPr>
        <w:t> </w:t>
      </w:r>
      <w:r>
        <w:rPr/>
        <w:t>under</w:t>
      </w:r>
      <w:r>
        <w:rPr>
          <w:spacing w:val="26"/>
        </w:rPr>
        <w:t> </w:t>
      </w:r>
      <w:r>
        <w:rPr/>
        <w:t>Federal</w:t>
      </w:r>
      <w:r>
        <w:rPr>
          <w:spacing w:val="25"/>
        </w:rPr>
        <w:t> </w:t>
      </w:r>
      <w:r>
        <w:rPr/>
        <w:t>Rule</w:t>
      </w:r>
      <w:r>
        <w:rPr>
          <w:spacing w:val="26"/>
        </w:rPr>
        <w:t> </w:t>
      </w:r>
      <w:r>
        <w:rPr/>
        <w:t>of</w:t>
      </w:r>
      <w:r>
        <w:rPr>
          <w:spacing w:val="26"/>
        </w:rPr>
        <w:t> </w:t>
      </w:r>
      <w:r>
        <w:rPr/>
        <w:t>Evidence</w:t>
      </w:r>
      <w:r>
        <w:rPr>
          <w:spacing w:val="26"/>
        </w:rPr>
        <w:t> </w:t>
      </w:r>
      <w:r>
        <w:rPr/>
        <w:t>702. </w:t>
      </w:r>
      <w:r>
        <w:rPr>
          <w:spacing w:val="52"/>
        </w:rPr>
        <w:t> </w:t>
      </w:r>
      <w:r>
        <w:rPr>
          <w:u w:val="single"/>
        </w:rPr>
        <w:t>Id.</w:t>
      </w:r>
      <w:r>
        <w:rPr>
          <w:spacing w:val="26"/>
        </w:rPr>
        <w:t> </w:t>
      </w:r>
      <w:r>
        <w:rPr/>
        <w:t>at</w:t>
      </w:r>
      <w:r>
        <w:rPr>
          <w:spacing w:val="26"/>
        </w:rPr>
        <w:t> </w:t>
      </w:r>
      <w:r>
        <w:rPr/>
        <w:t>10-12. </w:t>
      </w:r>
      <w:r>
        <w:rPr>
          <w:spacing w:val="52"/>
        </w:rPr>
        <w:t> </w:t>
      </w:r>
      <w:r>
        <w:rPr/>
        <w:t>Defendants</w:t>
      </w:r>
      <w:r>
        <w:rPr>
          <w:spacing w:val="26"/>
        </w:rPr>
        <w:t> </w:t>
      </w:r>
      <w:r>
        <w:rPr/>
        <w:t>state</w:t>
      </w:r>
      <w:r>
        <w:rPr>
          <w:spacing w:val="26"/>
        </w:rPr>
        <w:t> </w:t>
      </w:r>
      <w:r>
        <w:rPr/>
        <w:t>that</w:t>
      </w:r>
      <w:r>
        <w:rPr>
          <w:spacing w:val="26"/>
        </w:rPr>
        <w:t> </w:t>
      </w:r>
      <w:r>
        <w:rPr/>
        <w:t>Nedoff</w:t>
      </w:r>
    </w:p>
    <w:p>
      <w:pPr>
        <w:pStyle w:val="BodyText"/>
        <w:spacing w:line="480" w:lineRule="auto"/>
        <w:ind w:right="116"/>
        <w:jc w:val="both"/>
      </w:pPr>
      <w:r>
        <w:rPr/>
        <w:t>should be prevented from opining that firearms are commonly associated with drug trafficking, unless the Court finds that “something more than assumptions and suppositions” supports that opinion.    </w:t>
      </w:r>
      <w:r>
        <w:rPr>
          <w:u w:val="single"/>
        </w:rPr>
        <w:t>Id.</w:t>
      </w:r>
      <w:r>
        <w:rPr/>
        <w:t>  at  12.    Defendants  further  argue  that  Nedoff’s  proposed  testimony  would</w:t>
      </w:r>
      <w:r>
        <w:rPr>
          <w:spacing w:val="27"/>
        </w:rPr>
        <w:t> </w:t>
      </w:r>
      <w:r>
        <w:rPr/>
        <w:t>be</w:t>
      </w:r>
    </w:p>
    <w:p>
      <w:pPr>
        <w:pStyle w:val="BodyText"/>
        <w:spacing w:line="480" w:lineRule="auto" w:before="1"/>
        <w:ind w:right="116"/>
        <w:jc w:val="both"/>
      </w:pPr>
      <w:r>
        <w:rPr/>
        <w:t>unhelpful to a jury because fact witnesses will testify about controlled drug purchases, and because the distinction between distribution and personal use of narcotics is not an issue in the case. Oldham Supp. Br. at 4 (Dkt. 347). According to Defendants, the practices of dealing drugs are  not  so  unusual  as  to  warrant  expert  testimony  for  a  jury.   </w:t>
      </w:r>
      <w:r>
        <w:rPr>
          <w:u w:val="single"/>
        </w:rPr>
        <w:t>Id.</w:t>
      </w:r>
      <w:r>
        <w:rPr/>
        <w:t>  at  4-5.   In  other</w:t>
      </w:r>
      <w:r>
        <w:rPr>
          <w:spacing w:val="30"/>
        </w:rPr>
        <w:t> </w:t>
      </w:r>
      <w:r>
        <w:rPr/>
        <w:t>words,</w:t>
      </w:r>
    </w:p>
    <w:p>
      <w:pPr>
        <w:spacing w:after="0" w:line="480" w:lineRule="auto"/>
        <w:jc w:val="both"/>
        <w:sectPr>
          <w:headerReference w:type="default" r:id="rId10"/>
          <w:pgSz w:w="12240" w:h="15840"/>
          <w:pgMar w:header="283" w:footer="1019" w:top="1340" w:bottom="1200" w:left="1320" w:right="1320"/>
        </w:sectPr>
      </w:pPr>
    </w:p>
    <w:p>
      <w:pPr>
        <w:pStyle w:val="BodyText"/>
        <w:spacing w:line="480" w:lineRule="auto" w:before="89"/>
        <w:ind w:left="119"/>
      </w:pPr>
      <w:r>
        <w:rPr/>
        <w:t>Defendants claim that popular culture is awash with drug-trafficking information, so that the practices of drug dealing, as testified to by an expert, will be cumulative for the jury. </w:t>
      </w:r>
      <w:r>
        <w:rPr>
          <w:u w:val="single"/>
        </w:rPr>
        <w:t>Id.</w:t>
      </w:r>
    </w:p>
    <w:p>
      <w:pPr>
        <w:pStyle w:val="BodyText"/>
        <w:ind w:left="840"/>
      </w:pPr>
      <w:r>
        <w:rPr/>
        <w:t>The Government argues that Nedoff qualifies under Rule 702 and </w:t>
      </w:r>
      <w:r>
        <w:rPr>
          <w:u w:val="single"/>
        </w:rPr>
        <w:t>Daubert</w:t>
      </w:r>
      <w:r>
        <w:rPr/>
        <w:t> and will </w:t>
      </w:r>
      <w:r>
        <w:rPr>
          <w:spacing w:val="8"/>
        </w:rPr>
        <w:t> </w:t>
      </w:r>
      <w:r>
        <w:rPr/>
        <w:t>assist</w:t>
      </w:r>
    </w:p>
    <w:p>
      <w:pPr>
        <w:pStyle w:val="BodyText"/>
        <w:spacing w:before="2"/>
        <w:ind w:left="0"/>
        <w:rPr>
          <w:sz w:val="16"/>
        </w:rPr>
      </w:pPr>
    </w:p>
    <w:p>
      <w:pPr>
        <w:pStyle w:val="BodyText"/>
        <w:tabs>
          <w:tab w:pos="7273" w:val="left" w:leader="none"/>
          <w:tab w:pos="7782" w:val="left" w:leader="none"/>
        </w:tabs>
        <w:spacing w:line="480" w:lineRule="auto" w:before="90"/>
        <w:ind w:right="117"/>
      </w:pPr>
      <w:r>
        <w:rPr/>
        <w:t>the jury. Gov’t Br. at 2 (Dkt. 364). The Government asserts that Rule 702 allows for opinion testimony  from  experts  qualified  by  their </w:t>
      </w:r>
      <w:r>
        <w:rPr>
          <w:spacing w:val="8"/>
        </w:rPr>
        <w:t> </w:t>
      </w:r>
      <w:r>
        <w:rPr/>
        <w:t>“specialized </w:t>
      </w:r>
      <w:r>
        <w:rPr>
          <w:spacing w:val="2"/>
        </w:rPr>
        <w:t> </w:t>
      </w:r>
      <w:r>
        <w:rPr/>
        <w:t>knowledge.”</w:t>
        <w:tab/>
      </w:r>
      <w:r>
        <w:rPr>
          <w:u w:val="single"/>
        </w:rPr>
        <w:t>Id.</w:t>
      </w:r>
      <w:r>
        <w:rPr/>
        <w:tab/>
        <w:t>The </w:t>
      </w:r>
      <w:r>
        <w:rPr>
          <w:spacing w:val="18"/>
        </w:rPr>
        <w:t> </w:t>
      </w:r>
      <w:r>
        <w:rPr>
          <w:spacing w:val="-3"/>
        </w:rPr>
        <w:t>Government</w:t>
      </w:r>
    </w:p>
    <w:p>
      <w:pPr>
        <w:pStyle w:val="BodyText"/>
        <w:spacing w:line="480" w:lineRule="auto"/>
        <w:ind w:right="102"/>
      </w:pPr>
      <w:r>
        <w:rPr/>
        <w:t>explains that, because Nedoff will not offer scientific testimony, the analysis demanded by </w:t>
      </w:r>
      <w:r>
        <w:rPr>
          <w:u w:val="single"/>
        </w:rPr>
        <w:t>Daubert</w:t>
      </w:r>
      <w:r>
        <w:rPr/>
        <w:t> has limited application.  </w:t>
      </w:r>
      <w:r>
        <w:rPr>
          <w:u w:val="single"/>
        </w:rPr>
        <w:t>Id.</w:t>
      </w:r>
      <w:r>
        <w:rPr/>
        <w:t>  The Government claims that, under Sixth Circuit</w:t>
      </w:r>
      <w:r>
        <w:rPr>
          <w:spacing w:val="-4"/>
        </w:rPr>
        <w:t> </w:t>
      </w:r>
      <w:r>
        <w:rPr/>
        <w:t>precedent,</w:t>
      </w:r>
    </w:p>
    <w:p>
      <w:pPr>
        <w:pStyle w:val="BodyText"/>
        <w:spacing w:line="480" w:lineRule="auto"/>
        <w:ind w:right="117"/>
        <w:jc w:val="both"/>
      </w:pPr>
      <w:r>
        <w:rPr/>
        <w:t>non-science experts with specialized knowledge can testify from their practical experience, and that the kind of testimony that Nedoff would provide is routinely admitted because his specialized knowledge will assist the jury in understanding street-level drug dealing. </w:t>
      </w:r>
      <w:r>
        <w:rPr>
          <w:u w:val="single"/>
        </w:rPr>
        <w:t>Id.</w:t>
      </w:r>
      <w:r>
        <w:rPr/>
        <w:t> at</w:t>
      </w:r>
      <w:r>
        <w:rPr>
          <w:spacing w:val="-20"/>
        </w:rPr>
        <w:t> </w:t>
      </w:r>
      <w:r>
        <w:rPr/>
        <w:t>4-5.</w:t>
      </w:r>
    </w:p>
    <w:p>
      <w:pPr>
        <w:pStyle w:val="BodyText"/>
        <w:spacing w:line="480" w:lineRule="auto"/>
        <w:ind w:firstLine="720"/>
      </w:pPr>
      <w:r>
        <w:rPr/>
        <w:t>The Court agrees with the Government and will permit Nedoff to testify as an expert on drug trafficking.</w:t>
      </w:r>
    </w:p>
    <w:p>
      <w:pPr>
        <w:pStyle w:val="Heading1"/>
        <w:numPr>
          <w:ilvl w:val="1"/>
          <w:numId w:val="5"/>
        </w:numPr>
        <w:tabs>
          <w:tab w:pos="1920" w:val="left" w:leader="none"/>
        </w:tabs>
        <w:spacing w:line="240" w:lineRule="auto" w:before="0" w:after="0"/>
        <w:ind w:left="1920" w:right="0" w:hanging="360"/>
        <w:jc w:val="left"/>
        <w:rPr>
          <w:b w:val="0"/>
        </w:rPr>
      </w:pPr>
      <w:r>
        <w:rPr/>
        <w:t>Discussion</w:t>
      </w:r>
      <w:r>
        <w:rPr>
          <w:b w:val="0"/>
          <w:vertAlign w:val="superscript"/>
        </w:rPr>
        <w:t>4</w:t>
      </w:r>
    </w:p>
    <w:p>
      <w:pPr>
        <w:pStyle w:val="BodyText"/>
        <w:spacing w:before="11"/>
        <w:ind w:left="0"/>
        <w:rPr>
          <w:sz w:val="23"/>
        </w:rPr>
      </w:pPr>
    </w:p>
    <w:p>
      <w:pPr>
        <w:pStyle w:val="BodyText"/>
        <w:ind w:left="840"/>
      </w:pPr>
      <w:r>
        <w:rPr/>
        <w:t>As  the  Government  notes,  </w:t>
      </w:r>
      <w:r>
        <w:rPr>
          <w:u w:val="single"/>
        </w:rPr>
        <w:t>see</w:t>
      </w:r>
      <w:r>
        <w:rPr/>
        <w:t>  </w:t>
      </w:r>
      <w:r>
        <w:rPr>
          <w:u w:val="single"/>
        </w:rPr>
        <w:t>id.</w:t>
      </w:r>
      <w:r>
        <w:rPr/>
        <w:t>  at  4-5,  the  Sixth  Circuit  has  applied  the</w:t>
      </w:r>
      <w:r>
        <w:rPr>
          <w:spacing w:val="16"/>
        </w:rPr>
        <w:t> </w:t>
      </w:r>
      <w:r>
        <w:rPr>
          <w:u w:val="single"/>
        </w:rPr>
        <w:t>Daubert</w:t>
      </w:r>
    </w:p>
    <w:p>
      <w:pPr>
        <w:pStyle w:val="BodyText"/>
        <w:spacing w:before="2"/>
        <w:ind w:left="0"/>
        <w:rPr>
          <w:sz w:val="16"/>
        </w:rPr>
      </w:pPr>
    </w:p>
    <w:p>
      <w:pPr>
        <w:pStyle w:val="BodyText"/>
        <w:spacing w:before="90"/>
      </w:pPr>
      <w:r>
        <w:rPr/>
        <w:t>standard</w:t>
      </w:r>
      <w:r>
        <w:rPr>
          <w:spacing w:val="14"/>
        </w:rPr>
        <w:t> </w:t>
      </w:r>
      <w:r>
        <w:rPr/>
        <w:t>to</w:t>
      </w:r>
      <w:r>
        <w:rPr>
          <w:spacing w:val="15"/>
        </w:rPr>
        <w:t> </w:t>
      </w:r>
      <w:r>
        <w:rPr/>
        <w:t>law</w:t>
      </w:r>
      <w:r>
        <w:rPr>
          <w:spacing w:val="15"/>
        </w:rPr>
        <w:t> </w:t>
      </w:r>
      <w:r>
        <w:rPr/>
        <w:t>enforcement</w:t>
      </w:r>
      <w:r>
        <w:rPr>
          <w:spacing w:val="15"/>
        </w:rPr>
        <w:t> </w:t>
      </w:r>
      <w:r>
        <w:rPr/>
        <w:t>officers</w:t>
      </w:r>
      <w:r>
        <w:rPr>
          <w:spacing w:val="15"/>
        </w:rPr>
        <w:t> </w:t>
      </w:r>
      <w:r>
        <w:rPr/>
        <w:t>testifying</w:t>
      </w:r>
      <w:r>
        <w:rPr>
          <w:spacing w:val="15"/>
        </w:rPr>
        <w:t> </w:t>
      </w:r>
      <w:r>
        <w:rPr/>
        <w:t>as</w:t>
      </w:r>
      <w:r>
        <w:rPr>
          <w:spacing w:val="14"/>
        </w:rPr>
        <w:t> </w:t>
      </w:r>
      <w:r>
        <w:rPr/>
        <w:t>experts</w:t>
      </w:r>
      <w:r>
        <w:rPr>
          <w:spacing w:val="15"/>
        </w:rPr>
        <w:t> </w:t>
      </w:r>
      <w:r>
        <w:rPr/>
        <w:t>on</w:t>
      </w:r>
      <w:r>
        <w:rPr>
          <w:spacing w:val="15"/>
        </w:rPr>
        <w:t> </w:t>
      </w:r>
      <w:r>
        <w:rPr/>
        <w:t>drug</w:t>
      </w:r>
      <w:r>
        <w:rPr>
          <w:spacing w:val="15"/>
        </w:rPr>
        <w:t> </w:t>
      </w:r>
      <w:r>
        <w:rPr/>
        <w:t>trafficking. </w:t>
      </w:r>
      <w:r>
        <w:rPr>
          <w:spacing w:val="31"/>
        </w:rPr>
        <w:t> </w:t>
      </w:r>
      <w:r>
        <w:rPr>
          <w:u w:val="single"/>
        </w:rPr>
        <w:t>See,</w:t>
      </w:r>
      <w:r>
        <w:rPr>
          <w:spacing w:val="14"/>
        </w:rPr>
        <w:t> </w:t>
      </w:r>
      <w:r>
        <w:rPr>
          <w:u w:val="single"/>
        </w:rPr>
        <w:t>e.g.</w:t>
      </w:r>
      <w:r>
        <w:rPr/>
        <w:t>,</w:t>
      </w:r>
      <w:r>
        <w:rPr>
          <w:spacing w:val="15"/>
        </w:rPr>
        <w:t> </w:t>
      </w:r>
      <w:r>
        <w:rPr>
          <w:u w:val="single"/>
        </w:rPr>
        <w:t>United</w:t>
      </w:r>
    </w:p>
    <w:p>
      <w:pPr>
        <w:pStyle w:val="BodyText"/>
        <w:spacing w:before="2"/>
        <w:ind w:left="0"/>
        <w:rPr>
          <w:sz w:val="16"/>
        </w:rPr>
      </w:pPr>
    </w:p>
    <w:p>
      <w:pPr>
        <w:pStyle w:val="BodyText"/>
        <w:spacing w:before="90"/>
      </w:pPr>
      <w:r>
        <w:rPr>
          <w:u w:val="single"/>
        </w:rPr>
        <w:t>States v. Lopez–Medina</w:t>
      </w:r>
      <w:r>
        <w:rPr/>
        <w:t>, 461 F.3d 724, 742 (6th Cir. 2006).  Courts have consistently held that</w:t>
      </w:r>
      <w:r>
        <w:rPr>
          <w:spacing w:val="13"/>
        </w:rPr>
        <w:t> </w:t>
      </w:r>
      <w:r>
        <w:rPr/>
        <w:t>a</w:t>
      </w:r>
    </w:p>
    <w:p>
      <w:pPr>
        <w:pStyle w:val="BodyText"/>
        <w:spacing w:before="2"/>
        <w:ind w:left="0"/>
        <w:rPr>
          <w:sz w:val="16"/>
        </w:rPr>
      </w:pPr>
    </w:p>
    <w:p>
      <w:pPr>
        <w:pStyle w:val="BodyText"/>
        <w:spacing w:line="480" w:lineRule="auto" w:before="90"/>
        <w:ind w:right="116"/>
        <w:jc w:val="both"/>
      </w:pPr>
      <w:r>
        <w:rPr/>
        <w:pict>
          <v:line style="position:absolute;mso-position-horizontal-relative:page;mso-position-vertical-relative:paragraph;z-index:-19888" from="72pt,56.983139pt" to="216pt,56.983139pt" stroked="true" strokeweight=".48pt" strokecolor="#000000">
            <v:stroke dashstyle="solid"/>
            <w10:wrap type="none"/>
          </v:line>
        </w:pict>
      </w:r>
      <w:r>
        <w:rPr/>
        <w:t>police officer’s expert testimony is admissible where such testimony “will aid the jury’s understanding</w:t>
      </w:r>
      <w:r>
        <w:rPr>
          <w:spacing w:val="11"/>
        </w:rPr>
        <w:t> </w:t>
      </w:r>
      <w:r>
        <w:rPr/>
        <w:t>of</w:t>
      </w:r>
      <w:r>
        <w:rPr>
          <w:spacing w:val="12"/>
        </w:rPr>
        <w:t> </w:t>
      </w:r>
      <w:r>
        <w:rPr/>
        <w:t>an</w:t>
      </w:r>
      <w:r>
        <w:rPr>
          <w:spacing w:val="12"/>
        </w:rPr>
        <w:t> </w:t>
      </w:r>
      <w:r>
        <w:rPr/>
        <w:t>area,</w:t>
      </w:r>
      <w:r>
        <w:rPr>
          <w:spacing w:val="12"/>
        </w:rPr>
        <w:t> </w:t>
      </w:r>
      <w:r>
        <w:rPr/>
        <w:t>such</w:t>
      </w:r>
      <w:r>
        <w:rPr>
          <w:spacing w:val="12"/>
        </w:rPr>
        <w:t> </w:t>
      </w:r>
      <w:r>
        <w:rPr/>
        <w:t>as</w:t>
      </w:r>
      <w:r>
        <w:rPr>
          <w:spacing w:val="11"/>
        </w:rPr>
        <w:t> </w:t>
      </w:r>
      <w:r>
        <w:rPr/>
        <w:t>drug</w:t>
      </w:r>
      <w:r>
        <w:rPr>
          <w:spacing w:val="12"/>
        </w:rPr>
        <w:t> </w:t>
      </w:r>
      <w:r>
        <w:rPr/>
        <w:t>dealing,</w:t>
      </w:r>
      <w:r>
        <w:rPr>
          <w:spacing w:val="12"/>
        </w:rPr>
        <w:t> </w:t>
      </w:r>
      <w:r>
        <w:rPr/>
        <w:t>not</w:t>
      </w:r>
      <w:r>
        <w:rPr>
          <w:spacing w:val="12"/>
        </w:rPr>
        <w:t> </w:t>
      </w:r>
      <w:r>
        <w:rPr/>
        <w:t>within</w:t>
      </w:r>
      <w:r>
        <w:rPr>
          <w:spacing w:val="12"/>
        </w:rPr>
        <w:t> </w:t>
      </w:r>
      <w:r>
        <w:rPr/>
        <w:t>the</w:t>
      </w:r>
      <w:r>
        <w:rPr>
          <w:spacing w:val="11"/>
        </w:rPr>
        <w:t> </w:t>
      </w:r>
      <w:r>
        <w:rPr/>
        <w:t>experience</w:t>
      </w:r>
      <w:r>
        <w:rPr>
          <w:spacing w:val="12"/>
        </w:rPr>
        <w:t> </w:t>
      </w:r>
      <w:r>
        <w:rPr/>
        <w:t>of</w:t>
      </w:r>
      <w:r>
        <w:rPr>
          <w:spacing w:val="12"/>
        </w:rPr>
        <w:t> </w:t>
      </w:r>
      <w:r>
        <w:rPr/>
        <w:t>the</w:t>
      </w:r>
      <w:r>
        <w:rPr>
          <w:spacing w:val="12"/>
        </w:rPr>
        <w:t> </w:t>
      </w:r>
      <w:r>
        <w:rPr/>
        <w:t>average</w:t>
      </w:r>
      <w:r>
        <w:rPr>
          <w:spacing w:val="12"/>
        </w:rPr>
        <w:t> </w:t>
      </w:r>
      <w:r>
        <w:rPr/>
        <w:t>juror.”</w:t>
      </w:r>
    </w:p>
    <w:p>
      <w:pPr>
        <w:pStyle w:val="BodyText"/>
        <w:spacing w:before="1"/>
        <w:ind w:right="117"/>
        <w:jc w:val="both"/>
      </w:pPr>
      <w:r>
        <w:rPr>
          <w:position w:val="11"/>
          <w:sz w:val="16"/>
        </w:rPr>
        <w:t>4 </w:t>
      </w:r>
      <w:r>
        <w:rPr/>
        <w:t>Defendants’ arguments concerning Nedoff were made prior to the Government filing its respective response and amended supplemental witness disclosure, which provide additional legal authority, specific opinions to be offered by Nedoff, and the bases for those opinions. </w:t>
      </w:r>
      <w:r>
        <w:rPr>
          <w:u w:val="single"/>
        </w:rPr>
        <w:t>See</w:t>
      </w:r>
      <w:r>
        <w:rPr/>
        <w:t> Gov’t Resp. (Dkt. 364) (providing authority); Gov’t Am. Disclosure (Dkt. 382) (providing opinions and bases). Defendants have not presented new arguments after these disclosures, nor did they elaborate on their objections to Nedoff at the </w:t>
      </w:r>
      <w:r>
        <w:rPr>
          <w:u w:val="single"/>
        </w:rPr>
        <w:t>Daubert</w:t>
      </w:r>
      <w:r>
        <w:rPr/>
        <w:t> hearing on Bornstein, although they did not withdraw their objections. 3/26/14 Tr. at 141. Therefore, to the extent that Defendants argue that the Government needs to provide further authority or to make further disclosures regarding Nedoff, </w:t>
      </w:r>
      <w:r>
        <w:rPr>
          <w:u w:val="single"/>
        </w:rPr>
        <w:t>see</w:t>
      </w:r>
      <w:r>
        <w:rPr/>
        <w:t> Gills Br. at 6-9 (Dkt. 345), the Court finds that the Government has done so.</w:t>
      </w:r>
    </w:p>
    <w:p>
      <w:pPr>
        <w:spacing w:after="0"/>
        <w:jc w:val="both"/>
        <w:sectPr>
          <w:headerReference w:type="default" r:id="rId11"/>
          <w:pgSz w:w="12240" w:h="15840"/>
          <w:pgMar w:header="283" w:footer="1019" w:top="1340" w:bottom="1200" w:left="1320" w:right="1320"/>
        </w:sectPr>
      </w:pPr>
    </w:p>
    <w:p>
      <w:pPr>
        <w:pStyle w:val="BodyText"/>
        <w:spacing w:before="89"/>
      </w:pPr>
      <w:r>
        <w:rPr>
          <w:u w:val="single"/>
        </w:rPr>
        <w:t>United States v. Jemison</w:t>
      </w:r>
      <w:r>
        <w:rPr/>
        <w:t>, 310 F. App’x. 866, 875 (6th Cir. 2009) (quotation marks omitted).</w:t>
      </w:r>
    </w:p>
    <w:p>
      <w:pPr>
        <w:pStyle w:val="BodyText"/>
        <w:spacing w:before="2"/>
        <w:ind w:left="0"/>
        <w:rPr>
          <w:sz w:val="16"/>
        </w:rPr>
      </w:pPr>
    </w:p>
    <w:p>
      <w:pPr>
        <w:pStyle w:val="BodyText"/>
        <w:spacing w:line="480" w:lineRule="auto" w:before="90"/>
        <w:ind w:right="116"/>
        <w:jc w:val="both"/>
      </w:pPr>
      <w:r>
        <w:rPr/>
        <w:t>“Courts generally have permitted police officers to testify as experts regarding drug trafficking  as long as the testimony is relevant and reliable.” </w:t>
      </w:r>
      <w:r>
        <w:rPr>
          <w:u w:val="single"/>
        </w:rPr>
        <w:t>United States v. Johnson</w:t>
      </w:r>
      <w:r>
        <w:rPr/>
        <w:t>, 488 F.3d 690, 698 (6th Cir.</w:t>
      </w:r>
      <w:r>
        <w:rPr>
          <w:spacing w:val="-1"/>
        </w:rPr>
        <w:t> </w:t>
      </w:r>
      <w:r>
        <w:rPr/>
        <w:t>2007).</w:t>
      </w:r>
      <w:r>
        <w:rPr>
          <w:vertAlign w:val="superscript"/>
        </w:rPr>
        <w:t>5</w:t>
      </w:r>
    </w:p>
    <w:p>
      <w:pPr>
        <w:pStyle w:val="BodyText"/>
        <w:spacing w:line="480" w:lineRule="auto"/>
        <w:ind w:right="117" w:firstLine="720"/>
        <w:jc w:val="both"/>
      </w:pPr>
      <w:r>
        <w:rPr/>
        <w:t>After reviewing the Government’s disclosures (Dkts. 138, 333, and 382), the Court concludes that Nedoff may provide expert opinions on drug trafficking. The Government has satisfied the Court that Nedoff’s opinions will be based upon his extensive experience of 15 years with the DEA in investigating hundreds of cases of drug trafficking. Further, Nedoff’s specialized knowledge regarding drug trafficking is admissible because it will assist the jury on a subject</w:t>
      </w:r>
      <w:r>
        <w:rPr>
          <w:spacing w:val="17"/>
        </w:rPr>
        <w:t> </w:t>
      </w:r>
      <w:r>
        <w:rPr/>
        <w:t>that</w:t>
      </w:r>
      <w:r>
        <w:rPr>
          <w:spacing w:val="19"/>
        </w:rPr>
        <w:t> </w:t>
      </w:r>
      <w:r>
        <w:rPr/>
        <w:t>is</w:t>
      </w:r>
      <w:r>
        <w:rPr>
          <w:spacing w:val="18"/>
        </w:rPr>
        <w:t> </w:t>
      </w:r>
      <w:r>
        <w:rPr/>
        <w:t>beyond</w:t>
      </w:r>
      <w:r>
        <w:rPr>
          <w:spacing w:val="18"/>
        </w:rPr>
        <w:t> </w:t>
      </w:r>
      <w:r>
        <w:rPr/>
        <w:t>the</w:t>
      </w:r>
      <w:r>
        <w:rPr>
          <w:spacing w:val="18"/>
        </w:rPr>
        <w:t> </w:t>
      </w:r>
      <w:r>
        <w:rPr/>
        <w:t>general</w:t>
      </w:r>
      <w:r>
        <w:rPr>
          <w:spacing w:val="19"/>
        </w:rPr>
        <w:t> </w:t>
      </w:r>
      <w:r>
        <w:rPr/>
        <w:t>knowledge</w:t>
      </w:r>
      <w:r>
        <w:rPr>
          <w:spacing w:val="19"/>
        </w:rPr>
        <w:t> </w:t>
      </w:r>
      <w:r>
        <w:rPr/>
        <w:t>of</w:t>
      </w:r>
      <w:r>
        <w:rPr>
          <w:spacing w:val="18"/>
        </w:rPr>
        <w:t> </w:t>
      </w:r>
      <w:r>
        <w:rPr/>
        <w:t>an</w:t>
      </w:r>
      <w:r>
        <w:rPr>
          <w:spacing w:val="19"/>
        </w:rPr>
        <w:t> </w:t>
      </w:r>
      <w:r>
        <w:rPr/>
        <w:t>average</w:t>
      </w:r>
      <w:r>
        <w:rPr>
          <w:spacing w:val="18"/>
        </w:rPr>
        <w:t> </w:t>
      </w:r>
      <w:r>
        <w:rPr/>
        <w:t>person.</w:t>
      </w:r>
      <w:r>
        <w:rPr>
          <w:spacing w:val="39"/>
        </w:rPr>
        <w:t> </w:t>
      </w:r>
      <w:r>
        <w:rPr>
          <w:u w:val="single"/>
        </w:rPr>
        <w:t>Jemison</w:t>
      </w:r>
      <w:r>
        <w:rPr/>
        <w:t>,</w:t>
      </w:r>
      <w:r>
        <w:rPr>
          <w:spacing w:val="18"/>
        </w:rPr>
        <w:t> </w:t>
      </w:r>
      <w:r>
        <w:rPr/>
        <w:t>310</w:t>
      </w:r>
      <w:r>
        <w:rPr>
          <w:spacing w:val="19"/>
        </w:rPr>
        <w:t> </w:t>
      </w:r>
      <w:r>
        <w:rPr/>
        <w:t>F.</w:t>
      </w:r>
      <w:r>
        <w:rPr>
          <w:spacing w:val="18"/>
        </w:rPr>
        <w:t> </w:t>
      </w:r>
      <w:r>
        <w:rPr/>
        <w:t>App’x.</w:t>
      </w:r>
      <w:r>
        <w:rPr>
          <w:spacing w:val="19"/>
        </w:rPr>
        <w:t> </w:t>
      </w:r>
      <w:r>
        <w:rPr/>
        <w:t>at</w:t>
      </w:r>
    </w:p>
    <w:p>
      <w:pPr>
        <w:pStyle w:val="BodyText"/>
      </w:pPr>
      <w:r>
        <w:rPr/>
        <w:t>875; Fed. R. Evid. 702.</w:t>
      </w:r>
    </w:p>
    <w:p>
      <w:pPr>
        <w:pStyle w:val="BodyText"/>
        <w:ind w:left="0"/>
        <w:rPr>
          <w:sz w:val="20"/>
        </w:rPr>
      </w:pPr>
    </w:p>
    <w:p>
      <w:pPr>
        <w:pStyle w:val="BodyText"/>
        <w:ind w:left="0"/>
        <w:rPr>
          <w:sz w:val="20"/>
        </w:rPr>
      </w:pPr>
    </w:p>
    <w:p>
      <w:pPr>
        <w:pStyle w:val="BodyText"/>
        <w:ind w:left="0"/>
        <w:rPr>
          <w:sz w:val="20"/>
        </w:rPr>
      </w:pPr>
    </w:p>
    <w:p>
      <w:pPr>
        <w:pStyle w:val="BodyText"/>
        <w:spacing w:before="5"/>
        <w:ind w:left="0"/>
        <w:rPr>
          <w:sz w:val="23"/>
        </w:rPr>
      </w:pPr>
      <w:r>
        <w:rPr/>
        <w:pict>
          <v:line style="position:absolute;mso-position-horizontal-relative:page;mso-position-vertical-relative:paragraph;z-index:-952;mso-wrap-distance-left:0;mso-wrap-distance-right:0" from="72pt,15.681612pt" to="216pt,15.681612pt" stroked="true" strokeweight=".47998pt" strokecolor="#000000">
            <v:stroke dashstyle="solid"/>
            <w10:wrap type="topAndBottom"/>
          </v:line>
        </w:pict>
      </w:r>
    </w:p>
    <w:p>
      <w:pPr>
        <w:pStyle w:val="BodyText"/>
        <w:spacing w:before="20"/>
        <w:ind w:left="119" w:right="115"/>
        <w:jc w:val="both"/>
      </w:pPr>
      <w:r>
        <w:rPr>
          <w:position w:val="11"/>
          <w:sz w:val="16"/>
        </w:rPr>
        <w:t>5 </w:t>
      </w:r>
      <w:r>
        <w:rPr/>
        <w:t>Defendants argue that the cases cited by the Government, </w:t>
      </w:r>
      <w:r>
        <w:rPr>
          <w:u w:val="single"/>
        </w:rPr>
        <w:t>United States v. White</w:t>
      </w:r>
      <w:r>
        <w:rPr/>
        <w:t>, 563 F.3d 184 (6th Cir. 2009), and </w:t>
      </w:r>
      <w:r>
        <w:rPr>
          <w:u w:val="single"/>
        </w:rPr>
        <w:t>United States v. Quinn</w:t>
      </w:r>
      <w:r>
        <w:rPr/>
        <w:t>, 230 F.3d 862 (6th Cir. 2000), are inapposite. Gills Br. at 6-9. According to Defendants, </w:t>
      </w:r>
      <w:r>
        <w:rPr>
          <w:u w:val="single"/>
        </w:rPr>
        <w:t>White</w:t>
      </w:r>
      <w:r>
        <w:rPr/>
        <w:t> is limited to drug evidence seized during traffic stops, and does not extend to the general conduct of drug trafficking involved in the present case. As for </w:t>
      </w:r>
      <w:r>
        <w:rPr>
          <w:u w:val="single"/>
        </w:rPr>
        <w:t>Quinn</w:t>
      </w:r>
      <w:r>
        <w:rPr/>
        <w:t>, Defendants claim that the case relates only to the quantity of drugs relevant to distribution (as opposed to personal consumption), not general drug trafficking. However, Defendants read these cases too narrowly. In both cases, the court of appeals held that the  district court did not err in admitting expert drug-trafficking opinions, even though the Government had failed to provide notice of such experts under Rule 16. </w:t>
      </w:r>
      <w:r>
        <w:rPr>
          <w:u w:val="single"/>
        </w:rPr>
        <w:t>White</w:t>
      </w:r>
      <w:r>
        <w:rPr/>
        <w:t>, 563 F.3d at 190; </w:t>
      </w:r>
      <w:r>
        <w:rPr>
          <w:u w:val="single"/>
        </w:rPr>
        <w:t>Quinn</w:t>
      </w:r>
      <w:r>
        <w:rPr/>
        <w:t>, 230 F.3d at 866. In </w:t>
      </w:r>
      <w:r>
        <w:rPr>
          <w:u w:val="single"/>
        </w:rPr>
        <w:t>White</w:t>
      </w:r>
      <w:r>
        <w:rPr/>
        <w:t>, the court noted that the defendant had failed to demonstrate prejudice because “testimony regarding tools of the trade has become utterly routine in drug distribution cases.” </w:t>
      </w:r>
      <w:r>
        <w:rPr>
          <w:u w:val="single"/>
        </w:rPr>
        <w:t>White</w:t>
      </w:r>
      <w:r>
        <w:rPr/>
        <w:t>, 563 F.3d at 190-191. In </w:t>
      </w:r>
      <w:r>
        <w:rPr>
          <w:u w:val="single"/>
        </w:rPr>
        <w:t>Quinn</w:t>
      </w:r>
      <w:r>
        <w:rPr/>
        <w:t>, the court held that there were “reasonable grounds” to admit the drug expert’s testimony regarding quantities. </w:t>
      </w:r>
      <w:r>
        <w:rPr>
          <w:u w:val="single"/>
        </w:rPr>
        <w:t>Quinn</w:t>
      </w:r>
      <w:r>
        <w:rPr/>
        <w:t>, 230 F.3d at 866. The Court concludes that these cases indirectly support the Government’s position that Nedoff can testify to methods and quantities by which drug dealers conduct their business. Furthermore, the authority cited in the Government’s supplemental response further establishes that Nedoff’s proffered testimony is permissible and would assist the jury. Gov’t Resp. at 2  (Dkt. 364) (citing </w:t>
      </w:r>
      <w:r>
        <w:rPr>
          <w:u w:val="single"/>
        </w:rPr>
        <w:t>United States v. Thomas</w:t>
      </w:r>
      <w:r>
        <w:rPr/>
        <w:t>, 74 F.3d 676, 682 (6th Cir. 1996) (stating that “without expert testimony, the average juror is unlikely to understand the significance of drug paraphernalia, quantities, and prices or appreciate the difference between ‘street level’ drug dealers and other types of distribution operations”) </w:t>
      </w:r>
      <w:r>
        <w:rPr>
          <w:u w:val="single"/>
        </w:rPr>
        <w:t>abrogated</w:t>
      </w:r>
      <w:r>
        <w:rPr/>
        <w:t> </w:t>
      </w:r>
      <w:r>
        <w:rPr>
          <w:u w:val="single"/>
        </w:rPr>
        <w:t>on</w:t>
      </w:r>
      <w:r>
        <w:rPr/>
        <w:t> </w:t>
      </w:r>
      <w:r>
        <w:rPr>
          <w:u w:val="single"/>
        </w:rPr>
        <w:t>other</w:t>
      </w:r>
      <w:r>
        <w:rPr/>
        <w:t> </w:t>
      </w:r>
      <w:r>
        <w:rPr>
          <w:u w:val="single"/>
        </w:rPr>
        <w:t>grounds</w:t>
      </w:r>
      <w:r>
        <w:rPr/>
        <w:t> </w:t>
      </w:r>
      <w:r>
        <w:rPr>
          <w:u w:val="single"/>
        </w:rPr>
        <w:t>by</w:t>
      </w:r>
      <w:r>
        <w:rPr/>
        <w:t> </w:t>
      </w:r>
      <w:r>
        <w:rPr>
          <w:u w:val="single"/>
        </w:rPr>
        <w:t>Morales v.</w:t>
      </w:r>
      <w:r>
        <w:rPr/>
        <w:t> </w:t>
      </w:r>
      <w:r>
        <w:rPr>
          <w:u w:val="single"/>
        </w:rPr>
        <w:t>Am. Honda Motor Co.</w:t>
      </w:r>
      <w:r>
        <w:rPr/>
        <w:t>, 151 F.3d 500, 515 (6th Cir.</w:t>
      </w:r>
      <w:r>
        <w:rPr>
          <w:spacing w:val="-11"/>
        </w:rPr>
        <w:t> </w:t>
      </w:r>
      <w:r>
        <w:rPr/>
        <w:t>1998)).</w:t>
      </w:r>
    </w:p>
    <w:p>
      <w:pPr>
        <w:spacing w:after="0"/>
        <w:jc w:val="both"/>
        <w:sectPr>
          <w:headerReference w:type="default" r:id="rId12"/>
          <w:pgSz w:w="12240" w:h="15840"/>
          <w:pgMar w:header="283" w:footer="1019" w:top="1340" w:bottom="1200" w:left="1320" w:right="1320"/>
        </w:sectPr>
      </w:pPr>
    </w:p>
    <w:p>
      <w:pPr>
        <w:pStyle w:val="BodyText"/>
        <w:spacing w:line="480" w:lineRule="auto" w:before="89"/>
        <w:ind w:right="115" w:firstLine="720"/>
        <w:jc w:val="both"/>
      </w:pPr>
      <w:r>
        <w:rPr/>
        <w:t>The Court will also permit Nedoff to testify that firearms are commonly associated with drug trafficking. In the Sixth Circuit, courts have taken “a very tolerant view of the admissibility of expert testimony linking the presence of firearms to drug trafficking activities.”  </w:t>
      </w:r>
      <w:r>
        <w:rPr>
          <w:u w:val="single"/>
        </w:rPr>
        <w:t>United</w:t>
      </w:r>
      <w:r>
        <w:rPr>
          <w:spacing w:val="48"/>
          <w:u w:val="single"/>
        </w:rPr>
        <w:t> </w:t>
      </w:r>
      <w:r>
        <w:rPr>
          <w:u w:val="single"/>
        </w:rPr>
        <w:t>States</w:t>
      </w:r>
    </w:p>
    <w:p>
      <w:pPr>
        <w:pStyle w:val="BodyText"/>
      </w:pPr>
      <w:r>
        <w:rPr>
          <w:u w:val="single"/>
        </w:rPr>
        <w:t>v.</w:t>
      </w:r>
      <w:r>
        <w:rPr>
          <w:spacing w:val="38"/>
          <w:u w:val="single"/>
        </w:rPr>
        <w:t> </w:t>
      </w:r>
      <w:r>
        <w:rPr>
          <w:u w:val="single"/>
        </w:rPr>
        <w:t>Swafford</w:t>
      </w:r>
      <w:r>
        <w:rPr/>
        <w:t>,</w:t>
      </w:r>
      <w:r>
        <w:rPr>
          <w:spacing w:val="38"/>
        </w:rPr>
        <w:t> </w:t>
      </w:r>
      <w:r>
        <w:rPr/>
        <w:t>385</w:t>
      </w:r>
      <w:r>
        <w:rPr>
          <w:spacing w:val="38"/>
        </w:rPr>
        <w:t> </w:t>
      </w:r>
      <w:r>
        <w:rPr/>
        <w:t>F.3d</w:t>
      </w:r>
      <w:r>
        <w:rPr>
          <w:spacing w:val="38"/>
        </w:rPr>
        <w:t> </w:t>
      </w:r>
      <w:r>
        <w:rPr/>
        <w:t>1026,</w:t>
      </w:r>
      <w:r>
        <w:rPr>
          <w:spacing w:val="38"/>
        </w:rPr>
        <w:t> </w:t>
      </w:r>
      <w:r>
        <w:rPr/>
        <w:t>1030</w:t>
      </w:r>
      <w:r>
        <w:rPr>
          <w:spacing w:val="38"/>
        </w:rPr>
        <w:t> </w:t>
      </w:r>
      <w:r>
        <w:rPr/>
        <w:t>(6th</w:t>
      </w:r>
      <w:r>
        <w:rPr>
          <w:spacing w:val="38"/>
        </w:rPr>
        <w:t> </w:t>
      </w:r>
      <w:r>
        <w:rPr/>
        <w:t>Cir.</w:t>
      </w:r>
      <w:r>
        <w:rPr>
          <w:spacing w:val="38"/>
        </w:rPr>
        <w:t> </w:t>
      </w:r>
      <w:r>
        <w:rPr/>
        <w:t>2004).  </w:t>
      </w:r>
      <w:r>
        <w:rPr>
          <w:spacing w:val="17"/>
        </w:rPr>
        <w:t> </w:t>
      </w:r>
      <w:r>
        <w:rPr/>
        <w:t>Defendants</w:t>
      </w:r>
      <w:r>
        <w:rPr>
          <w:spacing w:val="38"/>
        </w:rPr>
        <w:t> </w:t>
      </w:r>
      <w:r>
        <w:rPr/>
        <w:t>have</w:t>
      </w:r>
      <w:r>
        <w:rPr>
          <w:spacing w:val="38"/>
        </w:rPr>
        <w:t> </w:t>
      </w:r>
      <w:r>
        <w:rPr/>
        <w:t>failed</w:t>
      </w:r>
      <w:r>
        <w:rPr>
          <w:spacing w:val="38"/>
        </w:rPr>
        <w:t> </w:t>
      </w:r>
      <w:r>
        <w:rPr/>
        <w:t>to</w:t>
      </w:r>
      <w:r>
        <w:rPr>
          <w:spacing w:val="38"/>
        </w:rPr>
        <w:t> </w:t>
      </w:r>
      <w:r>
        <w:rPr/>
        <w:t>recognize</w:t>
      </w:r>
      <w:r>
        <w:rPr>
          <w:spacing w:val="38"/>
        </w:rPr>
        <w:t> </w:t>
      </w:r>
      <w:r>
        <w:rPr/>
        <w:t>this</w:t>
      </w:r>
    </w:p>
    <w:p>
      <w:pPr>
        <w:pStyle w:val="BodyText"/>
        <w:spacing w:before="2"/>
        <w:ind w:left="0"/>
        <w:rPr>
          <w:sz w:val="16"/>
        </w:rPr>
      </w:pPr>
    </w:p>
    <w:p>
      <w:pPr>
        <w:pStyle w:val="BodyText"/>
        <w:spacing w:line="480" w:lineRule="auto" w:before="90"/>
      </w:pPr>
      <w:r>
        <w:rPr/>
        <w:t>authority, and offer no rebuttal to the “utterly routine” introduction of testimony regarding “tools of the [drug] trade” from experts.  </w:t>
      </w:r>
      <w:r>
        <w:rPr>
          <w:u w:val="single"/>
        </w:rPr>
        <w:t>United States v. White</w:t>
      </w:r>
      <w:r>
        <w:rPr/>
        <w:t>, 563 F.3d 184, 190-191 (6th Cir.</w:t>
      </w:r>
      <w:r>
        <w:rPr>
          <w:spacing w:val="1"/>
        </w:rPr>
        <w:t> </w:t>
      </w:r>
      <w:r>
        <w:rPr>
          <w:spacing w:val="-3"/>
        </w:rPr>
        <w:t>2009).</w:t>
      </w:r>
    </w:p>
    <w:p>
      <w:pPr>
        <w:pStyle w:val="BodyText"/>
        <w:spacing w:line="480" w:lineRule="auto"/>
        <w:ind w:right="115" w:firstLine="720"/>
        <w:jc w:val="both"/>
      </w:pPr>
      <w:r>
        <w:rPr/>
        <w:t>Likewise, the Court rejects Defendants’ argument that allowing Nedoff to testify will be cumulative because fact witnesses will testify at trial regarding drug trafficking and because drug references in popular culture are commonplace. Based on his specialized knowledge, Nedoff’s opinions may assist the jury in understanding the fact-based evidence presented at trial concerning drug trafficking, which courts have long-determined to be “beyond the understanding”</w:t>
      </w:r>
      <w:r>
        <w:rPr>
          <w:spacing w:val="19"/>
        </w:rPr>
        <w:t> </w:t>
      </w:r>
      <w:r>
        <w:rPr/>
        <w:t>of</w:t>
      </w:r>
      <w:r>
        <w:rPr>
          <w:spacing w:val="19"/>
        </w:rPr>
        <w:t> </w:t>
      </w:r>
      <w:r>
        <w:rPr/>
        <w:t>an</w:t>
      </w:r>
      <w:r>
        <w:rPr>
          <w:spacing w:val="19"/>
        </w:rPr>
        <w:t> </w:t>
      </w:r>
      <w:r>
        <w:rPr/>
        <w:t>average</w:t>
      </w:r>
      <w:r>
        <w:rPr>
          <w:spacing w:val="20"/>
        </w:rPr>
        <w:t> </w:t>
      </w:r>
      <w:r>
        <w:rPr/>
        <w:t>person.</w:t>
      </w:r>
      <w:r>
        <w:rPr>
          <w:spacing w:val="39"/>
        </w:rPr>
        <w:t> </w:t>
      </w:r>
      <w:r>
        <w:rPr>
          <w:u w:val="single"/>
        </w:rPr>
        <w:t>Swafford</w:t>
      </w:r>
      <w:r>
        <w:rPr/>
        <w:t>,</w:t>
      </w:r>
      <w:r>
        <w:rPr>
          <w:spacing w:val="20"/>
        </w:rPr>
        <w:t> </w:t>
      </w:r>
      <w:r>
        <w:rPr/>
        <w:t>385</w:t>
      </w:r>
      <w:r>
        <w:rPr>
          <w:spacing w:val="19"/>
        </w:rPr>
        <w:t> </w:t>
      </w:r>
      <w:r>
        <w:rPr/>
        <w:t>F.3d</w:t>
      </w:r>
      <w:r>
        <w:rPr>
          <w:spacing w:val="19"/>
        </w:rPr>
        <w:t> </w:t>
      </w:r>
      <w:r>
        <w:rPr/>
        <w:t>at</w:t>
      </w:r>
      <w:r>
        <w:rPr>
          <w:spacing w:val="20"/>
        </w:rPr>
        <w:t> </w:t>
      </w:r>
      <w:r>
        <w:rPr/>
        <w:t>1030.</w:t>
      </w:r>
      <w:r>
        <w:rPr>
          <w:spacing w:val="39"/>
        </w:rPr>
        <w:t> </w:t>
      </w:r>
      <w:r>
        <w:rPr/>
        <w:t>The</w:t>
      </w:r>
      <w:r>
        <w:rPr>
          <w:spacing w:val="20"/>
        </w:rPr>
        <w:t> </w:t>
      </w:r>
      <w:r>
        <w:rPr/>
        <w:t>Court</w:t>
      </w:r>
      <w:r>
        <w:rPr>
          <w:spacing w:val="19"/>
        </w:rPr>
        <w:t> </w:t>
      </w:r>
      <w:r>
        <w:rPr/>
        <w:t>also</w:t>
      </w:r>
      <w:r>
        <w:rPr>
          <w:spacing w:val="19"/>
        </w:rPr>
        <w:t> </w:t>
      </w:r>
      <w:r>
        <w:rPr/>
        <w:t>rejects</w:t>
      </w:r>
      <w:r>
        <w:rPr>
          <w:spacing w:val="20"/>
        </w:rPr>
        <w:t> </w:t>
      </w:r>
      <w:r>
        <w:rPr/>
        <w:t>the</w:t>
      </w:r>
    </w:p>
    <w:p>
      <w:pPr>
        <w:pStyle w:val="BodyText"/>
        <w:spacing w:line="480" w:lineRule="auto"/>
        <w:ind w:right="116"/>
        <w:jc w:val="both"/>
      </w:pPr>
      <w:r>
        <w:rPr/>
        <w:t>argument that expert testimony regarding distribution is unnecessary because Defendants are not claiming drugs were possessed strictly for personal consumption. Even in the absence of such a defense, the Government is entitled to explain the indicia of drug trafficking, given the trafficking’s alleged central role as the </w:t>
      </w:r>
      <w:r>
        <w:rPr>
          <w:u w:val="single"/>
        </w:rPr>
        <w:t>raison d’etre</w:t>
      </w:r>
      <w:r>
        <w:rPr/>
        <w:t> of the Howard Boys.</w:t>
      </w:r>
    </w:p>
    <w:p>
      <w:pPr>
        <w:pStyle w:val="BodyText"/>
        <w:spacing w:line="480" w:lineRule="auto"/>
        <w:ind w:firstLine="720"/>
      </w:pPr>
      <w:r>
        <w:rPr/>
        <w:t>Accordingly, the Court denies Defendants’ motions to the extent they seek to exclude Nedoff from providing expert testimony.</w:t>
      </w:r>
    </w:p>
    <w:p>
      <w:pPr>
        <w:pStyle w:val="Heading1"/>
        <w:numPr>
          <w:ilvl w:val="1"/>
          <w:numId w:val="3"/>
        </w:numPr>
        <w:tabs>
          <w:tab w:pos="1200" w:val="left" w:leader="none"/>
        </w:tabs>
        <w:spacing w:line="240" w:lineRule="auto" w:before="2" w:after="0"/>
        <w:ind w:left="1200" w:right="0" w:hanging="360"/>
        <w:jc w:val="left"/>
      </w:pPr>
      <w:r>
        <w:rPr/>
        <w:t>Agent Bornstein</w:t>
      </w:r>
    </w:p>
    <w:p>
      <w:pPr>
        <w:pStyle w:val="BodyText"/>
        <w:ind w:left="0"/>
        <w:rPr>
          <w:b/>
        </w:rPr>
      </w:pPr>
    </w:p>
    <w:p>
      <w:pPr>
        <w:pStyle w:val="ListParagraph"/>
        <w:numPr>
          <w:ilvl w:val="2"/>
          <w:numId w:val="3"/>
        </w:numPr>
        <w:tabs>
          <w:tab w:pos="2280" w:val="left" w:leader="none"/>
        </w:tabs>
        <w:spacing w:line="240" w:lineRule="auto" w:before="0" w:after="0"/>
        <w:ind w:left="2280" w:right="0" w:hanging="360"/>
        <w:jc w:val="left"/>
        <w:rPr>
          <w:b/>
          <w:sz w:val="24"/>
        </w:rPr>
      </w:pPr>
      <w:r>
        <w:rPr>
          <w:b/>
          <w:sz w:val="24"/>
        </w:rPr>
        <w:t>The Government’s Disclosures Regarding Agent</w:t>
      </w:r>
      <w:r>
        <w:rPr>
          <w:b/>
          <w:spacing w:val="-1"/>
          <w:sz w:val="24"/>
        </w:rPr>
        <w:t> </w:t>
      </w:r>
      <w:r>
        <w:rPr>
          <w:b/>
          <w:sz w:val="24"/>
        </w:rPr>
        <w:t>Bornstein</w:t>
      </w:r>
    </w:p>
    <w:p>
      <w:pPr>
        <w:pStyle w:val="BodyText"/>
        <w:spacing w:before="9"/>
        <w:ind w:left="0"/>
        <w:rPr>
          <w:b/>
          <w:sz w:val="23"/>
        </w:rPr>
      </w:pPr>
    </w:p>
    <w:p>
      <w:pPr>
        <w:pStyle w:val="BodyText"/>
        <w:spacing w:line="480" w:lineRule="auto"/>
        <w:ind w:firstLine="720"/>
      </w:pPr>
      <w:r>
        <w:rPr/>
        <w:t>With respect to Bornstein, the Government proposes that he would provide opinions on “the organization and operation of neighborhood-based street gangs.” Gov’t Supp. Disclosure at</w:t>
      </w:r>
    </w:p>
    <w:p>
      <w:pPr>
        <w:pStyle w:val="ListParagraph"/>
        <w:numPr>
          <w:ilvl w:val="0"/>
          <w:numId w:val="6"/>
        </w:numPr>
        <w:tabs>
          <w:tab w:pos="492" w:val="left" w:leader="none"/>
        </w:tabs>
        <w:spacing w:line="240" w:lineRule="auto" w:before="0" w:after="0"/>
        <w:ind w:left="491" w:right="0" w:hanging="371"/>
        <w:jc w:val="left"/>
        <w:rPr>
          <w:sz w:val="24"/>
        </w:rPr>
      </w:pPr>
      <w:r>
        <w:rPr>
          <w:sz w:val="24"/>
        </w:rPr>
        <w:t>“Specifically,</w:t>
      </w:r>
      <w:r>
        <w:rPr>
          <w:spacing w:val="33"/>
          <w:sz w:val="24"/>
        </w:rPr>
        <w:t> </w:t>
      </w:r>
      <w:r>
        <w:rPr>
          <w:sz w:val="24"/>
        </w:rPr>
        <w:t>Agent</w:t>
      </w:r>
      <w:r>
        <w:rPr>
          <w:spacing w:val="34"/>
          <w:sz w:val="24"/>
        </w:rPr>
        <w:t> </w:t>
      </w:r>
      <w:r>
        <w:rPr>
          <w:sz w:val="24"/>
        </w:rPr>
        <w:t>Bornstein</w:t>
      </w:r>
      <w:r>
        <w:rPr>
          <w:spacing w:val="34"/>
          <w:sz w:val="24"/>
        </w:rPr>
        <w:t> </w:t>
      </w:r>
      <w:r>
        <w:rPr>
          <w:sz w:val="24"/>
        </w:rPr>
        <w:t>will</w:t>
      </w:r>
      <w:r>
        <w:rPr>
          <w:spacing w:val="34"/>
          <w:sz w:val="24"/>
        </w:rPr>
        <w:t> </w:t>
      </w:r>
      <w:r>
        <w:rPr>
          <w:sz w:val="24"/>
        </w:rPr>
        <w:t>render</w:t>
      </w:r>
      <w:r>
        <w:rPr>
          <w:spacing w:val="34"/>
          <w:sz w:val="24"/>
        </w:rPr>
        <w:t> </w:t>
      </w:r>
      <w:r>
        <w:rPr>
          <w:sz w:val="24"/>
        </w:rPr>
        <w:t>an</w:t>
      </w:r>
      <w:r>
        <w:rPr>
          <w:spacing w:val="34"/>
          <w:sz w:val="24"/>
        </w:rPr>
        <w:t> </w:t>
      </w:r>
      <w:r>
        <w:rPr>
          <w:sz w:val="24"/>
        </w:rPr>
        <w:t>opinion</w:t>
      </w:r>
      <w:r>
        <w:rPr>
          <w:spacing w:val="33"/>
          <w:sz w:val="24"/>
        </w:rPr>
        <w:t> </w:t>
      </w:r>
      <w:r>
        <w:rPr>
          <w:sz w:val="24"/>
        </w:rPr>
        <w:t>regarding</w:t>
      </w:r>
      <w:r>
        <w:rPr>
          <w:spacing w:val="35"/>
          <w:sz w:val="24"/>
        </w:rPr>
        <w:t> </w:t>
      </w:r>
      <w:r>
        <w:rPr>
          <w:sz w:val="24"/>
        </w:rPr>
        <w:t>the</w:t>
      </w:r>
      <w:r>
        <w:rPr>
          <w:spacing w:val="35"/>
          <w:sz w:val="24"/>
        </w:rPr>
        <w:t> </w:t>
      </w:r>
      <w:r>
        <w:rPr>
          <w:sz w:val="24"/>
        </w:rPr>
        <w:t>common</w:t>
      </w:r>
      <w:r>
        <w:rPr>
          <w:spacing w:val="34"/>
          <w:sz w:val="24"/>
        </w:rPr>
        <w:t> </w:t>
      </w:r>
      <w:r>
        <w:rPr>
          <w:sz w:val="24"/>
        </w:rPr>
        <w:t>features</w:t>
      </w:r>
      <w:r>
        <w:rPr>
          <w:spacing w:val="34"/>
          <w:sz w:val="24"/>
        </w:rPr>
        <w:t> </w:t>
      </w:r>
      <w:r>
        <w:rPr>
          <w:sz w:val="24"/>
        </w:rPr>
        <w:t>and</w:t>
      </w:r>
    </w:p>
    <w:p>
      <w:pPr>
        <w:spacing w:after="0" w:line="240" w:lineRule="auto"/>
        <w:jc w:val="left"/>
        <w:rPr>
          <w:sz w:val="24"/>
        </w:rPr>
        <w:sectPr>
          <w:headerReference w:type="default" r:id="rId13"/>
          <w:pgSz w:w="12240" w:h="15840"/>
          <w:pgMar w:header="283" w:footer="1019" w:top="1340" w:bottom="1200" w:left="1320" w:right="1320"/>
        </w:sectPr>
      </w:pPr>
    </w:p>
    <w:p>
      <w:pPr>
        <w:pStyle w:val="BodyText"/>
        <w:spacing w:before="89"/>
      </w:pPr>
      <w:r>
        <w:rPr/>
        <w:t>attributes of neighborhood-based street gangs.” </w:t>
      </w:r>
      <w:r>
        <w:rPr>
          <w:u w:val="single"/>
        </w:rPr>
        <w:t>Id.</w:t>
      </w:r>
      <w:r>
        <w:rPr/>
        <w:t> According to the Government, Bornstein can</w:t>
      </w:r>
    </w:p>
    <w:p>
      <w:pPr>
        <w:pStyle w:val="BodyText"/>
        <w:spacing w:before="2"/>
        <w:ind w:left="0"/>
        <w:rPr>
          <w:sz w:val="16"/>
        </w:rPr>
      </w:pPr>
    </w:p>
    <w:p>
      <w:pPr>
        <w:pStyle w:val="BodyText"/>
        <w:spacing w:before="90"/>
      </w:pPr>
      <w:r>
        <w:rPr/>
        <w:t>opine on the following relevant features of neighborhood-based street gangs in general:</w:t>
      </w:r>
    </w:p>
    <w:p>
      <w:pPr>
        <w:pStyle w:val="BodyText"/>
        <w:spacing w:before="1"/>
        <w:ind w:left="0"/>
      </w:pPr>
    </w:p>
    <w:p>
      <w:pPr>
        <w:pStyle w:val="ListParagraph"/>
        <w:numPr>
          <w:ilvl w:val="1"/>
          <w:numId w:val="6"/>
        </w:numPr>
        <w:tabs>
          <w:tab w:pos="1560" w:val="left" w:leader="none"/>
        </w:tabs>
        <w:spacing w:line="240" w:lineRule="auto" w:before="0" w:after="0"/>
        <w:ind w:left="1560" w:right="118" w:hanging="360"/>
        <w:jc w:val="both"/>
        <w:rPr>
          <w:sz w:val="24"/>
        </w:rPr>
      </w:pPr>
      <w:r>
        <w:rPr>
          <w:sz w:val="24"/>
        </w:rPr>
        <w:t>a street gang is an association of three or more individuals who collectively identify themselves by adopting a group</w:t>
      </w:r>
      <w:r>
        <w:rPr>
          <w:spacing w:val="-1"/>
          <w:sz w:val="24"/>
        </w:rPr>
        <w:t> </w:t>
      </w:r>
      <w:r>
        <w:rPr>
          <w:sz w:val="24"/>
        </w:rPr>
        <w:t>identity;</w:t>
      </w:r>
    </w:p>
    <w:p>
      <w:pPr>
        <w:pStyle w:val="ListParagraph"/>
        <w:numPr>
          <w:ilvl w:val="1"/>
          <w:numId w:val="6"/>
        </w:numPr>
        <w:tabs>
          <w:tab w:pos="1560" w:val="left" w:leader="none"/>
        </w:tabs>
        <w:spacing w:line="240" w:lineRule="auto" w:before="0" w:after="0"/>
        <w:ind w:left="1560" w:right="117" w:hanging="360"/>
        <w:jc w:val="both"/>
        <w:rPr>
          <w:sz w:val="24"/>
        </w:rPr>
      </w:pPr>
      <w:r>
        <w:rPr>
          <w:sz w:val="24"/>
        </w:rPr>
        <w:t>neighborhood-based street gangs are loosely organized gangs </w:t>
      </w:r>
      <w:r>
        <w:rPr>
          <w:spacing w:val="-3"/>
          <w:sz w:val="24"/>
        </w:rPr>
        <w:t>commonly </w:t>
      </w:r>
      <w:r>
        <w:rPr>
          <w:sz w:val="24"/>
        </w:rPr>
        <w:t>associated with the pooling of resources and a geographic location, which they defend and within which they conduct their criminal</w:t>
      </w:r>
      <w:r>
        <w:rPr>
          <w:spacing w:val="-2"/>
          <w:sz w:val="24"/>
        </w:rPr>
        <w:t> </w:t>
      </w:r>
      <w:r>
        <w:rPr>
          <w:sz w:val="24"/>
        </w:rPr>
        <w:t>activity;</w:t>
      </w:r>
    </w:p>
    <w:p>
      <w:pPr>
        <w:pStyle w:val="ListParagraph"/>
        <w:numPr>
          <w:ilvl w:val="1"/>
          <w:numId w:val="6"/>
        </w:numPr>
        <w:tabs>
          <w:tab w:pos="1560" w:val="left" w:leader="none"/>
        </w:tabs>
        <w:spacing w:line="240" w:lineRule="auto" w:before="0" w:after="0"/>
        <w:ind w:left="1560" w:right="117" w:hanging="360"/>
        <w:jc w:val="both"/>
        <w:rPr>
          <w:sz w:val="24"/>
        </w:rPr>
      </w:pPr>
      <w:r>
        <w:rPr>
          <w:sz w:val="24"/>
        </w:rPr>
        <w:t>neighborhood-based street gangs have a less formalized structure than national street</w:t>
      </w:r>
      <w:r>
        <w:rPr>
          <w:spacing w:val="-2"/>
          <w:sz w:val="24"/>
        </w:rPr>
        <w:t> </w:t>
      </w:r>
      <w:r>
        <w:rPr>
          <w:sz w:val="24"/>
        </w:rPr>
        <w:t>gangs;</w:t>
      </w:r>
    </w:p>
    <w:p>
      <w:pPr>
        <w:pStyle w:val="ListParagraph"/>
        <w:numPr>
          <w:ilvl w:val="1"/>
          <w:numId w:val="6"/>
        </w:numPr>
        <w:tabs>
          <w:tab w:pos="1560" w:val="left" w:leader="none"/>
        </w:tabs>
        <w:spacing w:line="240" w:lineRule="auto" w:before="0" w:after="0"/>
        <w:ind w:left="1560" w:right="118" w:hanging="360"/>
        <w:jc w:val="both"/>
        <w:rPr>
          <w:sz w:val="24"/>
        </w:rPr>
      </w:pPr>
      <w:r>
        <w:rPr>
          <w:sz w:val="24"/>
        </w:rPr>
        <w:t>members of neighborhood-based street gangs often grow up together and defend a specific geographic</w:t>
      </w:r>
      <w:r>
        <w:rPr>
          <w:spacing w:val="-3"/>
          <w:sz w:val="24"/>
        </w:rPr>
        <w:t> </w:t>
      </w:r>
      <w:r>
        <w:rPr>
          <w:sz w:val="24"/>
        </w:rPr>
        <w:t>location;</w:t>
      </w:r>
    </w:p>
    <w:p>
      <w:pPr>
        <w:pStyle w:val="ListParagraph"/>
        <w:numPr>
          <w:ilvl w:val="1"/>
          <w:numId w:val="6"/>
        </w:numPr>
        <w:tabs>
          <w:tab w:pos="1560" w:val="left" w:leader="none"/>
        </w:tabs>
        <w:spacing w:line="240" w:lineRule="auto" w:before="0" w:after="0"/>
        <w:ind w:left="1560" w:right="115" w:hanging="360"/>
        <w:jc w:val="both"/>
        <w:rPr>
          <w:sz w:val="24"/>
        </w:rPr>
      </w:pPr>
      <w:r>
        <w:rPr>
          <w:sz w:val="24"/>
        </w:rPr>
        <w:t>neighborhood-based street gangs generally do not align themselves with national street gangs, but it is common for them to claim affiliation with a national gang to garner increased respect and</w:t>
      </w:r>
      <w:r>
        <w:rPr>
          <w:spacing w:val="-5"/>
          <w:sz w:val="24"/>
        </w:rPr>
        <w:t> </w:t>
      </w:r>
      <w:r>
        <w:rPr>
          <w:sz w:val="24"/>
        </w:rPr>
        <w:t>stature;</w:t>
      </w:r>
    </w:p>
    <w:p>
      <w:pPr>
        <w:pStyle w:val="ListParagraph"/>
        <w:numPr>
          <w:ilvl w:val="1"/>
          <w:numId w:val="6"/>
        </w:numPr>
        <w:tabs>
          <w:tab w:pos="1560" w:val="left" w:leader="none"/>
        </w:tabs>
        <w:spacing w:line="240" w:lineRule="auto" w:before="0" w:after="0"/>
        <w:ind w:left="1560" w:right="117" w:hanging="360"/>
        <w:jc w:val="both"/>
        <w:rPr>
          <w:sz w:val="24"/>
        </w:rPr>
      </w:pPr>
      <w:r>
        <w:rPr>
          <w:sz w:val="24"/>
        </w:rPr>
        <w:t>individuals join neighborhood-based street gangs to make money through criminal</w:t>
      </w:r>
      <w:r>
        <w:rPr>
          <w:spacing w:val="-1"/>
          <w:sz w:val="24"/>
        </w:rPr>
        <w:t> </w:t>
      </w:r>
      <w:r>
        <w:rPr>
          <w:sz w:val="24"/>
        </w:rPr>
        <w:t>activity;</w:t>
      </w:r>
    </w:p>
    <w:p>
      <w:pPr>
        <w:pStyle w:val="ListParagraph"/>
        <w:numPr>
          <w:ilvl w:val="1"/>
          <w:numId w:val="6"/>
        </w:numPr>
        <w:tabs>
          <w:tab w:pos="1560" w:val="left" w:leader="none"/>
        </w:tabs>
        <w:spacing w:line="240" w:lineRule="auto" w:before="0" w:after="0"/>
        <w:ind w:left="1560" w:right="117" w:hanging="360"/>
        <w:jc w:val="both"/>
        <w:rPr>
          <w:sz w:val="24"/>
        </w:rPr>
      </w:pPr>
      <w:r>
        <w:rPr>
          <w:sz w:val="24"/>
        </w:rPr>
        <w:t>if threatened, members of neighborhood-based street gangs “rally together” to defend themselves or their</w:t>
      </w:r>
      <w:r>
        <w:rPr>
          <w:spacing w:val="-1"/>
          <w:sz w:val="24"/>
        </w:rPr>
        <w:t> </w:t>
      </w:r>
      <w:r>
        <w:rPr>
          <w:sz w:val="24"/>
        </w:rPr>
        <w:t>territory;</w:t>
      </w:r>
    </w:p>
    <w:p>
      <w:pPr>
        <w:pStyle w:val="ListParagraph"/>
        <w:numPr>
          <w:ilvl w:val="1"/>
          <w:numId w:val="6"/>
        </w:numPr>
        <w:tabs>
          <w:tab w:pos="1559" w:val="left" w:leader="none"/>
          <w:tab w:pos="1560" w:val="left" w:leader="none"/>
        </w:tabs>
        <w:spacing w:line="292" w:lineRule="exact" w:before="0" w:after="0"/>
        <w:ind w:left="1560" w:right="0" w:hanging="360"/>
        <w:jc w:val="left"/>
        <w:rPr>
          <w:sz w:val="24"/>
        </w:rPr>
      </w:pPr>
      <w:r>
        <w:rPr>
          <w:sz w:val="24"/>
        </w:rPr>
        <w:t>gangs commonly promote/project a violent attitude to protect their</w:t>
      </w:r>
      <w:r>
        <w:rPr>
          <w:spacing w:val="-12"/>
          <w:sz w:val="24"/>
        </w:rPr>
        <w:t> </w:t>
      </w:r>
      <w:r>
        <w:rPr>
          <w:sz w:val="24"/>
        </w:rPr>
        <w:t>territory;</w:t>
      </w:r>
    </w:p>
    <w:p>
      <w:pPr>
        <w:pStyle w:val="ListParagraph"/>
        <w:numPr>
          <w:ilvl w:val="1"/>
          <w:numId w:val="6"/>
        </w:numPr>
        <w:tabs>
          <w:tab w:pos="1559" w:val="left" w:leader="none"/>
          <w:tab w:pos="1560" w:val="left" w:leader="none"/>
        </w:tabs>
        <w:spacing w:line="293" w:lineRule="exact" w:before="0" w:after="0"/>
        <w:ind w:left="1560" w:right="0" w:hanging="360"/>
        <w:jc w:val="left"/>
        <w:rPr>
          <w:sz w:val="24"/>
        </w:rPr>
      </w:pPr>
      <w:r>
        <w:rPr>
          <w:sz w:val="24"/>
        </w:rPr>
        <w:t>gangs commonly have codes and rules of operation;</w:t>
      </w:r>
    </w:p>
    <w:p>
      <w:pPr>
        <w:pStyle w:val="ListParagraph"/>
        <w:numPr>
          <w:ilvl w:val="1"/>
          <w:numId w:val="6"/>
        </w:numPr>
        <w:tabs>
          <w:tab w:pos="1560" w:val="left" w:leader="none"/>
        </w:tabs>
        <w:spacing w:line="240" w:lineRule="auto" w:before="0" w:after="0"/>
        <w:ind w:left="1560" w:right="119" w:hanging="360"/>
        <w:jc w:val="both"/>
        <w:rPr>
          <w:sz w:val="24"/>
        </w:rPr>
      </w:pPr>
      <w:r>
        <w:rPr>
          <w:sz w:val="24"/>
        </w:rPr>
        <w:t>the territory of neighborhood-based street gangs is commonly limited to their neighborhood, which is often identified by the use of</w:t>
      </w:r>
      <w:r>
        <w:rPr>
          <w:spacing w:val="-2"/>
          <w:sz w:val="24"/>
        </w:rPr>
        <w:t> </w:t>
      </w:r>
      <w:r>
        <w:rPr>
          <w:sz w:val="24"/>
        </w:rPr>
        <w:t>graffiti;</w:t>
      </w:r>
    </w:p>
    <w:p>
      <w:pPr>
        <w:pStyle w:val="ListParagraph"/>
        <w:numPr>
          <w:ilvl w:val="1"/>
          <w:numId w:val="6"/>
        </w:numPr>
        <w:tabs>
          <w:tab w:pos="1560" w:val="left" w:leader="none"/>
        </w:tabs>
        <w:spacing w:line="240" w:lineRule="auto" w:before="0" w:after="0"/>
        <w:ind w:left="1560" w:right="116" w:hanging="360"/>
        <w:jc w:val="both"/>
        <w:rPr>
          <w:sz w:val="24"/>
        </w:rPr>
      </w:pPr>
      <w:r>
        <w:rPr>
          <w:sz w:val="24"/>
        </w:rPr>
        <w:t>gang members also use graffiti to declare their allegiance to the gang, advertise a gang’s status or power, and to challenge</w:t>
      </w:r>
      <w:r>
        <w:rPr>
          <w:spacing w:val="-4"/>
          <w:sz w:val="24"/>
        </w:rPr>
        <w:t> </w:t>
      </w:r>
      <w:r>
        <w:rPr>
          <w:sz w:val="24"/>
        </w:rPr>
        <w:t>rivals;</w:t>
      </w:r>
    </w:p>
    <w:p>
      <w:pPr>
        <w:pStyle w:val="ListParagraph"/>
        <w:numPr>
          <w:ilvl w:val="1"/>
          <w:numId w:val="6"/>
        </w:numPr>
        <w:tabs>
          <w:tab w:pos="1559" w:val="left" w:leader="none"/>
          <w:tab w:pos="1560" w:val="left" w:leader="none"/>
        </w:tabs>
        <w:spacing w:line="293" w:lineRule="exact" w:before="0" w:after="0"/>
        <w:ind w:left="1560" w:right="0" w:hanging="360"/>
        <w:jc w:val="left"/>
        <w:rPr>
          <w:sz w:val="24"/>
        </w:rPr>
      </w:pPr>
      <w:r>
        <w:rPr>
          <w:sz w:val="24"/>
        </w:rPr>
        <w:t>gangs produce music and use social media to enhance the gang’s</w:t>
      </w:r>
      <w:r>
        <w:rPr>
          <w:spacing w:val="-8"/>
          <w:sz w:val="24"/>
        </w:rPr>
        <w:t> </w:t>
      </w:r>
      <w:r>
        <w:rPr>
          <w:sz w:val="24"/>
        </w:rPr>
        <w:t>reputation;</w:t>
      </w:r>
    </w:p>
    <w:p>
      <w:pPr>
        <w:pStyle w:val="ListParagraph"/>
        <w:numPr>
          <w:ilvl w:val="1"/>
          <w:numId w:val="6"/>
        </w:numPr>
        <w:tabs>
          <w:tab w:pos="1559" w:val="left" w:leader="none"/>
          <w:tab w:pos="1560" w:val="left" w:leader="none"/>
        </w:tabs>
        <w:spacing w:line="293" w:lineRule="exact" w:before="0" w:after="0"/>
        <w:ind w:left="1560" w:right="0" w:hanging="360"/>
        <w:jc w:val="left"/>
        <w:rPr>
          <w:sz w:val="24"/>
        </w:rPr>
      </w:pPr>
      <w:r>
        <w:rPr>
          <w:sz w:val="24"/>
        </w:rPr>
        <w:t>gangs have tattoos, hand signs, and handshakes to further establish their</w:t>
      </w:r>
      <w:r>
        <w:rPr>
          <w:spacing w:val="-14"/>
          <w:sz w:val="24"/>
        </w:rPr>
        <w:t> </w:t>
      </w:r>
      <w:r>
        <w:rPr>
          <w:sz w:val="24"/>
        </w:rPr>
        <w:t>identity;</w:t>
      </w:r>
    </w:p>
    <w:p>
      <w:pPr>
        <w:pStyle w:val="ListParagraph"/>
        <w:numPr>
          <w:ilvl w:val="1"/>
          <w:numId w:val="6"/>
        </w:numPr>
        <w:tabs>
          <w:tab w:pos="1560" w:val="left" w:leader="none"/>
        </w:tabs>
        <w:spacing w:line="240" w:lineRule="auto" w:before="0" w:after="0"/>
        <w:ind w:left="1560" w:right="116" w:hanging="360"/>
        <w:jc w:val="both"/>
        <w:rPr>
          <w:sz w:val="24"/>
        </w:rPr>
      </w:pPr>
      <w:r>
        <w:rPr>
          <w:sz w:val="24"/>
        </w:rPr>
        <w:t>gang members commonly possess firearms to facilitate their criminal activities, such as the distribution of</w:t>
      </w:r>
      <w:r>
        <w:rPr>
          <w:spacing w:val="-6"/>
          <w:sz w:val="24"/>
        </w:rPr>
        <w:t> </w:t>
      </w:r>
      <w:r>
        <w:rPr>
          <w:sz w:val="24"/>
        </w:rPr>
        <w:t>narcotics;</w:t>
      </w:r>
    </w:p>
    <w:p>
      <w:pPr>
        <w:pStyle w:val="ListParagraph"/>
        <w:numPr>
          <w:ilvl w:val="1"/>
          <w:numId w:val="6"/>
        </w:numPr>
        <w:tabs>
          <w:tab w:pos="1560" w:val="left" w:leader="none"/>
        </w:tabs>
        <w:spacing w:line="240" w:lineRule="auto" w:before="0" w:after="0"/>
        <w:ind w:left="1560" w:right="116" w:hanging="360"/>
        <w:jc w:val="both"/>
        <w:rPr>
          <w:sz w:val="24"/>
        </w:rPr>
      </w:pPr>
      <w:r>
        <w:rPr>
          <w:sz w:val="24"/>
        </w:rPr>
        <w:t>neighborhood-based street gangs commonly have a horizontal structure, unlike national gangs, and operate like a cooperative or “co-op,” where a group</w:t>
      </w:r>
      <w:r>
        <w:rPr>
          <w:spacing w:val="24"/>
          <w:sz w:val="24"/>
        </w:rPr>
        <w:t> </w:t>
      </w:r>
      <w:r>
        <w:rPr>
          <w:sz w:val="24"/>
        </w:rPr>
        <w:t>of individuals voluntarily cooperate with each other for their mutual</w:t>
      </w:r>
      <w:r>
        <w:rPr>
          <w:spacing w:val="-7"/>
          <w:sz w:val="24"/>
        </w:rPr>
        <w:t> </w:t>
      </w:r>
      <w:r>
        <w:rPr>
          <w:sz w:val="24"/>
        </w:rPr>
        <w:t>benefit;</w:t>
      </w:r>
    </w:p>
    <w:p>
      <w:pPr>
        <w:pStyle w:val="ListParagraph"/>
        <w:numPr>
          <w:ilvl w:val="1"/>
          <w:numId w:val="6"/>
        </w:numPr>
        <w:tabs>
          <w:tab w:pos="1559" w:val="left" w:leader="none"/>
          <w:tab w:pos="1560" w:val="left" w:leader="none"/>
        </w:tabs>
        <w:spacing w:line="293" w:lineRule="exact" w:before="0" w:after="0"/>
        <w:ind w:left="1560" w:right="0" w:hanging="360"/>
        <w:jc w:val="left"/>
        <w:rPr>
          <w:sz w:val="24"/>
        </w:rPr>
      </w:pPr>
      <w:r>
        <w:rPr>
          <w:sz w:val="24"/>
        </w:rPr>
        <w:t>gang members commonly provide financial assistance to incarcerated</w:t>
      </w:r>
      <w:r>
        <w:rPr>
          <w:spacing w:val="-8"/>
          <w:sz w:val="24"/>
        </w:rPr>
        <w:t> </w:t>
      </w:r>
      <w:r>
        <w:rPr>
          <w:sz w:val="24"/>
        </w:rPr>
        <w:t>members;</w:t>
      </w:r>
    </w:p>
    <w:p>
      <w:pPr>
        <w:pStyle w:val="ListParagraph"/>
        <w:numPr>
          <w:ilvl w:val="1"/>
          <w:numId w:val="6"/>
        </w:numPr>
        <w:tabs>
          <w:tab w:pos="1560" w:val="left" w:leader="none"/>
        </w:tabs>
        <w:spacing w:line="240" w:lineRule="auto" w:before="0" w:after="0"/>
        <w:ind w:left="1560" w:right="117" w:hanging="360"/>
        <w:jc w:val="both"/>
        <w:rPr>
          <w:sz w:val="24"/>
        </w:rPr>
      </w:pPr>
      <w:r>
        <w:rPr>
          <w:sz w:val="24"/>
        </w:rPr>
        <w:t>gang members commonly take group photographs with other members, displaying hand signs and/or posing with</w:t>
      </w:r>
      <w:r>
        <w:rPr>
          <w:spacing w:val="-6"/>
          <w:sz w:val="24"/>
        </w:rPr>
        <w:t> </w:t>
      </w:r>
      <w:r>
        <w:rPr>
          <w:sz w:val="24"/>
        </w:rPr>
        <w:t>weapons;</w:t>
      </w:r>
    </w:p>
    <w:p>
      <w:pPr>
        <w:pStyle w:val="ListParagraph"/>
        <w:numPr>
          <w:ilvl w:val="1"/>
          <w:numId w:val="6"/>
        </w:numPr>
        <w:tabs>
          <w:tab w:pos="1560" w:val="left" w:leader="none"/>
        </w:tabs>
        <w:spacing w:line="240" w:lineRule="auto" w:before="0" w:after="0"/>
        <w:ind w:left="1560" w:right="117" w:hanging="360"/>
        <w:jc w:val="both"/>
        <w:rPr>
          <w:sz w:val="24"/>
        </w:rPr>
      </w:pPr>
      <w:r>
        <w:rPr>
          <w:sz w:val="24"/>
        </w:rPr>
        <w:t>gang members gain status within their gang by demonstrating their willingness to commit acts of violence and demonstrating success in their respective role of criminal</w:t>
      </w:r>
      <w:r>
        <w:rPr>
          <w:spacing w:val="-1"/>
          <w:sz w:val="24"/>
        </w:rPr>
        <w:t> </w:t>
      </w:r>
      <w:r>
        <w:rPr>
          <w:sz w:val="24"/>
        </w:rPr>
        <w:t>activity;</w:t>
      </w:r>
    </w:p>
    <w:p>
      <w:pPr>
        <w:pStyle w:val="ListParagraph"/>
        <w:numPr>
          <w:ilvl w:val="1"/>
          <w:numId w:val="6"/>
        </w:numPr>
        <w:tabs>
          <w:tab w:pos="1560" w:val="left" w:leader="none"/>
        </w:tabs>
        <w:spacing w:line="240" w:lineRule="auto" w:before="0" w:after="0"/>
        <w:ind w:left="1560" w:right="118" w:hanging="360"/>
        <w:jc w:val="both"/>
        <w:rPr>
          <w:sz w:val="24"/>
        </w:rPr>
      </w:pPr>
      <w:r>
        <w:rPr>
          <w:sz w:val="24"/>
        </w:rPr>
        <w:t>members of neighborhood-based gangs who distribute narcotics collaborate together to ensure the continuous operation of their criminal</w:t>
      </w:r>
      <w:r>
        <w:rPr>
          <w:spacing w:val="-10"/>
          <w:sz w:val="24"/>
        </w:rPr>
        <w:t> </w:t>
      </w:r>
      <w:r>
        <w:rPr>
          <w:sz w:val="24"/>
        </w:rPr>
        <w:t>activity;</w:t>
      </w:r>
    </w:p>
    <w:p>
      <w:pPr>
        <w:pStyle w:val="ListParagraph"/>
        <w:numPr>
          <w:ilvl w:val="1"/>
          <w:numId w:val="6"/>
        </w:numPr>
        <w:tabs>
          <w:tab w:pos="1560" w:val="left" w:leader="none"/>
        </w:tabs>
        <w:spacing w:line="240" w:lineRule="auto" w:before="0" w:after="0"/>
        <w:ind w:left="1560" w:right="116" w:hanging="360"/>
        <w:jc w:val="both"/>
        <w:rPr>
          <w:sz w:val="24"/>
        </w:rPr>
      </w:pPr>
      <w:r>
        <w:rPr>
          <w:sz w:val="24"/>
        </w:rPr>
        <w:t>gang members pay homage to other deceased or incarcerated members with T- shirts, web postings, or</w:t>
      </w:r>
      <w:r>
        <w:rPr>
          <w:spacing w:val="-4"/>
          <w:sz w:val="24"/>
        </w:rPr>
        <w:t> </w:t>
      </w:r>
      <w:r>
        <w:rPr>
          <w:sz w:val="24"/>
        </w:rPr>
        <w:t>music;</w:t>
      </w:r>
    </w:p>
    <w:p>
      <w:pPr>
        <w:pStyle w:val="ListParagraph"/>
        <w:numPr>
          <w:ilvl w:val="1"/>
          <w:numId w:val="6"/>
        </w:numPr>
        <w:tabs>
          <w:tab w:pos="1560" w:val="left" w:leader="none"/>
        </w:tabs>
        <w:spacing w:line="240" w:lineRule="auto" w:before="0" w:after="0"/>
        <w:ind w:left="1560" w:right="115" w:hanging="360"/>
        <w:jc w:val="both"/>
        <w:rPr>
          <w:sz w:val="24"/>
        </w:rPr>
      </w:pPr>
      <w:r>
        <w:rPr>
          <w:sz w:val="24"/>
        </w:rPr>
        <w:t>cliques or subgroups based on age or familial connections commonly exist within gangs;</w:t>
      </w:r>
    </w:p>
    <w:p>
      <w:pPr>
        <w:spacing w:after="0" w:line="240" w:lineRule="auto"/>
        <w:jc w:val="both"/>
        <w:rPr>
          <w:sz w:val="24"/>
        </w:rPr>
        <w:sectPr>
          <w:headerReference w:type="default" r:id="rId14"/>
          <w:pgSz w:w="12240" w:h="15840"/>
          <w:pgMar w:header="283" w:footer="1019" w:top="1340" w:bottom="1200" w:left="1320" w:right="1320"/>
        </w:sectPr>
      </w:pPr>
    </w:p>
    <w:p>
      <w:pPr>
        <w:pStyle w:val="ListParagraph"/>
        <w:numPr>
          <w:ilvl w:val="1"/>
          <w:numId w:val="6"/>
        </w:numPr>
        <w:tabs>
          <w:tab w:pos="1559" w:val="left" w:leader="none"/>
          <w:tab w:pos="1560" w:val="left" w:leader="none"/>
          <w:tab w:pos="3760" w:val="left" w:leader="none"/>
          <w:tab w:pos="4522" w:val="left" w:leader="none"/>
          <w:tab w:pos="5324" w:val="left" w:leader="none"/>
          <w:tab w:pos="6593" w:val="left" w:leader="none"/>
          <w:tab w:pos="7288" w:val="left" w:leader="none"/>
          <w:tab w:pos="8317" w:val="left" w:leader="none"/>
          <w:tab w:pos="8986" w:val="left" w:leader="none"/>
        </w:tabs>
        <w:spacing w:line="240" w:lineRule="auto" w:before="90" w:after="0"/>
        <w:ind w:left="1560" w:right="118" w:hanging="360"/>
        <w:jc w:val="left"/>
        <w:rPr>
          <w:sz w:val="24"/>
        </w:rPr>
      </w:pPr>
      <w:r>
        <w:rPr>
          <w:sz w:val="24"/>
        </w:rPr>
        <w:t>neighborhood-based</w:t>
        <w:tab/>
        <w:t>street</w:t>
        <w:tab/>
        <w:t>gangs</w:t>
        <w:tab/>
        <w:t>commonly</w:t>
        <w:tab/>
        <w:t>have</w:t>
        <w:tab/>
        <w:t>disputes</w:t>
        <w:tab/>
        <w:t>with</w:t>
        <w:tab/>
      </w:r>
      <w:r>
        <w:rPr>
          <w:spacing w:val="-4"/>
          <w:sz w:val="24"/>
        </w:rPr>
        <w:t>other </w:t>
      </w:r>
      <w:r>
        <w:rPr>
          <w:sz w:val="24"/>
        </w:rPr>
        <w:t>neighborhood-based street gangs; and</w:t>
      </w:r>
    </w:p>
    <w:p>
      <w:pPr>
        <w:pStyle w:val="ListParagraph"/>
        <w:numPr>
          <w:ilvl w:val="1"/>
          <w:numId w:val="6"/>
        </w:numPr>
        <w:tabs>
          <w:tab w:pos="1559" w:val="left" w:leader="none"/>
          <w:tab w:pos="1560" w:val="left" w:leader="none"/>
        </w:tabs>
        <w:spacing w:line="240" w:lineRule="auto" w:before="0" w:after="0"/>
        <w:ind w:left="1560" w:right="118" w:hanging="360"/>
        <w:jc w:val="left"/>
        <w:rPr>
          <w:sz w:val="24"/>
        </w:rPr>
      </w:pPr>
      <w:r>
        <w:rPr>
          <w:sz w:val="24"/>
        </w:rPr>
        <w:t>gang members often share weapons and modes of transportation, such as their drug customers’</w:t>
      </w:r>
      <w:r>
        <w:rPr>
          <w:spacing w:val="-1"/>
          <w:sz w:val="24"/>
        </w:rPr>
        <w:t> </w:t>
      </w:r>
      <w:r>
        <w:rPr>
          <w:sz w:val="24"/>
        </w:rPr>
        <w:t>vehicles.</w:t>
      </w:r>
    </w:p>
    <w:p>
      <w:pPr>
        <w:pStyle w:val="BodyText"/>
        <w:spacing w:before="8"/>
        <w:ind w:left="0"/>
        <w:rPr>
          <w:sz w:val="20"/>
        </w:rPr>
      </w:pPr>
    </w:p>
    <w:p>
      <w:pPr>
        <w:pStyle w:val="BodyText"/>
      </w:pPr>
      <w:r>
        <w:rPr/>
        <w:t>Gov’t Am. Disclosure at 7-12.</w:t>
      </w:r>
    </w:p>
    <w:p>
      <w:pPr>
        <w:pStyle w:val="BodyText"/>
        <w:ind w:left="0"/>
      </w:pPr>
    </w:p>
    <w:p>
      <w:pPr>
        <w:pStyle w:val="BodyText"/>
        <w:spacing w:line="480" w:lineRule="auto"/>
        <w:ind w:left="119" w:right="117" w:firstLine="720"/>
        <w:jc w:val="both"/>
      </w:pPr>
      <w:r>
        <w:rPr/>
        <w:t>The Government states that Bornstein’s testimony will be based on his experiences as a case agent — when he investigated gangs located in Oklahoma City, Oklahoma, and Hartford and New Haven, Connecticut — and his experience and knowledge from his time as a supervisory  special  agent  of  the  FBI’s  “Safe  Streets  and  Gang  Unit.”    </w:t>
      </w:r>
      <w:r>
        <w:rPr>
          <w:u w:val="single"/>
        </w:rPr>
        <w:t>Id.</w:t>
      </w:r>
      <w:r>
        <w:rPr/>
        <w:t>  at  12-14.   </w:t>
      </w:r>
      <w:r>
        <w:rPr>
          <w:spacing w:val="14"/>
        </w:rPr>
        <w:t> </w:t>
      </w:r>
      <w:r>
        <w:rPr/>
        <w:t>The</w:t>
      </w:r>
    </w:p>
    <w:p>
      <w:pPr>
        <w:pStyle w:val="BodyText"/>
        <w:spacing w:line="480" w:lineRule="auto"/>
        <w:ind w:right="117"/>
        <w:jc w:val="both"/>
      </w:pPr>
      <w:r>
        <w:rPr/>
        <w:t>Government represents that Bornstein has developed an understanding of gang culture through his analysis of conversations intercepted by wiretaps in investigations involving gangs, and his debriefing  of  cooperating  witnesses.    </w:t>
      </w:r>
      <w:r>
        <w:rPr>
          <w:u w:val="single"/>
        </w:rPr>
        <w:t>Id.</w:t>
      </w:r>
      <w:r>
        <w:rPr/>
        <w:t>  at  14-15.    Lastly,  the  Government  discloses </w:t>
      </w:r>
      <w:r>
        <w:rPr>
          <w:spacing w:val="51"/>
        </w:rPr>
        <w:t> </w:t>
      </w:r>
      <w:r>
        <w:rPr/>
        <w:t>that</w:t>
      </w:r>
    </w:p>
    <w:p>
      <w:pPr>
        <w:pStyle w:val="BodyText"/>
        <w:spacing w:line="480" w:lineRule="auto"/>
        <w:ind w:right="102"/>
      </w:pPr>
      <w:r>
        <w:rPr/>
        <w:t>Bornstein has testified as a “narcotics/gang expert” in three cases in the District of Connecticut. </w:t>
      </w:r>
      <w:r>
        <w:rPr>
          <w:u w:val="single"/>
        </w:rPr>
        <w:t>Id.</w:t>
      </w:r>
      <w:r>
        <w:rPr/>
        <w:t> at 15.</w:t>
      </w:r>
    </w:p>
    <w:p>
      <w:pPr>
        <w:pStyle w:val="Heading1"/>
        <w:numPr>
          <w:ilvl w:val="0"/>
          <w:numId w:val="7"/>
        </w:numPr>
        <w:tabs>
          <w:tab w:pos="2280" w:val="left" w:leader="none"/>
        </w:tabs>
        <w:spacing w:line="240" w:lineRule="auto" w:before="1" w:after="0"/>
        <w:ind w:left="2280" w:right="0" w:hanging="360"/>
        <w:jc w:val="left"/>
      </w:pPr>
      <w:r>
        <w:rPr/>
        <w:t>Agent Bornstein’s Evidentiary Hearing</w:t>
      </w:r>
      <w:r>
        <w:rPr>
          <w:spacing w:val="-5"/>
        </w:rPr>
        <w:t> </w:t>
      </w:r>
      <w:r>
        <w:rPr/>
        <w:t>Testimony</w:t>
      </w:r>
    </w:p>
    <w:p>
      <w:pPr>
        <w:pStyle w:val="BodyText"/>
        <w:ind w:left="0"/>
        <w:rPr>
          <w:b/>
        </w:rPr>
      </w:pPr>
    </w:p>
    <w:p>
      <w:pPr>
        <w:pStyle w:val="ListParagraph"/>
        <w:numPr>
          <w:ilvl w:val="1"/>
          <w:numId w:val="7"/>
        </w:numPr>
        <w:tabs>
          <w:tab w:pos="3000" w:val="left" w:leader="none"/>
        </w:tabs>
        <w:spacing w:line="240" w:lineRule="auto" w:before="0" w:after="0"/>
        <w:ind w:left="3000" w:right="0" w:hanging="360"/>
        <w:jc w:val="left"/>
        <w:rPr>
          <w:b/>
          <w:sz w:val="24"/>
        </w:rPr>
      </w:pPr>
      <w:r>
        <w:rPr>
          <w:b/>
          <w:sz w:val="24"/>
        </w:rPr>
        <w:t>Agent Bornstein’s Education, Training, and</w:t>
      </w:r>
      <w:r>
        <w:rPr>
          <w:b/>
          <w:spacing w:val="-1"/>
          <w:sz w:val="24"/>
        </w:rPr>
        <w:t> </w:t>
      </w:r>
      <w:r>
        <w:rPr>
          <w:b/>
          <w:sz w:val="24"/>
        </w:rPr>
        <w:t>Experience</w:t>
      </w:r>
    </w:p>
    <w:p>
      <w:pPr>
        <w:pStyle w:val="BodyText"/>
        <w:spacing w:before="9"/>
        <w:ind w:left="0"/>
        <w:rPr>
          <w:b/>
          <w:sz w:val="23"/>
        </w:rPr>
      </w:pPr>
    </w:p>
    <w:p>
      <w:pPr>
        <w:pStyle w:val="BodyText"/>
        <w:spacing w:line="480" w:lineRule="auto" w:before="1"/>
        <w:ind w:left="119" w:right="115" w:firstLine="720"/>
        <w:jc w:val="both"/>
      </w:pPr>
      <w:r>
        <w:rPr/>
        <w:t>At the evidentiary hearing, Bornstein testified to his background, experience, knowledge, and opinions. Bornstein testified that he has a bachelor’s degree in geology from DePauw University and a master’s degree in geochemistry from the University of Missouri at Rolla. Tr.  at 7. Bornstein first began his career in law enforcement in 1993 with the Environmental Protection Agency, but then transferred to the Department of Interior’s Bureau of Land Management in 1995. </w:t>
      </w:r>
      <w:r>
        <w:rPr>
          <w:u w:val="single"/>
        </w:rPr>
        <w:t>Id.</w:t>
      </w:r>
      <w:r>
        <w:rPr/>
        <w:t> at 7. Bornstein then joined the FBI in 1996. Currently, Bornstein</w:t>
      </w:r>
      <w:r>
        <w:rPr>
          <w:spacing w:val="46"/>
        </w:rPr>
        <w:t> </w:t>
      </w:r>
      <w:r>
        <w:rPr/>
        <w:t>is</w:t>
      </w:r>
    </w:p>
    <w:p>
      <w:pPr>
        <w:pStyle w:val="BodyText"/>
        <w:spacing w:line="480" w:lineRule="auto"/>
        <w:ind w:right="102"/>
      </w:pPr>
      <w:r>
        <w:rPr/>
        <w:t>the unit chief of the cellular analysis survey team at the FBI’s national headquarters in Washington, D.C. </w:t>
      </w:r>
      <w:r>
        <w:rPr>
          <w:u w:val="single"/>
        </w:rPr>
        <w:t>Id.</w:t>
      </w:r>
      <w:r>
        <w:rPr/>
        <w:t> at 6.</w:t>
      </w:r>
    </w:p>
    <w:p>
      <w:pPr>
        <w:spacing w:after="0" w:line="480" w:lineRule="auto"/>
        <w:sectPr>
          <w:headerReference w:type="default" r:id="rId15"/>
          <w:pgSz w:w="12240" w:h="15840"/>
          <w:pgMar w:header="283" w:footer="1019" w:top="1340" w:bottom="1200" w:left="1320" w:right="1320"/>
        </w:sectPr>
      </w:pPr>
    </w:p>
    <w:p>
      <w:pPr>
        <w:pStyle w:val="BodyText"/>
        <w:spacing w:line="480" w:lineRule="auto" w:before="89"/>
        <w:ind w:right="116" w:firstLine="720"/>
        <w:jc w:val="both"/>
      </w:pPr>
      <w:r>
        <w:rPr/>
        <w:t>Bornstein provided an overview of his FBI career. Upon graduating from the</w:t>
      </w:r>
      <w:r>
        <w:rPr>
          <w:spacing w:val="32"/>
        </w:rPr>
        <w:t> </w:t>
      </w:r>
      <w:r>
        <w:rPr/>
        <w:t>FBI academy, Bornstein was initially assigned to the FBI field office in Oklahoma City, Oklahoma. There, Bornstein first worked on environmental crimes, but ultimately moved to drug/gang investigations, focusing on gangs in Oklahoma City.  </w:t>
      </w:r>
      <w:r>
        <w:rPr>
          <w:u w:val="single"/>
        </w:rPr>
        <w:t>Id.</w:t>
      </w:r>
      <w:r>
        <w:rPr/>
        <w:t> at 19.  </w:t>
      </w:r>
      <w:r>
        <w:rPr>
          <w:spacing w:val="8"/>
        </w:rPr>
        <w:t> </w:t>
      </w:r>
      <w:r>
        <w:rPr/>
        <w:t>The first gang Bornstein focused</w:t>
      </w:r>
    </w:p>
    <w:p>
      <w:pPr>
        <w:pStyle w:val="BodyText"/>
      </w:pPr>
      <w:r>
        <w:rPr/>
        <w:t>on</w:t>
      </w:r>
      <w:r>
        <w:rPr>
          <w:spacing w:val="15"/>
        </w:rPr>
        <w:t> </w:t>
      </w:r>
      <w:r>
        <w:rPr/>
        <w:t>was</w:t>
      </w:r>
      <w:r>
        <w:rPr>
          <w:spacing w:val="16"/>
        </w:rPr>
        <w:t> </w:t>
      </w:r>
      <w:r>
        <w:rPr/>
        <w:t>the</w:t>
      </w:r>
      <w:r>
        <w:rPr>
          <w:spacing w:val="16"/>
        </w:rPr>
        <w:t> </w:t>
      </w:r>
      <w:r>
        <w:rPr/>
        <w:t>“James</w:t>
      </w:r>
      <w:r>
        <w:rPr>
          <w:spacing w:val="16"/>
        </w:rPr>
        <w:t> </w:t>
      </w:r>
      <w:r>
        <w:rPr/>
        <w:t>Crew,”</w:t>
      </w:r>
      <w:r>
        <w:rPr>
          <w:spacing w:val="16"/>
        </w:rPr>
        <w:t> </w:t>
      </w:r>
      <w:r>
        <w:rPr/>
        <w:t>which</w:t>
      </w:r>
      <w:r>
        <w:rPr>
          <w:spacing w:val="16"/>
        </w:rPr>
        <w:t> </w:t>
      </w:r>
      <w:r>
        <w:rPr/>
        <w:t>distributed</w:t>
      </w:r>
      <w:r>
        <w:rPr>
          <w:spacing w:val="16"/>
        </w:rPr>
        <w:t> </w:t>
      </w:r>
      <w:r>
        <w:rPr/>
        <w:t>crack</w:t>
      </w:r>
      <w:r>
        <w:rPr>
          <w:spacing w:val="17"/>
        </w:rPr>
        <w:t> </w:t>
      </w:r>
      <w:r>
        <w:rPr/>
        <w:t>cocaine. </w:t>
      </w:r>
      <w:r>
        <w:rPr>
          <w:spacing w:val="32"/>
        </w:rPr>
        <w:t> </w:t>
      </w:r>
      <w:r>
        <w:rPr>
          <w:u w:val="single"/>
        </w:rPr>
        <w:t>Id</w:t>
      </w:r>
      <w:r>
        <w:rPr/>
        <w:t>.</w:t>
      </w:r>
      <w:r>
        <w:rPr>
          <w:spacing w:val="16"/>
        </w:rPr>
        <w:t> </w:t>
      </w:r>
      <w:r>
        <w:rPr/>
        <w:t>at</w:t>
      </w:r>
      <w:r>
        <w:rPr>
          <w:spacing w:val="16"/>
        </w:rPr>
        <w:t> </w:t>
      </w:r>
      <w:r>
        <w:rPr/>
        <w:t>20. </w:t>
      </w:r>
      <w:r>
        <w:rPr>
          <w:spacing w:val="33"/>
        </w:rPr>
        <w:t> </w:t>
      </w:r>
      <w:r>
        <w:rPr/>
        <w:t>The</w:t>
      </w:r>
      <w:r>
        <w:rPr>
          <w:spacing w:val="16"/>
        </w:rPr>
        <w:t> </w:t>
      </w:r>
      <w:r>
        <w:rPr/>
        <w:t>investigation</w:t>
      </w:r>
      <w:r>
        <w:rPr>
          <w:spacing w:val="16"/>
        </w:rPr>
        <w:t> </w:t>
      </w:r>
      <w:r>
        <w:rPr/>
        <w:t>of</w:t>
      </w:r>
      <w:r>
        <w:rPr>
          <w:spacing w:val="15"/>
        </w:rPr>
        <w:t> </w:t>
      </w:r>
      <w:r>
        <w:rPr/>
        <w:t>the</w:t>
      </w:r>
    </w:p>
    <w:p>
      <w:pPr>
        <w:pStyle w:val="BodyText"/>
        <w:spacing w:before="2"/>
        <w:ind w:left="0"/>
        <w:rPr>
          <w:sz w:val="16"/>
        </w:rPr>
      </w:pPr>
    </w:p>
    <w:p>
      <w:pPr>
        <w:pStyle w:val="BodyText"/>
        <w:spacing w:before="90"/>
      </w:pPr>
      <w:r>
        <w:rPr/>
        <w:t>James</w:t>
      </w:r>
      <w:r>
        <w:rPr>
          <w:spacing w:val="14"/>
        </w:rPr>
        <w:t> </w:t>
      </w:r>
      <w:r>
        <w:rPr/>
        <w:t>Crew</w:t>
      </w:r>
      <w:r>
        <w:rPr>
          <w:spacing w:val="15"/>
        </w:rPr>
        <w:t> </w:t>
      </w:r>
      <w:r>
        <w:rPr/>
        <w:t>involved</w:t>
      </w:r>
      <w:r>
        <w:rPr>
          <w:spacing w:val="15"/>
        </w:rPr>
        <w:t> </w:t>
      </w:r>
      <w:r>
        <w:rPr/>
        <w:t>cooperating</w:t>
      </w:r>
      <w:r>
        <w:rPr>
          <w:spacing w:val="14"/>
        </w:rPr>
        <w:t> </w:t>
      </w:r>
      <w:r>
        <w:rPr/>
        <w:t>witnesses,</w:t>
      </w:r>
      <w:r>
        <w:rPr>
          <w:spacing w:val="15"/>
        </w:rPr>
        <w:t> </w:t>
      </w:r>
      <w:r>
        <w:rPr/>
        <w:t>PIN</w:t>
      </w:r>
      <w:r>
        <w:rPr>
          <w:spacing w:val="15"/>
        </w:rPr>
        <w:t> </w:t>
      </w:r>
      <w:r>
        <w:rPr/>
        <w:t>registers</w:t>
      </w:r>
      <w:r>
        <w:rPr>
          <w:spacing w:val="14"/>
        </w:rPr>
        <w:t> </w:t>
      </w:r>
      <w:r>
        <w:rPr/>
        <w:t>of</w:t>
      </w:r>
      <w:r>
        <w:rPr>
          <w:spacing w:val="13"/>
        </w:rPr>
        <w:t> </w:t>
      </w:r>
      <w:r>
        <w:rPr/>
        <w:t>cell</w:t>
      </w:r>
      <w:r>
        <w:rPr>
          <w:spacing w:val="15"/>
        </w:rPr>
        <w:t> </w:t>
      </w:r>
      <w:r>
        <w:rPr/>
        <w:t>phones,</w:t>
      </w:r>
      <w:r>
        <w:rPr>
          <w:spacing w:val="15"/>
        </w:rPr>
        <w:t> </w:t>
      </w:r>
      <w:r>
        <w:rPr/>
        <w:t>and</w:t>
      </w:r>
      <w:r>
        <w:rPr>
          <w:spacing w:val="14"/>
        </w:rPr>
        <w:t> </w:t>
      </w:r>
      <w:r>
        <w:rPr/>
        <w:t>wiretaps. </w:t>
      </w:r>
      <w:r>
        <w:rPr>
          <w:spacing w:val="31"/>
        </w:rPr>
        <w:t> </w:t>
      </w:r>
      <w:r>
        <w:rPr>
          <w:u w:val="single"/>
        </w:rPr>
        <w:t>Id.</w:t>
      </w:r>
      <w:r>
        <w:rPr/>
        <w:t> </w:t>
      </w:r>
      <w:r>
        <w:rPr>
          <w:spacing w:val="30"/>
        </w:rPr>
        <w:t> </w:t>
      </w:r>
      <w:r>
        <w:rPr/>
        <w:t>In</w:t>
      </w:r>
    </w:p>
    <w:p>
      <w:pPr>
        <w:pStyle w:val="BodyText"/>
        <w:spacing w:before="2"/>
        <w:ind w:left="0"/>
        <w:rPr>
          <w:sz w:val="16"/>
        </w:rPr>
      </w:pPr>
    </w:p>
    <w:p>
      <w:pPr>
        <w:pStyle w:val="BodyText"/>
        <w:spacing w:line="480" w:lineRule="auto" w:before="90"/>
        <w:ind w:right="115"/>
      </w:pPr>
      <w:r>
        <w:rPr/>
        <w:t>addition to the James Crew, Bornstein stated that he investigated other organizations in Oklahoma</w:t>
      </w:r>
      <w:r>
        <w:rPr>
          <w:spacing w:val="13"/>
        </w:rPr>
        <w:t> </w:t>
      </w:r>
      <w:r>
        <w:rPr/>
        <w:t>involved</w:t>
      </w:r>
      <w:r>
        <w:rPr>
          <w:spacing w:val="13"/>
        </w:rPr>
        <w:t> </w:t>
      </w:r>
      <w:r>
        <w:rPr/>
        <w:t>in</w:t>
      </w:r>
      <w:r>
        <w:rPr>
          <w:spacing w:val="14"/>
        </w:rPr>
        <w:t> </w:t>
      </w:r>
      <w:r>
        <w:rPr/>
        <w:t>methamphetamine</w:t>
      </w:r>
      <w:r>
        <w:rPr>
          <w:spacing w:val="13"/>
        </w:rPr>
        <w:t> </w:t>
      </w:r>
      <w:r>
        <w:rPr/>
        <w:t>distribution</w:t>
      </w:r>
      <w:r>
        <w:rPr>
          <w:spacing w:val="14"/>
        </w:rPr>
        <w:t> </w:t>
      </w:r>
      <w:r>
        <w:rPr/>
        <w:t>that</w:t>
      </w:r>
      <w:r>
        <w:rPr>
          <w:spacing w:val="13"/>
        </w:rPr>
        <w:t> </w:t>
      </w:r>
      <w:r>
        <w:rPr/>
        <w:t>he</w:t>
      </w:r>
      <w:r>
        <w:rPr>
          <w:spacing w:val="14"/>
        </w:rPr>
        <w:t> </w:t>
      </w:r>
      <w:r>
        <w:rPr/>
        <w:t>considered</w:t>
      </w:r>
      <w:r>
        <w:rPr>
          <w:spacing w:val="13"/>
        </w:rPr>
        <w:t> </w:t>
      </w:r>
      <w:r>
        <w:rPr/>
        <w:t>to</w:t>
      </w:r>
      <w:r>
        <w:rPr>
          <w:spacing w:val="13"/>
        </w:rPr>
        <w:t> </w:t>
      </w:r>
      <w:r>
        <w:rPr/>
        <w:t>be</w:t>
      </w:r>
      <w:r>
        <w:rPr>
          <w:spacing w:val="14"/>
        </w:rPr>
        <w:t> </w:t>
      </w:r>
      <w:r>
        <w:rPr/>
        <w:t>gangs. </w:t>
      </w:r>
      <w:r>
        <w:rPr>
          <w:spacing w:val="27"/>
        </w:rPr>
        <w:t> </w:t>
      </w:r>
      <w:r>
        <w:rPr>
          <w:u w:val="single"/>
        </w:rPr>
        <w:t>Id.</w:t>
      </w:r>
      <w:r>
        <w:rPr>
          <w:spacing w:val="13"/>
        </w:rPr>
        <w:t> </w:t>
      </w:r>
      <w:r>
        <w:rPr/>
        <w:t>at</w:t>
      </w:r>
      <w:r>
        <w:rPr>
          <w:spacing w:val="14"/>
        </w:rPr>
        <w:t> </w:t>
      </w:r>
      <w:r>
        <w:rPr/>
        <w:t>21-</w:t>
      </w:r>
    </w:p>
    <w:p>
      <w:pPr>
        <w:pStyle w:val="BodyText"/>
        <w:tabs>
          <w:tab w:pos="623" w:val="left" w:leader="none"/>
        </w:tabs>
        <w:spacing w:line="480" w:lineRule="auto"/>
        <w:ind w:right="117"/>
      </w:pPr>
      <w:r>
        <w:rPr/>
        <w:t>22.</w:t>
        <w:tab/>
        <w:t>In 2000, Bornstein transferred to El Centro, California to work on narcotics and public corruption matters in relation to Mexican cartels.  </w:t>
      </w:r>
      <w:r>
        <w:rPr>
          <w:u w:val="single"/>
        </w:rPr>
        <w:t>Id.</w:t>
      </w:r>
      <w:r>
        <w:rPr/>
        <w:t> at 22.  This stint did not focus on</w:t>
      </w:r>
      <w:r>
        <w:rPr>
          <w:spacing w:val="29"/>
        </w:rPr>
        <w:t> </w:t>
      </w:r>
      <w:r>
        <w:rPr/>
        <w:t>American</w:t>
      </w:r>
    </w:p>
    <w:p>
      <w:pPr>
        <w:pStyle w:val="BodyText"/>
      </w:pPr>
      <w:r>
        <w:rPr/>
        <w:t>street gangs.</w:t>
      </w:r>
      <w:r>
        <w:rPr>
          <w:spacing w:val="57"/>
        </w:rPr>
        <w:t> </w:t>
      </w:r>
      <w:r>
        <w:rPr>
          <w:u w:val="single"/>
        </w:rPr>
        <w:t>Id.</w:t>
      </w:r>
    </w:p>
    <w:p>
      <w:pPr>
        <w:pStyle w:val="BodyText"/>
        <w:spacing w:before="2"/>
        <w:ind w:left="0"/>
        <w:rPr>
          <w:sz w:val="16"/>
        </w:rPr>
      </w:pPr>
    </w:p>
    <w:p>
      <w:pPr>
        <w:pStyle w:val="BodyText"/>
        <w:spacing w:line="480" w:lineRule="auto" w:before="90"/>
        <w:ind w:firstLine="720"/>
      </w:pPr>
      <w:r>
        <w:rPr/>
        <w:t>In 2001, Bornstein transferred to the Meriden Resident Agency of the FBI’s New Haven, Connecticut division.  </w:t>
      </w:r>
      <w:r>
        <w:rPr>
          <w:u w:val="single"/>
        </w:rPr>
        <w:t>Id.</w:t>
      </w:r>
      <w:r>
        <w:rPr/>
        <w:t>  Bornstein worked in Connecticut until 2012, discounting an</w:t>
      </w:r>
      <w:r>
        <w:rPr>
          <w:spacing w:val="49"/>
        </w:rPr>
        <w:t> </w:t>
      </w:r>
      <w:r>
        <w:rPr/>
        <w:t>18-month</w:t>
      </w:r>
    </w:p>
    <w:p>
      <w:pPr>
        <w:pStyle w:val="BodyText"/>
        <w:spacing w:line="480" w:lineRule="auto"/>
        <w:ind w:right="115"/>
        <w:jc w:val="both"/>
      </w:pPr>
      <w:r>
        <w:rPr/>
        <w:t>interval from 2008-2010, when he was temporarily assigned to Washington, D.C. During his tenure in Connecticut, Bornstein initially was a task-force coordinator for the Northern Connecticut</w:t>
      </w:r>
      <w:r>
        <w:rPr>
          <w:spacing w:val="29"/>
        </w:rPr>
        <w:t> </w:t>
      </w:r>
      <w:r>
        <w:rPr/>
        <w:t>Violent</w:t>
      </w:r>
      <w:r>
        <w:rPr>
          <w:spacing w:val="30"/>
        </w:rPr>
        <w:t> </w:t>
      </w:r>
      <w:r>
        <w:rPr/>
        <w:t>Crime</w:t>
      </w:r>
      <w:r>
        <w:rPr>
          <w:spacing w:val="29"/>
        </w:rPr>
        <w:t> </w:t>
      </w:r>
      <w:r>
        <w:rPr/>
        <w:t>Gang</w:t>
      </w:r>
      <w:r>
        <w:rPr>
          <w:spacing w:val="30"/>
        </w:rPr>
        <w:t> </w:t>
      </w:r>
      <w:r>
        <w:rPr/>
        <w:t>Task</w:t>
      </w:r>
      <w:r>
        <w:rPr>
          <w:spacing w:val="30"/>
        </w:rPr>
        <w:t> </w:t>
      </w:r>
      <w:r>
        <w:rPr/>
        <w:t>Force. </w:t>
      </w:r>
      <w:r>
        <w:rPr>
          <w:spacing w:val="59"/>
        </w:rPr>
        <w:t> </w:t>
      </w:r>
      <w:r>
        <w:rPr>
          <w:u w:val="single"/>
        </w:rPr>
        <w:t>Id.</w:t>
      </w:r>
      <w:r>
        <w:rPr>
          <w:spacing w:val="29"/>
        </w:rPr>
        <w:t> </w:t>
      </w:r>
      <w:r>
        <w:rPr/>
        <w:t>at</w:t>
      </w:r>
      <w:r>
        <w:rPr>
          <w:spacing w:val="28"/>
        </w:rPr>
        <w:t> </w:t>
      </w:r>
      <w:r>
        <w:rPr/>
        <w:t>23. </w:t>
      </w:r>
      <w:r>
        <w:rPr>
          <w:spacing w:val="59"/>
        </w:rPr>
        <w:t> </w:t>
      </w:r>
      <w:r>
        <w:rPr/>
        <w:t>In</w:t>
      </w:r>
      <w:r>
        <w:rPr>
          <w:spacing w:val="28"/>
        </w:rPr>
        <w:t> </w:t>
      </w:r>
      <w:r>
        <w:rPr/>
        <w:t>this</w:t>
      </w:r>
      <w:r>
        <w:rPr>
          <w:spacing w:val="29"/>
        </w:rPr>
        <w:t> </w:t>
      </w:r>
      <w:r>
        <w:rPr/>
        <w:t>position,</w:t>
      </w:r>
      <w:r>
        <w:rPr>
          <w:spacing w:val="29"/>
        </w:rPr>
        <w:t> </w:t>
      </w:r>
      <w:r>
        <w:rPr/>
        <w:t>Bornstein</w:t>
      </w:r>
      <w:r>
        <w:rPr>
          <w:spacing w:val="28"/>
        </w:rPr>
        <w:t> </w:t>
      </w:r>
      <w:r>
        <w:rPr/>
        <w:t>primarily</w:t>
      </w:r>
    </w:p>
    <w:p>
      <w:pPr>
        <w:pStyle w:val="BodyText"/>
        <w:spacing w:line="480" w:lineRule="auto"/>
        <w:ind w:right="117"/>
        <w:jc w:val="both"/>
      </w:pPr>
      <w:r>
        <w:rPr/>
        <w:t>investigated “neighborhood-based street gangs.” Bornstein’s duties in Connecticut from 2001- 2008 involved several investigations into local or neighborhood-based gangs, including the Five Corners Street Crew, the Jamaican Posse crew, the Lower Edgewood Street Crew, the Nelton Court</w:t>
      </w:r>
      <w:r>
        <w:rPr>
          <w:spacing w:val="11"/>
        </w:rPr>
        <w:t> </w:t>
      </w:r>
      <w:r>
        <w:rPr/>
        <w:t>Crew,</w:t>
      </w:r>
      <w:r>
        <w:rPr>
          <w:spacing w:val="11"/>
        </w:rPr>
        <w:t> </w:t>
      </w:r>
      <w:r>
        <w:rPr/>
        <w:t>the</w:t>
      </w:r>
      <w:r>
        <w:rPr>
          <w:spacing w:val="11"/>
        </w:rPr>
        <w:t> </w:t>
      </w:r>
      <w:r>
        <w:rPr/>
        <w:t>Savage</w:t>
      </w:r>
      <w:r>
        <w:rPr>
          <w:spacing w:val="11"/>
        </w:rPr>
        <w:t> </w:t>
      </w:r>
      <w:r>
        <w:rPr/>
        <w:t>Nomads,</w:t>
      </w:r>
      <w:r>
        <w:rPr>
          <w:spacing w:val="11"/>
        </w:rPr>
        <w:t> </w:t>
      </w:r>
      <w:r>
        <w:rPr/>
        <w:t>the</w:t>
      </w:r>
      <w:r>
        <w:rPr>
          <w:spacing w:val="12"/>
        </w:rPr>
        <w:t> </w:t>
      </w:r>
      <w:r>
        <w:rPr/>
        <w:t>South</w:t>
      </w:r>
      <w:r>
        <w:rPr>
          <w:spacing w:val="11"/>
        </w:rPr>
        <w:t> </w:t>
      </w:r>
      <w:r>
        <w:rPr/>
        <w:t>Marshal</w:t>
      </w:r>
      <w:r>
        <w:rPr>
          <w:spacing w:val="11"/>
        </w:rPr>
        <w:t> </w:t>
      </w:r>
      <w:r>
        <w:rPr/>
        <w:t>Street</w:t>
      </w:r>
      <w:r>
        <w:rPr>
          <w:spacing w:val="11"/>
        </w:rPr>
        <w:t> </w:t>
      </w:r>
      <w:r>
        <w:rPr/>
        <w:t>Crew,</w:t>
      </w:r>
      <w:r>
        <w:rPr>
          <w:spacing w:val="11"/>
        </w:rPr>
        <w:t> </w:t>
      </w:r>
      <w:r>
        <w:rPr/>
        <w:t>and</w:t>
      </w:r>
      <w:r>
        <w:rPr>
          <w:spacing w:val="11"/>
        </w:rPr>
        <w:t> </w:t>
      </w:r>
      <w:r>
        <w:rPr/>
        <w:t>the</w:t>
      </w:r>
      <w:r>
        <w:rPr>
          <w:spacing w:val="12"/>
        </w:rPr>
        <w:t> </w:t>
      </w:r>
      <w:r>
        <w:rPr/>
        <w:t>Tres</w:t>
      </w:r>
      <w:r>
        <w:rPr>
          <w:spacing w:val="11"/>
        </w:rPr>
        <w:t> </w:t>
      </w:r>
      <w:r>
        <w:rPr/>
        <w:t>Blood</w:t>
      </w:r>
      <w:r>
        <w:rPr>
          <w:spacing w:val="11"/>
        </w:rPr>
        <w:t> </w:t>
      </w:r>
      <w:r>
        <w:rPr/>
        <w:t>gang. </w:t>
      </w:r>
      <w:r>
        <w:rPr>
          <w:spacing w:val="22"/>
        </w:rPr>
        <w:t> </w:t>
      </w:r>
      <w:r>
        <w:rPr>
          <w:u w:val="single"/>
        </w:rPr>
        <w:t>Id.</w:t>
      </w:r>
    </w:p>
    <w:p>
      <w:pPr>
        <w:pStyle w:val="BodyText"/>
        <w:spacing w:line="480" w:lineRule="auto"/>
        <w:ind w:left="119" w:right="112"/>
      </w:pPr>
      <w:r>
        <w:rPr/>
        <w:t>at 26-30. Bornstein stated that the investigations into each of these gangs were similar — “like baking  cakes  almost,”  </w:t>
      </w:r>
      <w:r>
        <w:rPr>
          <w:u w:val="single"/>
        </w:rPr>
        <w:t>id.</w:t>
      </w:r>
      <w:r>
        <w:rPr/>
        <w:t>  at  30  —  involving  the  use  of  confidential  informants,</w:t>
      </w:r>
      <w:r>
        <w:rPr>
          <w:spacing w:val="4"/>
        </w:rPr>
        <w:t> </w:t>
      </w:r>
      <w:r>
        <w:rPr/>
        <w:t>controlled</w:t>
      </w:r>
    </w:p>
    <w:p>
      <w:pPr>
        <w:pStyle w:val="BodyText"/>
      </w:pPr>
      <w:r>
        <w:rPr/>
        <w:t>purchases of narcotics, and the running of wiretaps. </w:t>
      </w:r>
      <w:r>
        <w:rPr>
          <w:u w:val="single"/>
        </w:rPr>
        <w:t>Id.</w:t>
      </w:r>
      <w:r>
        <w:rPr/>
        <w:t> at 30-31. During the course of these</w:t>
      </w:r>
    </w:p>
    <w:p>
      <w:pPr>
        <w:spacing w:after="0"/>
        <w:sectPr>
          <w:headerReference w:type="default" r:id="rId16"/>
          <w:pgSz w:w="12240" w:h="15840"/>
          <w:pgMar w:header="283" w:footer="1019" w:top="1340" w:bottom="1200" w:left="1320" w:right="1320"/>
        </w:sectPr>
      </w:pPr>
    </w:p>
    <w:p>
      <w:pPr>
        <w:pStyle w:val="BodyText"/>
        <w:spacing w:line="480" w:lineRule="auto" w:before="89"/>
        <w:ind w:right="115"/>
        <w:jc w:val="both"/>
      </w:pPr>
      <w:r>
        <w:rPr/>
        <w:t>investigations, Bornstein listened to conversations of gang members through the wiretaps, spoke with cooperating witnesses — including gang members — and interviewed victims of gang violence. </w:t>
      </w:r>
      <w:r>
        <w:rPr>
          <w:u w:val="single"/>
        </w:rPr>
        <w:t>Id.</w:t>
      </w:r>
      <w:r>
        <w:rPr/>
        <w:t> at 31-32. Bornstein estimated that he spoke to “hundreds” of gang members during</w:t>
      </w:r>
    </w:p>
    <w:p>
      <w:pPr>
        <w:pStyle w:val="BodyText"/>
      </w:pPr>
      <w:r>
        <w:rPr/>
        <w:t>this time frame. </w:t>
      </w:r>
      <w:r>
        <w:rPr>
          <w:u w:val="single"/>
        </w:rPr>
        <w:t>Id.</w:t>
      </w:r>
      <w:r>
        <w:rPr/>
        <w:t> at 33.</w:t>
      </w:r>
    </w:p>
    <w:p>
      <w:pPr>
        <w:pStyle w:val="BodyText"/>
        <w:spacing w:before="2"/>
        <w:ind w:left="0"/>
        <w:rPr>
          <w:sz w:val="16"/>
        </w:rPr>
      </w:pPr>
    </w:p>
    <w:p>
      <w:pPr>
        <w:pStyle w:val="BodyText"/>
        <w:spacing w:line="480" w:lineRule="auto" w:before="90"/>
        <w:ind w:right="117" w:firstLine="720"/>
        <w:jc w:val="both"/>
      </w:pPr>
      <w:r>
        <w:rPr/>
        <w:t>Bornstein then took an 18-month break from working in Connecticut (September 2008 – May 2010), so that he could work as supervisory special agent for the FBI’s Safe Streets and Gang</w:t>
      </w:r>
      <w:r>
        <w:rPr>
          <w:spacing w:val="4"/>
        </w:rPr>
        <w:t> </w:t>
      </w:r>
      <w:r>
        <w:rPr/>
        <w:t>Unit</w:t>
      </w:r>
      <w:r>
        <w:rPr>
          <w:spacing w:val="5"/>
        </w:rPr>
        <w:t> </w:t>
      </w:r>
      <w:r>
        <w:rPr/>
        <w:t>in</w:t>
      </w:r>
      <w:r>
        <w:rPr>
          <w:spacing w:val="5"/>
        </w:rPr>
        <w:t> </w:t>
      </w:r>
      <w:r>
        <w:rPr/>
        <w:t>Washington,</w:t>
      </w:r>
      <w:r>
        <w:rPr>
          <w:spacing w:val="5"/>
        </w:rPr>
        <w:t> </w:t>
      </w:r>
      <w:r>
        <w:rPr/>
        <w:t>D.C. </w:t>
      </w:r>
      <w:r>
        <w:rPr>
          <w:spacing w:val="10"/>
        </w:rPr>
        <w:t> </w:t>
      </w:r>
      <w:r>
        <w:rPr>
          <w:u w:val="single"/>
        </w:rPr>
        <w:t>Id.</w:t>
      </w:r>
      <w:r>
        <w:rPr>
          <w:spacing w:val="5"/>
        </w:rPr>
        <w:t> </w:t>
      </w:r>
      <w:r>
        <w:rPr/>
        <w:t>at</w:t>
      </w:r>
      <w:r>
        <w:rPr>
          <w:spacing w:val="4"/>
        </w:rPr>
        <w:t> </w:t>
      </w:r>
      <w:r>
        <w:rPr/>
        <w:t>33. </w:t>
      </w:r>
      <w:r>
        <w:rPr>
          <w:spacing w:val="10"/>
        </w:rPr>
        <w:t> </w:t>
      </w:r>
      <w:r>
        <w:rPr/>
        <w:t>According</w:t>
      </w:r>
      <w:r>
        <w:rPr>
          <w:spacing w:val="5"/>
        </w:rPr>
        <w:t> </w:t>
      </w:r>
      <w:r>
        <w:rPr/>
        <w:t>to</w:t>
      </w:r>
      <w:r>
        <w:rPr>
          <w:spacing w:val="5"/>
        </w:rPr>
        <w:t> </w:t>
      </w:r>
      <w:r>
        <w:rPr/>
        <w:t>Bornstein,</w:t>
      </w:r>
      <w:r>
        <w:rPr>
          <w:spacing w:val="5"/>
        </w:rPr>
        <w:t> </w:t>
      </w:r>
      <w:r>
        <w:rPr/>
        <w:t>working</w:t>
      </w:r>
      <w:r>
        <w:rPr>
          <w:spacing w:val="5"/>
        </w:rPr>
        <w:t> </w:t>
      </w:r>
      <w:r>
        <w:rPr/>
        <w:t>at</w:t>
      </w:r>
      <w:r>
        <w:rPr>
          <w:spacing w:val="5"/>
        </w:rPr>
        <w:t> </w:t>
      </w:r>
      <w:r>
        <w:rPr/>
        <w:t>FBI</w:t>
      </w:r>
      <w:r>
        <w:rPr>
          <w:spacing w:val="4"/>
        </w:rPr>
        <w:t> </w:t>
      </w:r>
      <w:r>
        <w:rPr/>
        <w:t>headquarters</w:t>
      </w:r>
    </w:p>
    <w:p>
      <w:pPr>
        <w:pStyle w:val="BodyText"/>
      </w:pPr>
      <w:r>
        <w:rPr/>
        <w:t>gave</w:t>
      </w:r>
      <w:r>
        <w:rPr>
          <w:spacing w:val="34"/>
        </w:rPr>
        <w:t> </w:t>
      </w:r>
      <w:r>
        <w:rPr/>
        <w:t>him</w:t>
      </w:r>
      <w:r>
        <w:rPr>
          <w:spacing w:val="33"/>
        </w:rPr>
        <w:t> </w:t>
      </w:r>
      <w:r>
        <w:rPr/>
        <w:t>a</w:t>
      </w:r>
      <w:r>
        <w:rPr>
          <w:spacing w:val="34"/>
        </w:rPr>
        <w:t> </w:t>
      </w:r>
      <w:r>
        <w:rPr/>
        <w:t>national</w:t>
      </w:r>
      <w:r>
        <w:rPr>
          <w:spacing w:val="35"/>
        </w:rPr>
        <w:t> </w:t>
      </w:r>
      <w:r>
        <w:rPr/>
        <w:t>perspective</w:t>
      </w:r>
      <w:r>
        <w:rPr>
          <w:spacing w:val="34"/>
        </w:rPr>
        <w:t> </w:t>
      </w:r>
      <w:r>
        <w:rPr/>
        <w:t>on</w:t>
      </w:r>
      <w:r>
        <w:rPr>
          <w:spacing w:val="35"/>
        </w:rPr>
        <w:t> </w:t>
      </w:r>
      <w:r>
        <w:rPr/>
        <w:t>gangs.  </w:t>
      </w:r>
      <w:r>
        <w:rPr>
          <w:spacing w:val="8"/>
        </w:rPr>
        <w:t> </w:t>
      </w:r>
      <w:r>
        <w:rPr>
          <w:u w:val="single"/>
        </w:rPr>
        <w:t>Id.</w:t>
      </w:r>
      <w:r>
        <w:rPr/>
        <w:t>  </w:t>
      </w:r>
      <w:r>
        <w:rPr>
          <w:spacing w:val="8"/>
        </w:rPr>
        <w:t> </w:t>
      </w:r>
      <w:r>
        <w:rPr/>
        <w:t>Bornstein</w:t>
      </w:r>
      <w:r>
        <w:rPr>
          <w:spacing w:val="35"/>
        </w:rPr>
        <w:t> </w:t>
      </w:r>
      <w:r>
        <w:rPr/>
        <w:t>stated</w:t>
      </w:r>
      <w:r>
        <w:rPr>
          <w:spacing w:val="34"/>
        </w:rPr>
        <w:t> </w:t>
      </w:r>
      <w:r>
        <w:rPr/>
        <w:t>that</w:t>
      </w:r>
      <w:r>
        <w:rPr>
          <w:spacing w:val="35"/>
        </w:rPr>
        <w:t> </w:t>
      </w:r>
      <w:r>
        <w:rPr/>
        <w:t>he</w:t>
      </w:r>
      <w:r>
        <w:rPr>
          <w:spacing w:val="34"/>
        </w:rPr>
        <w:t> </w:t>
      </w:r>
      <w:r>
        <w:rPr/>
        <w:t>saw</w:t>
      </w:r>
      <w:r>
        <w:rPr>
          <w:spacing w:val="35"/>
        </w:rPr>
        <w:t> </w:t>
      </w:r>
      <w:r>
        <w:rPr/>
        <w:t>parallels</w:t>
      </w:r>
      <w:r>
        <w:rPr>
          <w:spacing w:val="34"/>
        </w:rPr>
        <w:t> </w:t>
      </w:r>
      <w:r>
        <w:rPr/>
        <w:t>among</w:t>
      </w:r>
    </w:p>
    <w:p>
      <w:pPr>
        <w:pStyle w:val="BodyText"/>
        <w:spacing w:before="2"/>
        <w:ind w:left="0"/>
        <w:rPr>
          <w:sz w:val="16"/>
        </w:rPr>
      </w:pPr>
    </w:p>
    <w:p>
      <w:pPr>
        <w:pStyle w:val="BodyText"/>
        <w:spacing w:line="480" w:lineRule="auto" w:before="90"/>
      </w:pPr>
      <w:r>
        <w:rPr/>
        <w:t>neighborhood-based street gangs around the country, such as the use of “gangsta” rap music and social</w:t>
      </w:r>
      <w:r>
        <w:rPr>
          <w:spacing w:val="16"/>
        </w:rPr>
        <w:t> </w:t>
      </w:r>
      <w:r>
        <w:rPr/>
        <w:t>media. </w:t>
      </w:r>
      <w:r>
        <w:rPr>
          <w:spacing w:val="32"/>
        </w:rPr>
        <w:t> </w:t>
      </w:r>
      <w:r>
        <w:rPr>
          <w:u w:val="single"/>
        </w:rPr>
        <w:t>Id.</w:t>
      </w:r>
      <w:r>
        <w:rPr>
          <w:spacing w:val="16"/>
        </w:rPr>
        <w:t> </w:t>
      </w:r>
      <w:r>
        <w:rPr/>
        <w:t>at</w:t>
      </w:r>
      <w:r>
        <w:rPr>
          <w:spacing w:val="16"/>
        </w:rPr>
        <w:t> </w:t>
      </w:r>
      <w:r>
        <w:rPr/>
        <w:t>34. </w:t>
      </w:r>
      <w:r>
        <w:rPr>
          <w:spacing w:val="33"/>
        </w:rPr>
        <w:t> </w:t>
      </w:r>
      <w:r>
        <w:rPr/>
        <w:t>During</w:t>
      </w:r>
      <w:r>
        <w:rPr>
          <w:spacing w:val="16"/>
        </w:rPr>
        <w:t> </w:t>
      </w:r>
      <w:r>
        <w:rPr/>
        <w:t>this</w:t>
      </w:r>
      <w:r>
        <w:rPr>
          <w:spacing w:val="16"/>
        </w:rPr>
        <w:t> </w:t>
      </w:r>
      <w:r>
        <w:rPr/>
        <w:t>time</w:t>
      </w:r>
      <w:r>
        <w:rPr>
          <w:spacing w:val="16"/>
        </w:rPr>
        <w:t> </w:t>
      </w:r>
      <w:r>
        <w:rPr/>
        <w:t>at</w:t>
      </w:r>
      <w:r>
        <w:rPr>
          <w:spacing w:val="16"/>
        </w:rPr>
        <w:t> </w:t>
      </w:r>
      <w:r>
        <w:rPr/>
        <w:t>headquarters,</w:t>
      </w:r>
      <w:r>
        <w:rPr>
          <w:spacing w:val="17"/>
        </w:rPr>
        <w:t> </w:t>
      </w:r>
      <w:r>
        <w:rPr/>
        <w:t>Bornstein</w:t>
      </w:r>
      <w:r>
        <w:rPr>
          <w:spacing w:val="16"/>
        </w:rPr>
        <w:t> </w:t>
      </w:r>
      <w:r>
        <w:rPr/>
        <w:t>would</w:t>
      </w:r>
      <w:r>
        <w:rPr>
          <w:spacing w:val="16"/>
        </w:rPr>
        <w:t> </w:t>
      </w:r>
      <w:r>
        <w:rPr/>
        <w:t>receive</w:t>
      </w:r>
      <w:r>
        <w:rPr>
          <w:spacing w:val="16"/>
        </w:rPr>
        <w:t> </w:t>
      </w:r>
      <w:r>
        <w:rPr/>
        <w:t>“significant</w:t>
      </w:r>
    </w:p>
    <w:p>
      <w:pPr>
        <w:pStyle w:val="BodyText"/>
        <w:spacing w:line="480" w:lineRule="auto"/>
      </w:pPr>
      <w:r>
        <w:rPr/>
        <w:t>activity reports” and “intelligence information reports” that would appraise him of gang activity across</w:t>
      </w:r>
      <w:r>
        <w:rPr>
          <w:spacing w:val="24"/>
        </w:rPr>
        <w:t> </w:t>
      </w:r>
      <w:r>
        <w:rPr/>
        <w:t>the</w:t>
      </w:r>
      <w:r>
        <w:rPr>
          <w:spacing w:val="25"/>
        </w:rPr>
        <w:t> </w:t>
      </w:r>
      <w:r>
        <w:rPr/>
        <w:t>nation. </w:t>
      </w:r>
      <w:r>
        <w:rPr>
          <w:spacing w:val="49"/>
        </w:rPr>
        <w:t> </w:t>
      </w:r>
      <w:r>
        <w:rPr>
          <w:u w:val="single"/>
        </w:rPr>
        <w:t>Id.</w:t>
      </w:r>
      <w:r>
        <w:rPr>
          <w:spacing w:val="25"/>
        </w:rPr>
        <w:t> </w:t>
      </w:r>
      <w:r>
        <w:rPr/>
        <w:t>at</w:t>
      </w:r>
      <w:r>
        <w:rPr>
          <w:spacing w:val="27"/>
        </w:rPr>
        <w:t> </w:t>
      </w:r>
      <w:r>
        <w:rPr/>
        <w:t>34-35. </w:t>
      </w:r>
      <w:r>
        <w:rPr>
          <w:spacing w:val="49"/>
        </w:rPr>
        <w:t> </w:t>
      </w:r>
      <w:r>
        <w:rPr/>
        <w:t>Bornstein</w:t>
      </w:r>
      <w:r>
        <w:rPr>
          <w:spacing w:val="25"/>
        </w:rPr>
        <w:t> </w:t>
      </w:r>
      <w:r>
        <w:rPr/>
        <w:t>stated</w:t>
      </w:r>
      <w:r>
        <w:rPr>
          <w:spacing w:val="25"/>
        </w:rPr>
        <w:t> </w:t>
      </w:r>
      <w:r>
        <w:rPr/>
        <w:t>that</w:t>
      </w:r>
      <w:r>
        <w:rPr>
          <w:spacing w:val="24"/>
        </w:rPr>
        <w:t> </w:t>
      </w:r>
      <w:r>
        <w:rPr/>
        <w:t>the</w:t>
      </w:r>
      <w:r>
        <w:rPr>
          <w:spacing w:val="25"/>
        </w:rPr>
        <w:t> </w:t>
      </w:r>
      <w:r>
        <w:rPr/>
        <w:t>review</w:t>
      </w:r>
      <w:r>
        <w:rPr>
          <w:spacing w:val="25"/>
        </w:rPr>
        <w:t> </w:t>
      </w:r>
      <w:r>
        <w:rPr/>
        <w:t>of</w:t>
      </w:r>
      <w:r>
        <w:rPr>
          <w:spacing w:val="25"/>
        </w:rPr>
        <w:t> </w:t>
      </w:r>
      <w:r>
        <w:rPr/>
        <w:t>those</w:t>
      </w:r>
      <w:r>
        <w:rPr>
          <w:spacing w:val="24"/>
        </w:rPr>
        <w:t> </w:t>
      </w:r>
      <w:r>
        <w:rPr/>
        <w:t>reports</w:t>
      </w:r>
      <w:r>
        <w:rPr>
          <w:spacing w:val="25"/>
        </w:rPr>
        <w:t> </w:t>
      </w:r>
      <w:r>
        <w:rPr/>
        <w:t>led</w:t>
      </w:r>
      <w:r>
        <w:rPr>
          <w:spacing w:val="25"/>
        </w:rPr>
        <w:t> </w:t>
      </w:r>
      <w:r>
        <w:rPr/>
        <w:t>him</w:t>
      </w:r>
      <w:r>
        <w:rPr>
          <w:spacing w:val="22"/>
        </w:rPr>
        <w:t> </w:t>
      </w:r>
      <w:r>
        <w:rPr/>
        <w:t>and</w:t>
      </w:r>
    </w:p>
    <w:p>
      <w:pPr>
        <w:pStyle w:val="BodyText"/>
      </w:pPr>
      <w:r>
        <w:rPr/>
        <w:t>others to change the FBI’s strategy in combating gangs. </w:t>
      </w:r>
      <w:r>
        <w:rPr>
          <w:u w:val="single"/>
        </w:rPr>
        <w:t>Id.</w:t>
      </w:r>
      <w:r>
        <w:rPr/>
        <w:t> at 36.</w:t>
      </w:r>
    </w:p>
    <w:p>
      <w:pPr>
        <w:pStyle w:val="BodyText"/>
        <w:spacing w:before="1"/>
        <w:ind w:left="0"/>
        <w:rPr>
          <w:sz w:val="16"/>
        </w:rPr>
      </w:pPr>
    </w:p>
    <w:p>
      <w:pPr>
        <w:pStyle w:val="BodyText"/>
        <w:spacing w:line="480" w:lineRule="auto" w:before="90"/>
        <w:ind w:right="115" w:firstLine="720"/>
      </w:pPr>
      <w:r>
        <w:rPr/>
        <w:t>However, Bornstein’s area of concentration at the time he was working for the Safe Streets and Gang Unit was the “west region,” which is not defined in the record. </w:t>
      </w:r>
      <w:r>
        <w:rPr>
          <w:u w:val="single"/>
        </w:rPr>
        <w:t>Id.</w:t>
      </w:r>
      <w:r>
        <w:rPr/>
        <w:t> at 35.</w:t>
      </w:r>
    </w:p>
    <w:p>
      <w:pPr>
        <w:pStyle w:val="BodyText"/>
        <w:spacing w:line="480" w:lineRule="auto"/>
        <w:ind w:right="117"/>
        <w:jc w:val="both"/>
      </w:pPr>
      <w:r>
        <w:rPr/>
        <w:t>Moreover, the record is devoid of any information concerning the particulars of the reports he received, i.e., the types and level of detail of information contained therein, how detailed they were concerning the subject gangs, what types of gangs were most prominent in the reports, how the reports led to changes in the FBI’s strategy, or what these changes in strategy were.</w:t>
      </w:r>
    </w:p>
    <w:p>
      <w:pPr>
        <w:pStyle w:val="BodyText"/>
        <w:spacing w:line="480" w:lineRule="auto" w:before="1"/>
        <w:ind w:right="116" w:firstLine="720"/>
        <w:jc w:val="both"/>
      </w:pPr>
      <w:r>
        <w:rPr/>
        <w:t>In addition to his participation in investigations and coordinating FBI strategy, Bornstein attended trainings that addressed gangs. Bornstein stated that his training at the FBI academy included programming “associated with the strategies and understandings of street gangs.”  </w:t>
      </w:r>
      <w:r>
        <w:rPr>
          <w:u w:val="single"/>
        </w:rPr>
        <w:t>Id.</w:t>
      </w:r>
      <w:r>
        <w:rPr>
          <w:spacing w:val="26"/>
        </w:rPr>
        <w:t> </w:t>
      </w:r>
      <w:r>
        <w:rPr/>
        <w:t>at</w:t>
      </w:r>
    </w:p>
    <w:p>
      <w:pPr>
        <w:pStyle w:val="BodyText"/>
      </w:pPr>
      <w:r>
        <w:rPr/>
        <w:t>8. </w:t>
      </w:r>
      <w:r>
        <w:rPr>
          <w:spacing w:val="52"/>
        </w:rPr>
        <w:t> </w:t>
      </w:r>
      <w:r>
        <w:rPr/>
        <w:t>While</w:t>
      </w:r>
      <w:r>
        <w:rPr>
          <w:spacing w:val="25"/>
        </w:rPr>
        <w:t> </w:t>
      </w:r>
      <w:r>
        <w:rPr/>
        <w:t>stationed</w:t>
      </w:r>
      <w:r>
        <w:rPr>
          <w:spacing w:val="26"/>
        </w:rPr>
        <w:t> </w:t>
      </w:r>
      <w:r>
        <w:rPr/>
        <w:t>in</w:t>
      </w:r>
      <w:r>
        <w:rPr>
          <w:spacing w:val="26"/>
        </w:rPr>
        <w:t> </w:t>
      </w:r>
      <w:r>
        <w:rPr/>
        <w:t>El</w:t>
      </w:r>
      <w:r>
        <w:rPr>
          <w:spacing w:val="26"/>
        </w:rPr>
        <w:t> </w:t>
      </w:r>
      <w:r>
        <w:rPr/>
        <w:t>Centro,</w:t>
      </w:r>
      <w:r>
        <w:rPr>
          <w:spacing w:val="26"/>
        </w:rPr>
        <w:t> </w:t>
      </w:r>
      <w:r>
        <w:rPr/>
        <w:t>California</w:t>
      </w:r>
      <w:r>
        <w:rPr>
          <w:spacing w:val="25"/>
        </w:rPr>
        <w:t> </w:t>
      </w:r>
      <w:r>
        <w:rPr/>
        <w:t>from</w:t>
      </w:r>
      <w:r>
        <w:rPr>
          <w:spacing w:val="26"/>
        </w:rPr>
        <w:t> </w:t>
      </w:r>
      <w:r>
        <w:rPr/>
        <w:t>2000–2001,</w:t>
      </w:r>
      <w:r>
        <w:rPr>
          <w:spacing w:val="26"/>
        </w:rPr>
        <w:t> </w:t>
      </w:r>
      <w:r>
        <w:rPr/>
        <w:t>Bornstein</w:t>
      </w:r>
      <w:r>
        <w:rPr>
          <w:spacing w:val="25"/>
        </w:rPr>
        <w:t> </w:t>
      </w:r>
      <w:r>
        <w:rPr/>
        <w:t>attended</w:t>
      </w:r>
      <w:r>
        <w:rPr>
          <w:spacing w:val="26"/>
        </w:rPr>
        <w:t> </w:t>
      </w:r>
      <w:r>
        <w:rPr/>
        <w:t>the</w:t>
      </w:r>
      <w:r>
        <w:rPr>
          <w:spacing w:val="26"/>
        </w:rPr>
        <w:t> </w:t>
      </w:r>
      <w:r>
        <w:rPr/>
        <w:t>Southern</w:t>
      </w:r>
    </w:p>
    <w:p>
      <w:pPr>
        <w:spacing w:after="0"/>
        <w:sectPr>
          <w:headerReference w:type="default" r:id="rId17"/>
          <w:pgSz w:w="12240" w:h="15840"/>
          <w:pgMar w:header="283" w:footer="1019" w:top="1340" w:bottom="1200" w:left="1320" w:right="1320"/>
        </w:sectPr>
      </w:pPr>
    </w:p>
    <w:p>
      <w:pPr>
        <w:pStyle w:val="BodyText"/>
        <w:spacing w:line="480" w:lineRule="auto" w:before="89"/>
        <w:ind w:right="117"/>
      </w:pPr>
      <w:r>
        <w:rPr/>
        <w:t>California Gang Conference, which he believed was presented by the National Gang Association. </w:t>
      </w:r>
      <w:r>
        <w:rPr>
          <w:spacing w:val="35"/>
        </w:rPr>
        <w:t> </w:t>
      </w:r>
      <w:r>
        <w:rPr>
          <w:u w:val="single"/>
        </w:rPr>
        <w:t>Id.</w:t>
      </w:r>
      <w:r>
        <w:rPr>
          <w:spacing w:val="18"/>
        </w:rPr>
        <w:t> </w:t>
      </w:r>
      <w:r>
        <w:rPr/>
        <w:t>at</w:t>
      </w:r>
      <w:r>
        <w:rPr>
          <w:spacing w:val="18"/>
        </w:rPr>
        <w:t> </w:t>
      </w:r>
      <w:r>
        <w:rPr/>
        <w:t>9. </w:t>
      </w:r>
      <w:r>
        <w:rPr>
          <w:spacing w:val="35"/>
        </w:rPr>
        <w:t> </w:t>
      </w:r>
      <w:r>
        <w:rPr/>
        <w:t>Bornstein</w:t>
      </w:r>
      <w:r>
        <w:rPr>
          <w:spacing w:val="17"/>
        </w:rPr>
        <w:t> </w:t>
      </w:r>
      <w:r>
        <w:rPr/>
        <w:t>testified</w:t>
      </w:r>
      <w:r>
        <w:rPr>
          <w:spacing w:val="17"/>
        </w:rPr>
        <w:t> </w:t>
      </w:r>
      <w:r>
        <w:rPr/>
        <w:t>that</w:t>
      </w:r>
      <w:r>
        <w:rPr>
          <w:spacing w:val="16"/>
        </w:rPr>
        <w:t> </w:t>
      </w:r>
      <w:r>
        <w:rPr/>
        <w:t>the</w:t>
      </w:r>
      <w:r>
        <w:rPr>
          <w:spacing w:val="17"/>
        </w:rPr>
        <w:t> </w:t>
      </w:r>
      <w:r>
        <w:rPr/>
        <w:t>conference</w:t>
      </w:r>
      <w:r>
        <w:rPr>
          <w:spacing w:val="16"/>
        </w:rPr>
        <w:t> </w:t>
      </w:r>
      <w:r>
        <w:rPr/>
        <w:t>focused</w:t>
      </w:r>
      <w:r>
        <w:rPr>
          <w:spacing w:val="18"/>
        </w:rPr>
        <w:t> </w:t>
      </w:r>
      <w:r>
        <w:rPr/>
        <w:t>on</w:t>
      </w:r>
      <w:r>
        <w:rPr>
          <w:spacing w:val="17"/>
        </w:rPr>
        <w:t> </w:t>
      </w:r>
      <w:r>
        <w:rPr/>
        <w:t>national</w:t>
      </w:r>
      <w:r>
        <w:rPr>
          <w:spacing w:val="18"/>
        </w:rPr>
        <w:t> </w:t>
      </w:r>
      <w:r>
        <w:rPr/>
        <w:t>gangs. </w:t>
      </w:r>
      <w:r>
        <w:rPr>
          <w:spacing w:val="36"/>
        </w:rPr>
        <w:t> </w:t>
      </w:r>
      <w:r>
        <w:rPr>
          <w:u w:val="single"/>
        </w:rPr>
        <w:t>Id.</w:t>
      </w:r>
      <w:r>
        <w:rPr>
          <w:spacing w:val="18"/>
        </w:rPr>
        <w:t> </w:t>
      </w:r>
      <w:r>
        <w:rPr/>
        <w:t>at</w:t>
      </w:r>
    </w:p>
    <w:p>
      <w:pPr>
        <w:pStyle w:val="ListParagraph"/>
        <w:numPr>
          <w:ilvl w:val="0"/>
          <w:numId w:val="8"/>
        </w:numPr>
        <w:tabs>
          <w:tab w:pos="576" w:val="left" w:leader="none"/>
        </w:tabs>
        <w:spacing w:line="480" w:lineRule="auto" w:before="0" w:after="0"/>
        <w:ind w:left="120" w:right="116" w:firstLine="0"/>
        <w:jc w:val="left"/>
        <w:rPr>
          <w:sz w:val="24"/>
        </w:rPr>
      </w:pPr>
      <w:r>
        <w:rPr>
          <w:sz w:val="24"/>
        </w:rPr>
        <w:t>In 2009, Bornstein also audited a course with the Los Angeles county sheriff’s department regarding</w:t>
      </w:r>
      <w:r>
        <w:rPr>
          <w:spacing w:val="6"/>
          <w:sz w:val="24"/>
        </w:rPr>
        <w:t> </w:t>
      </w:r>
      <w:r>
        <w:rPr>
          <w:sz w:val="24"/>
        </w:rPr>
        <w:t>national</w:t>
      </w:r>
      <w:r>
        <w:rPr>
          <w:spacing w:val="7"/>
          <w:sz w:val="24"/>
        </w:rPr>
        <w:t> </w:t>
      </w:r>
      <w:r>
        <w:rPr>
          <w:sz w:val="24"/>
        </w:rPr>
        <w:t>gangs. </w:t>
      </w:r>
      <w:r>
        <w:rPr>
          <w:spacing w:val="13"/>
          <w:sz w:val="24"/>
        </w:rPr>
        <w:t> </w:t>
      </w:r>
      <w:r>
        <w:rPr>
          <w:sz w:val="24"/>
          <w:u w:val="single"/>
        </w:rPr>
        <w:t>Id.</w:t>
      </w:r>
      <w:r>
        <w:rPr>
          <w:spacing w:val="6"/>
          <w:sz w:val="24"/>
        </w:rPr>
        <w:t> </w:t>
      </w:r>
      <w:r>
        <w:rPr>
          <w:sz w:val="24"/>
        </w:rPr>
        <w:t>at</w:t>
      </w:r>
      <w:r>
        <w:rPr>
          <w:spacing w:val="6"/>
          <w:sz w:val="24"/>
        </w:rPr>
        <w:t> </w:t>
      </w:r>
      <w:r>
        <w:rPr>
          <w:sz w:val="24"/>
        </w:rPr>
        <w:t>10-11. </w:t>
      </w:r>
      <w:r>
        <w:rPr>
          <w:spacing w:val="13"/>
          <w:sz w:val="24"/>
        </w:rPr>
        <w:t> </w:t>
      </w:r>
      <w:r>
        <w:rPr>
          <w:sz w:val="24"/>
        </w:rPr>
        <w:t>Bornstein</w:t>
      </w:r>
      <w:r>
        <w:rPr>
          <w:spacing w:val="7"/>
          <w:sz w:val="24"/>
        </w:rPr>
        <w:t> </w:t>
      </w:r>
      <w:r>
        <w:rPr>
          <w:sz w:val="24"/>
        </w:rPr>
        <w:t>also</w:t>
      </w:r>
      <w:r>
        <w:rPr>
          <w:spacing w:val="6"/>
          <w:sz w:val="24"/>
        </w:rPr>
        <w:t> </w:t>
      </w:r>
      <w:r>
        <w:rPr>
          <w:sz w:val="24"/>
        </w:rPr>
        <w:t>helped</w:t>
      </w:r>
      <w:r>
        <w:rPr>
          <w:spacing w:val="7"/>
          <w:sz w:val="24"/>
        </w:rPr>
        <w:t> </w:t>
      </w:r>
      <w:r>
        <w:rPr>
          <w:sz w:val="24"/>
        </w:rPr>
        <w:t>organize</w:t>
      </w:r>
      <w:r>
        <w:rPr>
          <w:spacing w:val="6"/>
          <w:sz w:val="24"/>
        </w:rPr>
        <w:t> </w:t>
      </w:r>
      <w:r>
        <w:rPr>
          <w:sz w:val="24"/>
        </w:rPr>
        <w:t>training</w:t>
      </w:r>
      <w:r>
        <w:rPr>
          <w:spacing w:val="7"/>
          <w:sz w:val="24"/>
        </w:rPr>
        <w:t> </w:t>
      </w:r>
      <w:r>
        <w:rPr>
          <w:sz w:val="24"/>
        </w:rPr>
        <w:t>for</w:t>
      </w:r>
      <w:r>
        <w:rPr>
          <w:spacing w:val="6"/>
          <w:sz w:val="24"/>
        </w:rPr>
        <w:t> </w:t>
      </w:r>
      <w:r>
        <w:rPr>
          <w:sz w:val="24"/>
        </w:rPr>
        <w:t>the</w:t>
      </w:r>
      <w:r>
        <w:rPr>
          <w:spacing w:val="7"/>
          <w:sz w:val="24"/>
        </w:rPr>
        <w:t> </w:t>
      </w:r>
      <w:r>
        <w:rPr>
          <w:sz w:val="24"/>
        </w:rPr>
        <w:t>FBI</w:t>
      </w:r>
      <w:r>
        <w:rPr>
          <w:spacing w:val="6"/>
          <w:sz w:val="24"/>
        </w:rPr>
        <w:t> </w:t>
      </w:r>
      <w:r>
        <w:rPr>
          <w:sz w:val="24"/>
        </w:rPr>
        <w:t>Safe</w:t>
      </w:r>
    </w:p>
    <w:p>
      <w:pPr>
        <w:pStyle w:val="BodyText"/>
      </w:pPr>
      <w:r>
        <w:rPr/>
        <w:t>Streets Initiative, also in 2009.  </w:t>
      </w:r>
      <w:r>
        <w:rPr>
          <w:u w:val="single"/>
        </w:rPr>
        <w:t>Id.</w:t>
      </w:r>
      <w:r>
        <w:rPr/>
        <w:t> at 11-12.  This training focused on regional and national</w:t>
      </w:r>
      <w:r>
        <w:rPr>
          <w:spacing w:val="50"/>
        </w:rPr>
        <w:t> </w:t>
      </w:r>
      <w:r>
        <w:rPr/>
        <w:t>gang</w:t>
      </w:r>
    </w:p>
    <w:p>
      <w:pPr>
        <w:pStyle w:val="BodyText"/>
        <w:spacing w:before="2"/>
        <w:ind w:left="0"/>
        <w:rPr>
          <w:sz w:val="16"/>
        </w:rPr>
      </w:pPr>
    </w:p>
    <w:p>
      <w:pPr>
        <w:pStyle w:val="BodyText"/>
        <w:spacing w:line="480" w:lineRule="auto" w:before="90"/>
        <w:ind w:left="119" w:right="102"/>
      </w:pPr>
      <w:r>
        <w:rPr/>
        <w:t>trends, best practices, FBI strategies in combating gangs, new legal requirements, and investigative</w:t>
      </w:r>
      <w:r>
        <w:rPr>
          <w:spacing w:val="35"/>
        </w:rPr>
        <w:t> </w:t>
      </w:r>
      <w:r>
        <w:rPr/>
        <w:t>techniques.  </w:t>
      </w:r>
      <w:r>
        <w:rPr>
          <w:spacing w:val="11"/>
        </w:rPr>
        <w:t> </w:t>
      </w:r>
      <w:r>
        <w:rPr>
          <w:u w:val="single"/>
        </w:rPr>
        <w:t>Id.</w:t>
      </w:r>
      <w:r>
        <w:rPr/>
        <w:t>  </w:t>
      </w:r>
      <w:r>
        <w:rPr>
          <w:spacing w:val="10"/>
        </w:rPr>
        <w:t> </w:t>
      </w:r>
      <w:r>
        <w:rPr/>
        <w:t>Bornstein</w:t>
      </w:r>
      <w:r>
        <w:rPr>
          <w:spacing w:val="35"/>
        </w:rPr>
        <w:t> </w:t>
      </w:r>
      <w:r>
        <w:rPr/>
        <w:t>explained</w:t>
      </w:r>
      <w:r>
        <w:rPr>
          <w:spacing w:val="34"/>
        </w:rPr>
        <w:t> </w:t>
      </w:r>
      <w:r>
        <w:rPr/>
        <w:t>that</w:t>
      </w:r>
      <w:r>
        <w:rPr>
          <w:spacing w:val="35"/>
        </w:rPr>
        <w:t> </w:t>
      </w:r>
      <w:r>
        <w:rPr/>
        <w:t>the</w:t>
      </w:r>
      <w:r>
        <w:rPr>
          <w:spacing w:val="34"/>
        </w:rPr>
        <w:t> </w:t>
      </w:r>
      <w:r>
        <w:rPr/>
        <w:t>FBI</w:t>
      </w:r>
      <w:r>
        <w:rPr>
          <w:spacing w:val="35"/>
        </w:rPr>
        <w:t> </w:t>
      </w:r>
      <w:r>
        <w:rPr/>
        <w:t>Safe</w:t>
      </w:r>
      <w:r>
        <w:rPr>
          <w:spacing w:val="35"/>
        </w:rPr>
        <w:t> </w:t>
      </w:r>
      <w:r>
        <w:rPr/>
        <w:t>Streets</w:t>
      </w:r>
      <w:r>
        <w:rPr>
          <w:spacing w:val="35"/>
        </w:rPr>
        <w:t> </w:t>
      </w:r>
      <w:r>
        <w:rPr/>
        <w:t>Initiative</w:t>
      </w:r>
      <w:r>
        <w:rPr>
          <w:spacing w:val="34"/>
        </w:rPr>
        <w:t> </w:t>
      </w:r>
      <w:r>
        <w:rPr/>
        <w:t>was</w:t>
      </w:r>
      <w:r>
        <w:rPr>
          <w:spacing w:val="35"/>
        </w:rPr>
        <w:t> </w:t>
      </w:r>
      <w:r>
        <w:rPr/>
        <w:t>an</w:t>
      </w:r>
    </w:p>
    <w:p>
      <w:pPr>
        <w:pStyle w:val="BodyText"/>
        <w:spacing w:line="480" w:lineRule="auto"/>
        <w:ind w:left="119"/>
      </w:pPr>
      <w:r>
        <w:rPr/>
        <w:t>FBI-led effort to support local law enforcement partners around the nation in combating violent crime, including the emerging threat of gang violence. </w:t>
      </w:r>
      <w:r>
        <w:rPr>
          <w:u w:val="single"/>
        </w:rPr>
        <w:t>Id.</w:t>
      </w:r>
      <w:r>
        <w:rPr/>
        <w:t> at 12.</w:t>
      </w:r>
    </w:p>
    <w:p>
      <w:pPr>
        <w:pStyle w:val="BodyText"/>
        <w:spacing w:line="480" w:lineRule="auto"/>
        <w:ind w:left="119" w:right="117" w:firstLine="720"/>
        <w:jc w:val="both"/>
      </w:pPr>
      <w:r>
        <w:rPr/>
        <w:t>Regarding his prior service as an expert witness, Bornstein stated that he had testified as an expert witness four times in cases relating to drug trafficking, three times in Connecticut and once in Oklahoma. </w:t>
      </w:r>
      <w:r>
        <w:rPr>
          <w:u w:val="single"/>
        </w:rPr>
        <w:t>Id.</w:t>
      </w:r>
      <w:r>
        <w:rPr/>
        <w:t> at 36-37. In those cases, Bornstein testified as to the distribution of</w:t>
      </w:r>
    </w:p>
    <w:p>
      <w:pPr>
        <w:pStyle w:val="BodyText"/>
        <w:spacing w:line="480" w:lineRule="auto"/>
        <w:ind w:right="102"/>
      </w:pPr>
      <w:r>
        <w:rPr/>
        <w:t>narcotics and the use of firearms as a tool of drug traffickers, but not about a specific gang or gang practices in general. </w:t>
      </w:r>
      <w:r>
        <w:rPr>
          <w:u w:val="single"/>
        </w:rPr>
        <w:t>Id.</w:t>
      </w:r>
    </w:p>
    <w:p>
      <w:pPr>
        <w:pStyle w:val="Heading1"/>
        <w:numPr>
          <w:ilvl w:val="1"/>
          <w:numId w:val="7"/>
        </w:numPr>
        <w:tabs>
          <w:tab w:pos="3000" w:val="left" w:leader="none"/>
        </w:tabs>
        <w:spacing w:line="240" w:lineRule="auto" w:before="2" w:after="0"/>
        <w:ind w:left="3000" w:right="0" w:hanging="360"/>
        <w:jc w:val="left"/>
      </w:pPr>
      <w:r>
        <w:rPr/>
        <w:t>Agent Bornstein’s Testimony Regarding</w:t>
      </w:r>
      <w:r>
        <w:rPr>
          <w:spacing w:val="-1"/>
        </w:rPr>
        <w:t> </w:t>
      </w:r>
      <w:r>
        <w:rPr/>
        <w:t>Gangs</w:t>
      </w:r>
    </w:p>
    <w:p>
      <w:pPr>
        <w:pStyle w:val="BodyText"/>
        <w:spacing w:before="9"/>
        <w:ind w:left="0"/>
        <w:rPr>
          <w:b/>
          <w:sz w:val="23"/>
        </w:rPr>
      </w:pPr>
    </w:p>
    <w:p>
      <w:pPr>
        <w:pStyle w:val="BodyText"/>
        <w:spacing w:line="480" w:lineRule="auto"/>
        <w:ind w:left="119" w:right="116" w:firstLine="720"/>
        <w:jc w:val="both"/>
      </w:pPr>
      <w:r>
        <w:rPr/>
        <w:t>Bornstein testified that “the Department of Justice has defined a gang as being three or more individuals that collectively identify themselves within a group and this group utilizes fear and intimidation by employing various . . . techniques or various forms of culture to express their group.”    </w:t>
      </w:r>
      <w:r>
        <w:rPr>
          <w:u w:val="single"/>
        </w:rPr>
        <w:t>Id.</w:t>
      </w:r>
      <w:r>
        <w:rPr/>
        <w:t>  at  24.    National  gangs  are  “multi-jurisdictional”  and  “usually  have  more  of</w:t>
      </w:r>
      <w:r>
        <w:rPr>
          <w:spacing w:val="4"/>
        </w:rPr>
        <w:t> </w:t>
      </w:r>
      <w:r>
        <w:rPr/>
        <w:t>a</w:t>
      </w:r>
    </w:p>
    <w:p>
      <w:pPr>
        <w:pStyle w:val="BodyText"/>
      </w:pPr>
      <w:r>
        <w:rPr/>
        <w:t>hierarchy structure.’’  </w:t>
      </w:r>
      <w:r>
        <w:rPr>
          <w:u w:val="single"/>
        </w:rPr>
        <w:t>Id.</w:t>
      </w:r>
      <w:r>
        <w:rPr/>
        <w:t>  A neighborhood-based street gang, in contrast, operates only in a</w:t>
      </w:r>
      <w:r>
        <w:rPr>
          <w:spacing w:val="-27"/>
        </w:rPr>
        <w:t> </w:t>
      </w:r>
      <w:r>
        <w:rPr/>
        <w:t>small</w:t>
      </w:r>
    </w:p>
    <w:p>
      <w:pPr>
        <w:pStyle w:val="BodyText"/>
        <w:spacing w:before="2"/>
        <w:ind w:left="0"/>
        <w:rPr>
          <w:sz w:val="16"/>
        </w:rPr>
      </w:pPr>
    </w:p>
    <w:p>
      <w:pPr>
        <w:pStyle w:val="BodyText"/>
        <w:tabs>
          <w:tab w:pos="8208" w:val="left" w:leader="none"/>
        </w:tabs>
        <w:spacing w:line="480" w:lineRule="auto" w:before="90"/>
        <w:ind w:right="112"/>
      </w:pPr>
      <w:r>
        <w:rPr/>
        <w:t>area, perhaps “born through housing project developments, individuals that grow up together that form</w:t>
      </w:r>
      <w:r>
        <w:rPr>
          <w:spacing w:val="47"/>
        </w:rPr>
        <w:t> </w:t>
      </w:r>
      <w:r>
        <w:rPr/>
        <w:t>an</w:t>
      </w:r>
      <w:r>
        <w:rPr>
          <w:spacing w:val="50"/>
        </w:rPr>
        <w:t> </w:t>
      </w:r>
      <w:r>
        <w:rPr/>
        <w:t>alliance,</w:t>
      </w:r>
      <w:r>
        <w:rPr>
          <w:spacing w:val="50"/>
        </w:rPr>
        <w:t> </w:t>
      </w:r>
      <w:r>
        <w:rPr/>
        <w:t>that</w:t>
      </w:r>
      <w:r>
        <w:rPr>
          <w:spacing w:val="49"/>
        </w:rPr>
        <w:t> </w:t>
      </w:r>
      <w:r>
        <w:rPr/>
        <w:t>share</w:t>
      </w:r>
      <w:r>
        <w:rPr>
          <w:spacing w:val="50"/>
        </w:rPr>
        <w:t> </w:t>
      </w:r>
      <w:r>
        <w:rPr/>
        <w:t>blocks</w:t>
      </w:r>
      <w:r>
        <w:rPr>
          <w:spacing w:val="49"/>
        </w:rPr>
        <w:t> </w:t>
      </w:r>
      <w:r>
        <w:rPr/>
        <w:t>in</w:t>
      </w:r>
      <w:r>
        <w:rPr>
          <w:spacing w:val="49"/>
        </w:rPr>
        <w:t> </w:t>
      </w:r>
      <w:r>
        <w:rPr/>
        <w:t>where</w:t>
      </w:r>
      <w:r>
        <w:rPr>
          <w:spacing w:val="50"/>
        </w:rPr>
        <w:t> </w:t>
      </w:r>
      <w:r>
        <w:rPr/>
        <w:t>they</w:t>
      </w:r>
      <w:r>
        <w:rPr>
          <w:spacing w:val="50"/>
        </w:rPr>
        <w:t> </w:t>
      </w:r>
      <w:r>
        <w:rPr/>
        <w:t>could</w:t>
      </w:r>
      <w:r>
        <w:rPr>
          <w:spacing w:val="49"/>
        </w:rPr>
        <w:t> </w:t>
      </w:r>
      <w:r>
        <w:rPr/>
        <w:t>distribute</w:t>
      </w:r>
      <w:r>
        <w:rPr>
          <w:spacing w:val="50"/>
        </w:rPr>
        <w:t> </w:t>
      </w:r>
      <w:r>
        <w:rPr/>
        <w:t>narcotics.”</w:t>
        <w:tab/>
      </w:r>
      <w:r>
        <w:rPr>
          <w:u w:val="single"/>
        </w:rPr>
        <w:t>Id.</w:t>
      </w:r>
      <w:r>
        <w:rPr/>
        <w:t>  at</w:t>
      </w:r>
      <w:r>
        <w:rPr>
          <w:spacing w:val="27"/>
        </w:rPr>
        <w:t> </w:t>
      </w:r>
      <w:r>
        <w:rPr/>
        <w:t>25-26.</w:t>
      </w:r>
    </w:p>
    <w:p>
      <w:pPr>
        <w:pStyle w:val="BodyText"/>
      </w:pPr>
      <w:r>
        <w:rPr/>
        <w:t>According</w:t>
      </w:r>
      <w:r>
        <w:rPr>
          <w:spacing w:val="15"/>
        </w:rPr>
        <w:t> </w:t>
      </w:r>
      <w:r>
        <w:rPr/>
        <w:t>to</w:t>
      </w:r>
      <w:r>
        <w:rPr>
          <w:spacing w:val="16"/>
        </w:rPr>
        <w:t> </w:t>
      </w:r>
      <w:r>
        <w:rPr/>
        <w:t>Bornstein,</w:t>
      </w:r>
      <w:r>
        <w:rPr>
          <w:spacing w:val="16"/>
        </w:rPr>
        <w:t> </w:t>
      </w:r>
      <w:r>
        <w:rPr/>
        <w:t>although</w:t>
      </w:r>
      <w:r>
        <w:rPr>
          <w:spacing w:val="16"/>
        </w:rPr>
        <w:t> </w:t>
      </w:r>
      <w:r>
        <w:rPr/>
        <w:t>a</w:t>
      </w:r>
      <w:r>
        <w:rPr>
          <w:spacing w:val="15"/>
        </w:rPr>
        <w:t> </w:t>
      </w:r>
      <w:r>
        <w:rPr/>
        <w:t>neighborhood-based</w:t>
      </w:r>
      <w:r>
        <w:rPr>
          <w:spacing w:val="16"/>
        </w:rPr>
        <w:t> </w:t>
      </w:r>
      <w:r>
        <w:rPr/>
        <w:t>street</w:t>
      </w:r>
      <w:r>
        <w:rPr>
          <w:spacing w:val="16"/>
        </w:rPr>
        <w:t> </w:t>
      </w:r>
      <w:r>
        <w:rPr/>
        <w:t>gang</w:t>
      </w:r>
      <w:r>
        <w:rPr>
          <w:spacing w:val="16"/>
        </w:rPr>
        <w:t> </w:t>
      </w:r>
      <w:r>
        <w:rPr/>
        <w:t>would</w:t>
      </w:r>
      <w:r>
        <w:rPr>
          <w:spacing w:val="16"/>
        </w:rPr>
        <w:t> </w:t>
      </w:r>
      <w:r>
        <w:rPr/>
        <w:t>adopt</w:t>
      </w:r>
      <w:r>
        <w:rPr>
          <w:spacing w:val="15"/>
        </w:rPr>
        <w:t> </w:t>
      </w:r>
      <w:r>
        <w:rPr/>
        <w:t>some</w:t>
      </w:r>
      <w:r>
        <w:rPr>
          <w:spacing w:val="18"/>
        </w:rPr>
        <w:t> </w:t>
      </w:r>
      <w:r>
        <w:rPr/>
        <w:t>outward</w:t>
      </w:r>
    </w:p>
    <w:p>
      <w:pPr>
        <w:spacing w:after="0"/>
        <w:sectPr>
          <w:headerReference w:type="default" r:id="rId18"/>
          <w:pgSz w:w="12240" w:h="15840"/>
          <w:pgMar w:header="283" w:footer="1019" w:top="1340" w:bottom="1200" w:left="1320" w:right="1320"/>
        </w:sectPr>
      </w:pPr>
    </w:p>
    <w:p>
      <w:pPr>
        <w:pStyle w:val="BodyText"/>
        <w:spacing w:line="480" w:lineRule="auto" w:before="89"/>
        <w:ind w:right="208"/>
      </w:pPr>
      <w:r>
        <w:rPr/>
        <w:t>signs aligned with a national gang, such as clothing or colors, the neighborhood-based street gang would not actually owe allegiance to the national gang. </w:t>
      </w:r>
      <w:r>
        <w:rPr>
          <w:u w:val="single"/>
        </w:rPr>
        <w:t>Id.</w:t>
      </w:r>
      <w:r>
        <w:rPr/>
        <w:t> at</w:t>
      </w:r>
      <w:r>
        <w:rPr>
          <w:spacing w:val="-11"/>
        </w:rPr>
        <w:t> </w:t>
      </w:r>
      <w:r>
        <w:rPr/>
        <w:t>26.</w:t>
      </w:r>
    </w:p>
    <w:p>
      <w:pPr>
        <w:pStyle w:val="BodyText"/>
        <w:spacing w:line="480" w:lineRule="auto"/>
        <w:ind w:right="113" w:firstLine="720"/>
      </w:pPr>
      <w:r>
        <w:rPr/>
        <w:t>Bornstein also testified concerning some of the common practices, attributes, and traits of gangs.  </w:t>
      </w:r>
      <w:r>
        <w:rPr>
          <w:u w:val="single"/>
        </w:rPr>
        <w:t>Id.</w:t>
      </w:r>
      <w:r>
        <w:rPr/>
        <w:t> at 37-50.  Bornstein stated that “the commonality” between neighborhood-based</w:t>
      </w:r>
      <w:r>
        <w:rPr>
          <w:spacing w:val="-11"/>
        </w:rPr>
        <w:t> </w:t>
      </w:r>
      <w:r>
        <w:rPr/>
        <w:t>street</w:t>
      </w:r>
    </w:p>
    <w:p>
      <w:pPr>
        <w:pStyle w:val="BodyText"/>
        <w:spacing w:line="480" w:lineRule="auto"/>
        <w:ind w:left="119" w:right="116"/>
      </w:pPr>
      <w:r>
        <w:rPr/>
        <w:t>gangs is how they are formed, usually drawing gang members from a particular housing project or community.  </w:t>
      </w:r>
      <w:r>
        <w:rPr>
          <w:u w:val="single"/>
        </w:rPr>
        <w:t>Id.</w:t>
      </w:r>
      <w:r>
        <w:rPr/>
        <w:t> at 37.  Furthermore, individuals join gangs in order to distribute narcotics. </w:t>
      </w:r>
      <w:r>
        <w:rPr>
          <w:spacing w:val="1"/>
        </w:rPr>
        <w:t> </w:t>
      </w:r>
      <w:r>
        <w:rPr>
          <w:u w:val="single"/>
        </w:rPr>
        <w:t>Id.</w:t>
      </w:r>
    </w:p>
    <w:p>
      <w:pPr>
        <w:pStyle w:val="BodyText"/>
        <w:spacing w:line="480" w:lineRule="auto"/>
        <w:ind w:right="116"/>
      </w:pPr>
      <w:r>
        <w:rPr/>
        <w:t>at 38. In doing so, gangs “defend territory” from other gangs to secure the profit margins from the gang’s drug trafficking.  </w:t>
      </w:r>
      <w:r>
        <w:rPr>
          <w:u w:val="single"/>
        </w:rPr>
        <w:t>Id.</w:t>
      </w:r>
      <w:r>
        <w:rPr/>
        <w:t>  In order to defend their territory, Bornstein stated that gangs</w:t>
      </w:r>
      <w:r>
        <w:rPr>
          <w:spacing w:val="52"/>
        </w:rPr>
        <w:t> </w:t>
      </w:r>
      <w:r>
        <w:rPr/>
        <w:t>use</w:t>
      </w:r>
    </w:p>
    <w:p>
      <w:pPr>
        <w:pStyle w:val="BodyText"/>
      </w:pPr>
      <w:r>
        <w:rPr/>
        <w:t>violence, </w:t>
      </w:r>
      <w:r>
        <w:rPr>
          <w:u w:val="single"/>
        </w:rPr>
        <w:t>id.</w:t>
      </w:r>
      <w:r>
        <w:rPr/>
        <w:t>, which serves as a deterrent to other gangs or individuals who would encroach</w:t>
      </w:r>
      <w:r>
        <w:rPr>
          <w:spacing w:val="35"/>
        </w:rPr>
        <w:t> </w:t>
      </w:r>
      <w:r>
        <w:rPr/>
        <w:t>upon</w:t>
      </w:r>
    </w:p>
    <w:p>
      <w:pPr>
        <w:pStyle w:val="BodyText"/>
        <w:spacing w:before="2"/>
        <w:ind w:left="0"/>
        <w:rPr>
          <w:sz w:val="16"/>
        </w:rPr>
      </w:pPr>
    </w:p>
    <w:p>
      <w:pPr>
        <w:pStyle w:val="BodyText"/>
        <w:spacing w:before="90"/>
      </w:pPr>
      <w:r>
        <w:rPr/>
        <w:t>a gang’s territory, and as a method to enhance a gang’s or gang member’s credibility. </w:t>
      </w:r>
      <w:r>
        <w:rPr>
          <w:u w:val="single"/>
        </w:rPr>
        <w:t>Id.</w:t>
      </w:r>
      <w:r>
        <w:rPr/>
        <w:t> at 39.</w:t>
      </w:r>
    </w:p>
    <w:p>
      <w:pPr>
        <w:pStyle w:val="BodyText"/>
        <w:spacing w:before="2"/>
        <w:ind w:left="0"/>
        <w:rPr>
          <w:sz w:val="16"/>
        </w:rPr>
      </w:pPr>
    </w:p>
    <w:p>
      <w:pPr>
        <w:pStyle w:val="BodyText"/>
        <w:spacing w:line="480" w:lineRule="auto" w:before="90"/>
        <w:ind w:left="119" w:right="117" w:firstLine="720"/>
        <w:jc w:val="both"/>
      </w:pPr>
      <w:r>
        <w:rPr/>
        <w:t>In addition to territory and violence, Bornstein testified that gangs generally make use of internal codes or rules, graffiti, rap music, social media, tattoos, handshakes, and hand signs to define or differentiate themselves.  </w:t>
      </w:r>
      <w:r>
        <w:rPr>
          <w:u w:val="single"/>
        </w:rPr>
        <w:t>Id.</w:t>
      </w:r>
      <w:r>
        <w:rPr/>
        <w:t> at 40-46.  Gangs also, as stated by Bornstein, use</w:t>
      </w:r>
      <w:r>
        <w:rPr>
          <w:spacing w:val="21"/>
        </w:rPr>
        <w:t> </w:t>
      </w:r>
      <w:r>
        <w:rPr/>
        <w:t>weapons</w:t>
      </w:r>
    </w:p>
    <w:p>
      <w:pPr>
        <w:pStyle w:val="BodyText"/>
        <w:spacing w:line="276" w:lineRule="exact"/>
      </w:pPr>
      <w:r>
        <w:rPr/>
        <w:t>to</w:t>
      </w:r>
      <w:r>
        <w:rPr>
          <w:spacing w:val="38"/>
        </w:rPr>
        <w:t> </w:t>
      </w:r>
      <w:r>
        <w:rPr/>
        <w:t>promote</w:t>
      </w:r>
      <w:r>
        <w:rPr>
          <w:spacing w:val="39"/>
        </w:rPr>
        <w:t> </w:t>
      </w:r>
      <w:r>
        <w:rPr/>
        <w:t>their</w:t>
      </w:r>
      <w:r>
        <w:rPr>
          <w:spacing w:val="39"/>
        </w:rPr>
        <w:t> </w:t>
      </w:r>
      <w:r>
        <w:rPr/>
        <w:t>endeavors,</w:t>
      </w:r>
      <w:r>
        <w:rPr>
          <w:spacing w:val="39"/>
        </w:rPr>
        <w:t> </w:t>
      </w:r>
      <w:r>
        <w:rPr/>
        <w:t>such</w:t>
      </w:r>
      <w:r>
        <w:rPr>
          <w:spacing w:val="38"/>
        </w:rPr>
        <w:t> </w:t>
      </w:r>
      <w:r>
        <w:rPr/>
        <w:t>as</w:t>
      </w:r>
      <w:r>
        <w:rPr>
          <w:spacing w:val="39"/>
        </w:rPr>
        <w:t> </w:t>
      </w:r>
      <w:r>
        <w:rPr/>
        <w:t>coordinating</w:t>
      </w:r>
      <w:r>
        <w:rPr>
          <w:spacing w:val="39"/>
        </w:rPr>
        <w:t> </w:t>
      </w:r>
      <w:r>
        <w:rPr/>
        <w:t>a</w:t>
      </w:r>
      <w:r>
        <w:rPr>
          <w:spacing w:val="39"/>
        </w:rPr>
        <w:t> </w:t>
      </w:r>
      <w:r>
        <w:rPr/>
        <w:t>supply</w:t>
      </w:r>
      <w:r>
        <w:rPr>
          <w:spacing w:val="39"/>
        </w:rPr>
        <w:t> </w:t>
      </w:r>
      <w:r>
        <w:rPr/>
        <w:t>of</w:t>
      </w:r>
      <w:r>
        <w:rPr>
          <w:spacing w:val="38"/>
        </w:rPr>
        <w:t> </w:t>
      </w:r>
      <w:r>
        <w:rPr/>
        <w:t>narcotics.  </w:t>
      </w:r>
      <w:r>
        <w:rPr>
          <w:spacing w:val="19"/>
        </w:rPr>
        <w:t> </w:t>
      </w:r>
      <w:r>
        <w:rPr>
          <w:u w:val="single"/>
        </w:rPr>
        <w:t>Id.</w:t>
      </w:r>
      <w:r>
        <w:rPr>
          <w:spacing w:val="39"/>
        </w:rPr>
        <w:t> </w:t>
      </w:r>
      <w:r>
        <w:rPr/>
        <w:t>at</w:t>
      </w:r>
      <w:r>
        <w:rPr>
          <w:spacing w:val="39"/>
        </w:rPr>
        <w:t> </w:t>
      </w:r>
      <w:r>
        <w:rPr/>
        <w:t>46-47,</w:t>
      </w:r>
      <w:r>
        <w:rPr>
          <w:spacing w:val="38"/>
        </w:rPr>
        <w:t> </w:t>
      </w:r>
      <w:r>
        <w:rPr/>
        <w:t>48-49.</w:t>
      </w:r>
    </w:p>
    <w:p>
      <w:pPr>
        <w:pStyle w:val="BodyText"/>
        <w:spacing w:before="2"/>
        <w:ind w:left="0"/>
        <w:rPr>
          <w:sz w:val="16"/>
        </w:rPr>
      </w:pPr>
    </w:p>
    <w:p>
      <w:pPr>
        <w:pStyle w:val="BodyText"/>
        <w:spacing w:before="90"/>
      </w:pPr>
      <w:r>
        <w:rPr/>
        <w:t>Gangs</w:t>
      </w:r>
      <w:r>
        <w:rPr>
          <w:spacing w:val="21"/>
        </w:rPr>
        <w:t> </w:t>
      </w:r>
      <w:r>
        <w:rPr/>
        <w:t>commonly</w:t>
      </w:r>
      <w:r>
        <w:rPr>
          <w:spacing w:val="21"/>
        </w:rPr>
        <w:t> </w:t>
      </w:r>
      <w:r>
        <w:rPr/>
        <w:t>support</w:t>
      </w:r>
      <w:r>
        <w:rPr>
          <w:spacing w:val="22"/>
        </w:rPr>
        <w:t> </w:t>
      </w:r>
      <w:r>
        <w:rPr/>
        <w:t>incarcerated</w:t>
      </w:r>
      <w:r>
        <w:rPr>
          <w:spacing w:val="21"/>
        </w:rPr>
        <w:t> </w:t>
      </w:r>
      <w:r>
        <w:rPr/>
        <w:t>members</w:t>
      </w:r>
      <w:r>
        <w:rPr>
          <w:spacing w:val="22"/>
        </w:rPr>
        <w:t> </w:t>
      </w:r>
      <w:r>
        <w:rPr/>
        <w:t>and</w:t>
      </w:r>
      <w:r>
        <w:rPr>
          <w:spacing w:val="19"/>
        </w:rPr>
        <w:t> </w:t>
      </w:r>
      <w:r>
        <w:rPr/>
        <w:t>pay</w:t>
      </w:r>
      <w:r>
        <w:rPr>
          <w:spacing w:val="22"/>
        </w:rPr>
        <w:t> </w:t>
      </w:r>
      <w:r>
        <w:rPr/>
        <w:t>homage</w:t>
      </w:r>
      <w:r>
        <w:rPr>
          <w:spacing w:val="21"/>
        </w:rPr>
        <w:t> </w:t>
      </w:r>
      <w:r>
        <w:rPr/>
        <w:t>to</w:t>
      </w:r>
      <w:r>
        <w:rPr>
          <w:spacing w:val="22"/>
        </w:rPr>
        <w:t> </w:t>
      </w:r>
      <w:r>
        <w:rPr/>
        <w:t>deceased</w:t>
      </w:r>
      <w:r>
        <w:rPr>
          <w:spacing w:val="20"/>
        </w:rPr>
        <w:t> </w:t>
      </w:r>
      <w:r>
        <w:rPr/>
        <w:t>members. </w:t>
      </w:r>
      <w:r>
        <w:rPr>
          <w:spacing w:val="44"/>
        </w:rPr>
        <w:t> </w:t>
      </w:r>
      <w:r>
        <w:rPr>
          <w:u w:val="single"/>
        </w:rPr>
        <w:t>Id.</w:t>
      </w:r>
      <w:r>
        <w:rPr>
          <w:spacing w:val="20"/>
        </w:rPr>
        <w:t> </w:t>
      </w:r>
      <w:r>
        <w:rPr/>
        <w:t>at</w:t>
      </w:r>
    </w:p>
    <w:p>
      <w:pPr>
        <w:pStyle w:val="BodyText"/>
        <w:spacing w:before="2"/>
        <w:ind w:left="0"/>
        <w:rPr>
          <w:sz w:val="16"/>
        </w:rPr>
      </w:pPr>
    </w:p>
    <w:p>
      <w:pPr>
        <w:pStyle w:val="BodyText"/>
        <w:spacing w:line="480" w:lineRule="auto" w:before="90"/>
        <w:ind w:right="208"/>
      </w:pPr>
      <w:r>
        <w:rPr/>
        <w:t>47-48. Lastly, Bornstein stated that gangs can have subgroups, which can lead to infighting,  “just like with any other organization.” </w:t>
      </w:r>
      <w:r>
        <w:rPr>
          <w:u w:val="single"/>
        </w:rPr>
        <w:t>Id.</w:t>
      </w:r>
      <w:r>
        <w:rPr/>
        <w:t> at</w:t>
      </w:r>
      <w:r>
        <w:rPr>
          <w:spacing w:val="-6"/>
        </w:rPr>
        <w:t> </w:t>
      </w:r>
      <w:r>
        <w:rPr/>
        <w:t>49-50.</w:t>
      </w:r>
    </w:p>
    <w:p>
      <w:pPr>
        <w:pStyle w:val="BodyText"/>
        <w:spacing w:line="480" w:lineRule="auto"/>
        <w:ind w:left="119" w:right="115" w:firstLine="720"/>
        <w:jc w:val="both"/>
      </w:pPr>
      <w:r>
        <w:rPr/>
        <w:t>On cross-examination, Bornstein provided more details regarding his experience and the bases for his opinions. Bornstein testified that he had never been to Flint, Michigan prior to the evidentiary hearing, and had not participated in the investigation of the instant case or even knew of the Howard Boys before this case. </w:t>
      </w:r>
      <w:r>
        <w:rPr>
          <w:u w:val="single"/>
        </w:rPr>
        <w:t>Id.</w:t>
      </w:r>
      <w:r>
        <w:rPr/>
        <w:t> at 51, 82-83. Bornstein explained that he only became</w:t>
      </w:r>
    </w:p>
    <w:p>
      <w:pPr>
        <w:pStyle w:val="BodyText"/>
        <w:spacing w:line="480" w:lineRule="auto"/>
      </w:pPr>
      <w:r>
        <w:rPr/>
        <w:t>involved in the case when attorneys for the Government contacted him about being an expert witness. </w:t>
      </w:r>
      <w:r>
        <w:rPr>
          <w:u w:val="single"/>
        </w:rPr>
        <w:t>Id.</w:t>
      </w:r>
      <w:r>
        <w:rPr/>
        <w:t> at 51.</w:t>
      </w:r>
    </w:p>
    <w:p>
      <w:pPr>
        <w:spacing w:after="0" w:line="480" w:lineRule="auto"/>
        <w:sectPr>
          <w:headerReference w:type="default" r:id="rId19"/>
          <w:pgSz w:w="12240" w:h="15840"/>
          <w:pgMar w:header="283" w:footer="1019" w:top="1340" w:bottom="1200" w:left="1320" w:right="1320"/>
        </w:sectPr>
      </w:pPr>
    </w:p>
    <w:p>
      <w:pPr>
        <w:pStyle w:val="BodyText"/>
        <w:spacing w:line="480" w:lineRule="auto" w:before="89"/>
        <w:ind w:right="102" w:firstLine="720"/>
      </w:pPr>
      <w:r>
        <w:rPr/>
        <w:t>With respect to RICO, Bornstein stated that he was familiar with the statute and recognized it as one of the FBI’s “tools.”  </w:t>
      </w:r>
      <w:r>
        <w:rPr>
          <w:u w:val="single"/>
        </w:rPr>
        <w:t>Id.</w:t>
      </w:r>
      <w:r>
        <w:rPr/>
        <w:t> at 15.  Bornstein agreed that for there to be a</w:t>
      </w:r>
      <w:r>
        <w:rPr>
          <w:spacing w:val="40"/>
        </w:rPr>
        <w:t> </w:t>
      </w:r>
      <w:r>
        <w:rPr/>
        <w:t>RICO</w:t>
      </w:r>
    </w:p>
    <w:p>
      <w:pPr>
        <w:pStyle w:val="BodyText"/>
      </w:pPr>
      <w:r>
        <w:rPr/>
        <w:t>charge,</w:t>
      </w:r>
      <w:r>
        <w:rPr>
          <w:spacing w:val="15"/>
        </w:rPr>
        <w:t> </w:t>
      </w:r>
      <w:r>
        <w:rPr/>
        <w:t>there</w:t>
      </w:r>
      <w:r>
        <w:rPr>
          <w:spacing w:val="18"/>
        </w:rPr>
        <w:t> </w:t>
      </w:r>
      <w:r>
        <w:rPr/>
        <w:t>“must</w:t>
      </w:r>
      <w:r>
        <w:rPr>
          <w:spacing w:val="18"/>
        </w:rPr>
        <w:t> </w:t>
      </w:r>
      <w:r>
        <w:rPr/>
        <w:t>be</w:t>
      </w:r>
      <w:r>
        <w:rPr>
          <w:spacing w:val="17"/>
        </w:rPr>
        <w:t> </w:t>
      </w:r>
      <w:r>
        <w:rPr/>
        <w:t>an</w:t>
      </w:r>
      <w:r>
        <w:rPr>
          <w:spacing w:val="18"/>
        </w:rPr>
        <w:t> </w:t>
      </w:r>
      <w:r>
        <w:rPr/>
        <w:t>allegation</w:t>
      </w:r>
      <w:r>
        <w:rPr>
          <w:spacing w:val="16"/>
        </w:rPr>
        <w:t> </w:t>
      </w:r>
      <w:r>
        <w:rPr/>
        <w:t>of</w:t>
      </w:r>
      <w:r>
        <w:rPr>
          <w:spacing w:val="17"/>
        </w:rPr>
        <w:t> </w:t>
      </w:r>
      <w:r>
        <w:rPr/>
        <w:t>the</w:t>
      </w:r>
      <w:r>
        <w:rPr>
          <w:spacing w:val="18"/>
        </w:rPr>
        <w:t> </w:t>
      </w:r>
      <w:r>
        <w:rPr/>
        <w:t>existence</w:t>
      </w:r>
      <w:r>
        <w:rPr>
          <w:spacing w:val="17"/>
        </w:rPr>
        <w:t> </w:t>
      </w:r>
      <w:r>
        <w:rPr/>
        <w:t>of</w:t>
      </w:r>
      <w:r>
        <w:rPr>
          <w:spacing w:val="17"/>
        </w:rPr>
        <w:t> </w:t>
      </w:r>
      <w:r>
        <w:rPr/>
        <w:t>some</w:t>
      </w:r>
      <w:r>
        <w:rPr>
          <w:spacing w:val="18"/>
        </w:rPr>
        <w:t> </w:t>
      </w:r>
      <w:r>
        <w:rPr/>
        <w:t>kind</w:t>
      </w:r>
      <w:r>
        <w:rPr>
          <w:spacing w:val="16"/>
        </w:rPr>
        <w:t> </w:t>
      </w:r>
      <w:r>
        <w:rPr/>
        <w:t>of</w:t>
      </w:r>
      <w:r>
        <w:rPr>
          <w:spacing w:val="16"/>
        </w:rPr>
        <w:t> </w:t>
      </w:r>
      <w:r>
        <w:rPr/>
        <w:t>an</w:t>
      </w:r>
      <w:r>
        <w:rPr>
          <w:spacing w:val="18"/>
        </w:rPr>
        <w:t> </w:t>
      </w:r>
      <w:r>
        <w:rPr/>
        <w:t>enterprise.” </w:t>
      </w:r>
      <w:r>
        <w:rPr>
          <w:spacing w:val="35"/>
        </w:rPr>
        <w:t> </w:t>
      </w:r>
      <w:r>
        <w:rPr>
          <w:u w:val="single"/>
        </w:rPr>
        <w:t>Id.</w:t>
      </w:r>
      <w:r>
        <w:rPr>
          <w:spacing w:val="17"/>
        </w:rPr>
        <w:t> </w:t>
      </w:r>
      <w:r>
        <w:rPr/>
        <w:t>at</w:t>
      </w:r>
      <w:r>
        <w:rPr>
          <w:spacing w:val="17"/>
        </w:rPr>
        <w:t> </w:t>
      </w:r>
      <w:r>
        <w:rPr/>
        <w:t>60.</w:t>
      </w:r>
    </w:p>
    <w:p>
      <w:pPr>
        <w:pStyle w:val="BodyText"/>
        <w:spacing w:before="2"/>
        <w:ind w:left="0"/>
        <w:rPr>
          <w:sz w:val="16"/>
        </w:rPr>
      </w:pPr>
    </w:p>
    <w:p>
      <w:pPr>
        <w:pStyle w:val="BodyText"/>
        <w:spacing w:line="480" w:lineRule="auto" w:before="90"/>
        <w:ind w:right="115"/>
        <w:jc w:val="both"/>
      </w:pPr>
      <w:r>
        <w:rPr/>
        <w:t>Furthermore, in answer to cross-examination, Bornstein stated that he understood that his testimony regarding gangs went “to that part of the case that deals with the allegation of the existence of an enterprise.”  </w:t>
      </w:r>
      <w:r>
        <w:rPr>
          <w:u w:val="single"/>
        </w:rPr>
        <w:t>Id.</w:t>
      </w:r>
      <w:r>
        <w:rPr/>
        <w:t> 60-61.  </w:t>
      </w:r>
      <w:r>
        <w:rPr>
          <w:spacing w:val="12"/>
        </w:rPr>
        <w:t> </w:t>
      </w:r>
      <w:r>
        <w:rPr/>
        <w:t>In other words, Bornstein affirmed that his purpose “was</w:t>
      </w:r>
    </w:p>
    <w:p>
      <w:pPr>
        <w:pStyle w:val="BodyText"/>
        <w:spacing w:line="480" w:lineRule="auto"/>
      </w:pPr>
      <w:r>
        <w:rPr/>
        <w:t>to give testimony about gangs because it related to the allegation the government has brought, an indictment that an enterprise exists.” </w:t>
      </w:r>
      <w:r>
        <w:rPr>
          <w:vertAlign w:val="superscript"/>
        </w:rPr>
        <w:t>6</w:t>
      </w:r>
      <w:r>
        <w:rPr>
          <w:vertAlign w:val="baseline"/>
        </w:rPr>
        <w:t>  </w:t>
      </w:r>
      <w:r>
        <w:rPr>
          <w:u w:val="single"/>
          <w:vertAlign w:val="baseline"/>
        </w:rPr>
        <w:t>Id.</w:t>
      </w:r>
      <w:r>
        <w:rPr>
          <w:vertAlign w:val="baseline"/>
        </w:rPr>
        <w:t> at 61.  Regarding Bornstein’s previous </w:t>
      </w:r>
      <w:r>
        <w:rPr>
          <w:spacing w:val="10"/>
          <w:vertAlign w:val="baseline"/>
        </w:rPr>
        <w:t> </w:t>
      </w:r>
      <w:r>
        <w:rPr>
          <w:vertAlign w:val="baseline"/>
        </w:rPr>
        <w:t>investigations,</w:t>
      </w:r>
    </w:p>
    <w:p>
      <w:pPr>
        <w:pStyle w:val="BodyText"/>
        <w:spacing w:line="480" w:lineRule="auto"/>
        <w:ind w:right="115"/>
      </w:pPr>
      <w:r>
        <w:rPr/>
        <w:t>he testified that he had not participated in a RICO case that went to court, nor had he testified in a</w:t>
      </w:r>
      <w:r>
        <w:rPr>
          <w:spacing w:val="8"/>
        </w:rPr>
        <w:t> </w:t>
      </w:r>
      <w:r>
        <w:rPr/>
        <w:t>case</w:t>
      </w:r>
      <w:r>
        <w:rPr>
          <w:spacing w:val="9"/>
        </w:rPr>
        <w:t> </w:t>
      </w:r>
      <w:r>
        <w:rPr/>
        <w:t>involving</w:t>
      </w:r>
      <w:r>
        <w:rPr>
          <w:spacing w:val="9"/>
        </w:rPr>
        <w:t> </w:t>
      </w:r>
      <w:r>
        <w:rPr/>
        <w:t>a</w:t>
      </w:r>
      <w:r>
        <w:rPr>
          <w:spacing w:val="9"/>
        </w:rPr>
        <w:t> </w:t>
      </w:r>
      <w:r>
        <w:rPr/>
        <w:t>RICO</w:t>
      </w:r>
      <w:r>
        <w:rPr>
          <w:spacing w:val="9"/>
        </w:rPr>
        <w:t> </w:t>
      </w:r>
      <w:r>
        <w:rPr/>
        <w:t>charge,</w:t>
      </w:r>
      <w:r>
        <w:rPr>
          <w:spacing w:val="9"/>
        </w:rPr>
        <w:t> </w:t>
      </w:r>
      <w:r>
        <w:rPr/>
        <w:t>although</w:t>
      </w:r>
      <w:r>
        <w:rPr>
          <w:spacing w:val="8"/>
        </w:rPr>
        <w:t> </w:t>
      </w:r>
      <w:r>
        <w:rPr/>
        <w:t>he</w:t>
      </w:r>
      <w:r>
        <w:rPr>
          <w:spacing w:val="9"/>
        </w:rPr>
        <w:t> </w:t>
      </w:r>
      <w:r>
        <w:rPr/>
        <w:t>had</w:t>
      </w:r>
      <w:r>
        <w:rPr>
          <w:spacing w:val="9"/>
        </w:rPr>
        <w:t> </w:t>
      </w:r>
      <w:r>
        <w:rPr/>
        <w:t>testified</w:t>
      </w:r>
      <w:r>
        <w:rPr>
          <w:spacing w:val="9"/>
        </w:rPr>
        <w:t> </w:t>
      </w:r>
      <w:r>
        <w:rPr/>
        <w:t>as</w:t>
      </w:r>
      <w:r>
        <w:rPr>
          <w:spacing w:val="9"/>
        </w:rPr>
        <w:t> </w:t>
      </w:r>
      <w:r>
        <w:rPr/>
        <w:t>an</w:t>
      </w:r>
      <w:r>
        <w:rPr>
          <w:spacing w:val="9"/>
        </w:rPr>
        <w:t> </w:t>
      </w:r>
      <w:r>
        <w:rPr/>
        <w:t>expert</w:t>
      </w:r>
      <w:r>
        <w:rPr>
          <w:spacing w:val="8"/>
        </w:rPr>
        <w:t> </w:t>
      </w:r>
      <w:r>
        <w:rPr/>
        <w:t>in</w:t>
      </w:r>
      <w:r>
        <w:rPr>
          <w:spacing w:val="9"/>
        </w:rPr>
        <w:t> </w:t>
      </w:r>
      <w:r>
        <w:rPr/>
        <w:t>other</w:t>
      </w:r>
      <w:r>
        <w:rPr>
          <w:spacing w:val="9"/>
        </w:rPr>
        <w:t> </w:t>
      </w:r>
      <w:r>
        <w:rPr/>
        <w:t>cases. </w:t>
      </w:r>
      <w:r>
        <w:rPr>
          <w:spacing w:val="19"/>
        </w:rPr>
        <w:t> </w:t>
      </w:r>
      <w:r>
        <w:rPr>
          <w:u w:val="single"/>
        </w:rPr>
        <w:t>Id.</w:t>
      </w:r>
      <w:r>
        <w:rPr>
          <w:spacing w:val="9"/>
        </w:rPr>
        <w:t> </w:t>
      </w:r>
      <w:r>
        <w:rPr/>
        <w:t>at</w:t>
      </w:r>
      <w:r>
        <w:rPr>
          <w:spacing w:val="8"/>
        </w:rPr>
        <w:t> </w:t>
      </w:r>
      <w:r>
        <w:rPr/>
        <w:t>63-</w:t>
      </w:r>
    </w:p>
    <w:p>
      <w:pPr>
        <w:pStyle w:val="BodyText"/>
      </w:pPr>
      <w:r>
        <w:rPr/>
        <w:t>64.</w:t>
      </w:r>
    </w:p>
    <w:p>
      <w:pPr>
        <w:pStyle w:val="BodyText"/>
        <w:spacing w:before="2"/>
        <w:ind w:left="0"/>
        <w:rPr>
          <w:sz w:val="16"/>
        </w:rPr>
      </w:pPr>
    </w:p>
    <w:p>
      <w:pPr>
        <w:pStyle w:val="BodyText"/>
        <w:spacing w:line="480" w:lineRule="auto" w:before="90"/>
        <w:ind w:right="117" w:firstLine="720"/>
        <w:jc w:val="both"/>
      </w:pPr>
      <w:r>
        <w:rPr/>
        <w:t>Queried about the terms “gang” and “neighborhood-based street gangs,” Bornstein explained that he drew from the totality of his FBI experience in defining and understanding those terms. For the term “gang,” Bornstein stated that his opinion regarding the definition of what constitutes a gang, as set forth in the Government’s Amended Expert Disclosure (Dkt. 382), is the DOJ definition of a gang.</w:t>
      </w:r>
      <w:r>
        <w:rPr>
          <w:vertAlign w:val="superscript"/>
        </w:rPr>
        <w:t>7</w:t>
      </w:r>
      <w:r>
        <w:rPr>
          <w:vertAlign w:val="baseline"/>
        </w:rPr>
        <w:t> </w:t>
      </w:r>
      <w:r>
        <w:rPr>
          <w:u w:val="single"/>
          <w:vertAlign w:val="baseline"/>
        </w:rPr>
        <w:t>Id.</w:t>
      </w:r>
      <w:r>
        <w:rPr>
          <w:vertAlign w:val="baseline"/>
        </w:rPr>
        <w:t> at 68-69. Bornstein testified that there are other definitions</w:t>
      </w:r>
    </w:p>
    <w:p>
      <w:pPr>
        <w:pStyle w:val="BodyText"/>
        <w:ind w:left="0"/>
        <w:rPr>
          <w:sz w:val="20"/>
        </w:rPr>
      </w:pPr>
    </w:p>
    <w:p>
      <w:pPr>
        <w:pStyle w:val="BodyText"/>
        <w:ind w:left="0"/>
        <w:rPr>
          <w:sz w:val="20"/>
        </w:rPr>
      </w:pPr>
    </w:p>
    <w:p>
      <w:pPr>
        <w:pStyle w:val="BodyText"/>
        <w:spacing w:before="1"/>
        <w:ind w:left="0"/>
        <w:rPr>
          <w:sz w:val="12"/>
        </w:rPr>
      </w:pPr>
      <w:r>
        <w:rPr/>
        <w:pict>
          <v:line style="position:absolute;mso-position-horizontal-relative:page;mso-position-vertical-relative:paragraph;z-index:-928;mso-wrap-distance-left:0;mso-wrap-distance-right:0" from="72pt,9.193125pt" to="216pt,9.193125pt" stroked="true" strokeweight=".48pt" strokecolor="#000000">
            <v:stroke dashstyle="solid"/>
            <w10:wrap type="topAndBottom"/>
          </v:line>
        </w:pict>
      </w:r>
    </w:p>
    <w:p>
      <w:pPr>
        <w:pStyle w:val="BodyText"/>
        <w:spacing w:before="20"/>
        <w:ind w:right="117"/>
        <w:jc w:val="both"/>
      </w:pPr>
      <w:r>
        <w:rPr>
          <w:position w:val="11"/>
          <w:sz w:val="16"/>
        </w:rPr>
        <w:t>6 </w:t>
      </w:r>
      <w:r>
        <w:rPr/>
        <w:t>Although Bornstein stated that this is how he understood his role, the Government’s attorney stated, in response to questioning by defense counsel about the information Bornstein had reviewed prior to the evidentiary hearing, that Bornstein “will not be giving expert opinion as to any specific member or the criminal enterprise.” 3/26/14 Tr. at 55-56.</w:t>
      </w:r>
    </w:p>
    <w:p>
      <w:pPr>
        <w:pStyle w:val="BodyText"/>
        <w:spacing w:before="120"/>
      </w:pPr>
      <w:r>
        <w:rPr>
          <w:position w:val="9"/>
          <w:sz w:val="13"/>
        </w:rPr>
        <w:t>7 </w:t>
      </w:r>
      <w:r>
        <w:rPr/>
        <w:t>The amended disclosure contains the following opinion:</w:t>
      </w:r>
    </w:p>
    <w:p>
      <w:pPr>
        <w:pStyle w:val="BodyText"/>
        <w:spacing w:before="120"/>
        <w:ind w:left="1560" w:right="837"/>
        <w:jc w:val="both"/>
      </w:pPr>
      <w:r>
        <w:rPr/>
        <w:t>A street gang is an association of three or more individuals who collectively identify themselves by adopting a group identity. This group identity is commonly used to create an atmosphere of fear or intimidation, frequently by employing one or more of the following: a common name, slogan, identifying sign, symbol, tattoo or other physical marking, style or color of clothing, hairstyle, hand sign or graffiti.</w:t>
      </w:r>
    </w:p>
    <w:p>
      <w:pPr>
        <w:spacing w:after="0"/>
        <w:jc w:val="both"/>
        <w:sectPr>
          <w:headerReference w:type="default" r:id="rId20"/>
          <w:pgSz w:w="12240" w:h="15840"/>
          <w:pgMar w:header="283" w:footer="1019" w:top="1340" w:bottom="1200" w:left="1320" w:right="1320"/>
        </w:sectPr>
      </w:pPr>
    </w:p>
    <w:p>
      <w:pPr>
        <w:pStyle w:val="BodyText"/>
        <w:spacing w:line="480" w:lineRule="auto" w:before="89"/>
        <w:ind w:right="115"/>
      </w:pPr>
      <w:r>
        <w:rPr/>
        <w:t>of gangs, some promulgated by states, and that these definitions have “slight variations” from the DOJ definition. </w:t>
      </w:r>
      <w:r>
        <w:rPr>
          <w:u w:val="single"/>
        </w:rPr>
        <w:t>Id.</w:t>
      </w:r>
      <w:r>
        <w:rPr/>
        <w:t> at 70.</w:t>
      </w:r>
    </w:p>
    <w:p>
      <w:pPr>
        <w:pStyle w:val="BodyText"/>
        <w:spacing w:line="480" w:lineRule="auto"/>
        <w:ind w:right="116" w:firstLine="720"/>
        <w:jc w:val="both"/>
      </w:pPr>
      <w:r>
        <w:rPr/>
        <w:t>For the term “neighborhood-based street gangs,” Bornstein testified that the term was used by the FBI and law enforcement agencies as a way to distinguish such gangs from national gangs. </w:t>
      </w:r>
      <w:r>
        <w:rPr>
          <w:u w:val="single"/>
        </w:rPr>
        <w:t>Id.</w:t>
      </w:r>
      <w:r>
        <w:rPr/>
        <w:t> at 63-64. Bornstein stated that the way he defined a “neighborhood-based street</w:t>
      </w:r>
    </w:p>
    <w:p>
      <w:pPr>
        <w:pStyle w:val="BodyText"/>
        <w:spacing w:line="480" w:lineRule="auto"/>
      </w:pPr>
      <w:r>
        <w:rPr/>
        <w:t>gang” was based upon his “personal experience of being a case agent” and his “national experience.” </w:t>
      </w:r>
      <w:r>
        <w:rPr>
          <w:u w:val="single"/>
        </w:rPr>
        <w:t>Id.</w:t>
      </w:r>
      <w:r>
        <w:rPr/>
        <w:t> at 81. In essence, Bornstein testified that he was “giving an opinion of what</w:t>
      </w:r>
      <w:r>
        <w:rPr>
          <w:spacing w:val="53"/>
        </w:rPr>
        <w:t> </w:t>
      </w:r>
      <w:r>
        <w:rPr/>
        <w:t>a</w:t>
      </w:r>
    </w:p>
    <w:p>
      <w:pPr>
        <w:pStyle w:val="BodyText"/>
        <w:tabs>
          <w:tab w:pos="6433" w:val="left" w:leader="none"/>
          <w:tab w:pos="6939" w:val="left" w:leader="none"/>
        </w:tabs>
      </w:pPr>
      <w:r>
        <w:rPr/>
        <w:t>neighborhood-based  gang  is  by  our  definition  at </w:t>
      </w:r>
      <w:r>
        <w:rPr>
          <w:spacing w:val="11"/>
        </w:rPr>
        <w:t> </w:t>
      </w:r>
      <w:r>
        <w:rPr/>
        <w:t>the </w:t>
      </w:r>
      <w:r>
        <w:rPr>
          <w:spacing w:val="2"/>
        </w:rPr>
        <w:t> </w:t>
      </w:r>
      <w:r>
        <w:rPr/>
        <w:t>FBI.”</w:t>
        <w:tab/>
      </w:r>
      <w:r>
        <w:rPr>
          <w:u w:val="single"/>
        </w:rPr>
        <w:t>Id.</w:t>
      </w:r>
      <w:r>
        <w:rPr/>
        <w:tab/>
        <w:t>When  asked  whether </w:t>
      </w:r>
      <w:r>
        <w:rPr>
          <w:spacing w:val="4"/>
        </w:rPr>
        <w:t> </w:t>
      </w:r>
      <w:r>
        <w:rPr/>
        <w:t>his</w:t>
      </w:r>
    </w:p>
    <w:p>
      <w:pPr>
        <w:pStyle w:val="BodyText"/>
        <w:spacing w:before="2"/>
        <w:ind w:left="0"/>
        <w:rPr>
          <w:sz w:val="16"/>
        </w:rPr>
      </w:pPr>
    </w:p>
    <w:p>
      <w:pPr>
        <w:pStyle w:val="BodyText"/>
        <w:spacing w:line="480" w:lineRule="auto" w:before="90"/>
        <w:ind w:right="116"/>
        <w:jc w:val="both"/>
      </w:pPr>
      <w:r>
        <w:rPr/>
        <w:t>understanding of what a gang is had a degree of subjectivity, Bornstein disagreed. He stated that his understanding was “[n]ot necessarily” subjective because, “at least in the Bureau world[,] we have a good sense of what is a gang in the sense of three or more individuals that have a common identity,</w:t>
      </w:r>
      <w:r>
        <w:rPr>
          <w:spacing w:val="8"/>
        </w:rPr>
        <w:t> </w:t>
      </w:r>
      <w:r>
        <w:rPr/>
        <w:t>purpose</w:t>
      </w:r>
      <w:r>
        <w:rPr>
          <w:spacing w:val="8"/>
        </w:rPr>
        <w:t> </w:t>
      </w:r>
      <w:r>
        <w:rPr/>
        <w:t>of</w:t>
      </w:r>
      <w:r>
        <w:rPr>
          <w:spacing w:val="9"/>
        </w:rPr>
        <w:t> </w:t>
      </w:r>
      <w:r>
        <w:rPr/>
        <w:t>committing</w:t>
      </w:r>
      <w:r>
        <w:rPr>
          <w:spacing w:val="8"/>
        </w:rPr>
        <w:t> </w:t>
      </w:r>
      <w:r>
        <w:rPr/>
        <w:t>criminal</w:t>
      </w:r>
      <w:r>
        <w:rPr>
          <w:spacing w:val="9"/>
        </w:rPr>
        <w:t> </w:t>
      </w:r>
      <w:r>
        <w:rPr/>
        <w:t>acts.” </w:t>
      </w:r>
      <w:r>
        <w:rPr>
          <w:spacing w:val="18"/>
        </w:rPr>
        <w:t> </w:t>
      </w:r>
      <w:r>
        <w:rPr>
          <w:u w:val="single"/>
        </w:rPr>
        <w:t>Id.</w:t>
      </w:r>
      <w:r>
        <w:rPr>
          <w:spacing w:val="8"/>
        </w:rPr>
        <w:t> </w:t>
      </w:r>
      <w:r>
        <w:rPr/>
        <w:t>at</w:t>
      </w:r>
      <w:r>
        <w:rPr>
          <w:spacing w:val="9"/>
        </w:rPr>
        <w:t> </w:t>
      </w:r>
      <w:r>
        <w:rPr/>
        <w:t>94. </w:t>
      </w:r>
      <w:r>
        <w:rPr>
          <w:spacing w:val="18"/>
        </w:rPr>
        <w:t> </w:t>
      </w:r>
      <w:r>
        <w:rPr/>
        <w:t>He</w:t>
      </w:r>
      <w:r>
        <w:rPr>
          <w:spacing w:val="8"/>
        </w:rPr>
        <w:t> </w:t>
      </w:r>
      <w:r>
        <w:rPr/>
        <w:t>believed</w:t>
      </w:r>
      <w:r>
        <w:rPr>
          <w:spacing w:val="9"/>
        </w:rPr>
        <w:t> </w:t>
      </w:r>
      <w:r>
        <w:rPr/>
        <w:t>that</w:t>
      </w:r>
      <w:r>
        <w:rPr>
          <w:spacing w:val="8"/>
        </w:rPr>
        <w:t> </w:t>
      </w:r>
      <w:r>
        <w:rPr/>
        <w:t>the</w:t>
      </w:r>
      <w:r>
        <w:rPr>
          <w:spacing w:val="9"/>
        </w:rPr>
        <w:t> </w:t>
      </w:r>
      <w:r>
        <w:rPr/>
        <w:t>FBI</w:t>
      </w:r>
      <w:r>
        <w:rPr>
          <w:spacing w:val="8"/>
        </w:rPr>
        <w:t> </w:t>
      </w:r>
      <w:r>
        <w:rPr/>
        <w:t>has</w:t>
      </w:r>
      <w:r>
        <w:rPr>
          <w:spacing w:val="9"/>
        </w:rPr>
        <w:t> </w:t>
      </w:r>
      <w:r>
        <w:rPr/>
        <w:t>“a</w:t>
      </w:r>
      <w:r>
        <w:rPr>
          <w:spacing w:val="8"/>
        </w:rPr>
        <w:t> </w:t>
      </w:r>
      <w:r>
        <w:rPr/>
        <w:t>fairly</w:t>
      </w:r>
    </w:p>
    <w:p>
      <w:pPr>
        <w:pStyle w:val="BodyText"/>
      </w:pPr>
      <w:r>
        <w:rPr/>
        <w:t>decent definition of a gang or a violent street crew.”</w:t>
      </w:r>
      <w:r>
        <w:rPr>
          <w:spacing w:val="57"/>
        </w:rPr>
        <w:t> </w:t>
      </w:r>
      <w:r>
        <w:rPr>
          <w:u w:val="single"/>
        </w:rPr>
        <w:t>Id.</w:t>
      </w:r>
    </w:p>
    <w:p>
      <w:pPr>
        <w:pStyle w:val="BodyText"/>
        <w:spacing w:before="11"/>
        <w:ind w:left="0"/>
        <w:rPr>
          <w:sz w:val="23"/>
        </w:rPr>
      </w:pPr>
    </w:p>
    <w:p>
      <w:pPr>
        <w:pStyle w:val="Heading1"/>
        <w:ind w:firstLine="0"/>
        <w:rPr>
          <w:b w:val="0"/>
        </w:rPr>
      </w:pPr>
      <w:r>
        <w:rPr/>
        <w:t>3. The Parties’ Arguments</w:t>
      </w:r>
      <w:r>
        <w:rPr>
          <w:b w:val="0"/>
          <w:vertAlign w:val="superscript"/>
        </w:rPr>
        <w:t>8</w:t>
      </w:r>
    </w:p>
    <w:p>
      <w:pPr>
        <w:pStyle w:val="BodyText"/>
        <w:ind w:left="0"/>
        <w:rPr>
          <w:sz w:val="20"/>
        </w:rPr>
      </w:pPr>
    </w:p>
    <w:p>
      <w:pPr>
        <w:pStyle w:val="BodyText"/>
        <w:ind w:left="0"/>
        <w:rPr>
          <w:sz w:val="20"/>
        </w:rPr>
      </w:pPr>
    </w:p>
    <w:p>
      <w:pPr>
        <w:pStyle w:val="BodyText"/>
        <w:spacing w:before="7"/>
        <w:ind w:left="0"/>
        <w:rPr>
          <w:sz w:val="22"/>
        </w:rPr>
      </w:pPr>
      <w:r>
        <w:rPr/>
        <w:pict>
          <v:line style="position:absolute;mso-position-horizontal-relative:page;mso-position-vertical-relative:paragraph;z-index:-904;mso-wrap-distance-left:0;mso-wrap-distance-right:0" from="72pt,15.212603pt" to="540pt,15.212603pt" stroked="true" strokeweight=".48001pt" strokecolor="#000000">
            <v:stroke dashstyle="solid"/>
            <w10:wrap type="topAndBottom"/>
          </v:line>
        </w:pict>
      </w:r>
    </w:p>
    <w:p>
      <w:pPr>
        <w:pStyle w:val="BodyText"/>
        <w:spacing w:before="55"/>
        <w:ind w:left="119" w:right="165"/>
        <w:jc w:val="both"/>
      </w:pPr>
      <w:r>
        <w:rPr/>
        <w:t>Gov’t Am. Disclosure at 7 (Dkt. 382). This definition closely tracks, in pertinent part, the DOJ’s definition of a gang:</w:t>
      </w:r>
    </w:p>
    <w:p>
      <w:pPr>
        <w:pStyle w:val="ListParagraph"/>
        <w:numPr>
          <w:ilvl w:val="1"/>
          <w:numId w:val="8"/>
        </w:numPr>
        <w:tabs>
          <w:tab w:pos="1975" w:val="left" w:leader="none"/>
        </w:tabs>
        <w:spacing w:line="240" w:lineRule="auto" w:before="120" w:after="0"/>
        <w:ind w:left="1560" w:right="836" w:firstLine="0"/>
        <w:jc w:val="both"/>
        <w:rPr>
          <w:sz w:val="24"/>
        </w:rPr>
      </w:pPr>
      <w:r>
        <w:rPr>
          <w:sz w:val="24"/>
        </w:rPr>
        <w:t>an association of three or more individuals; (2) whose members collectively identify themselves by adopting a group identity which they use to create an atmosphere of fear or intimidation frequently by employing one or more of the following: a common name, slogan, identifying sign, symbol, tattoo or other physical marking, style or color of clothing, hairstyle, hand sign or</w:t>
      </w:r>
      <w:r>
        <w:rPr>
          <w:spacing w:val="-6"/>
          <w:sz w:val="24"/>
        </w:rPr>
        <w:t> </w:t>
      </w:r>
      <w:r>
        <w:rPr>
          <w:sz w:val="24"/>
        </w:rPr>
        <w:t>graffiti.</w:t>
      </w:r>
    </w:p>
    <w:p>
      <w:pPr>
        <w:pStyle w:val="BodyText"/>
        <w:ind w:left="0"/>
      </w:pPr>
    </w:p>
    <w:p>
      <w:pPr>
        <w:pStyle w:val="BodyText"/>
        <w:ind w:left="119"/>
      </w:pPr>
      <w:r>
        <w:rPr/>
        <w:t>DOJ “Definition of Gangs,” </w:t>
      </w:r>
      <w:r>
        <w:rPr>
          <w:u w:val="single"/>
        </w:rPr>
        <w:t>available at</w:t>
      </w:r>
      <w:r>
        <w:rPr/>
        <w:t> </w:t>
      </w:r>
      <w:hyperlink r:id="rId22">
        <w:r>
          <w:rPr/>
          <w:t>http://www.justice.gov/criminal/ocgs/gangs/.</w:t>
        </w:r>
      </w:hyperlink>
    </w:p>
    <w:p>
      <w:pPr>
        <w:pStyle w:val="BodyText"/>
        <w:spacing w:before="85"/>
        <w:ind w:left="119" w:right="116"/>
        <w:jc w:val="both"/>
      </w:pPr>
      <w:r>
        <w:rPr>
          <w:position w:val="11"/>
          <w:sz w:val="16"/>
        </w:rPr>
        <w:t>8 </w:t>
      </w:r>
      <w:r>
        <w:rPr/>
        <w:t>The Court takes the parties’ arguments concerning Bornstein from their several briefs</w:t>
      </w:r>
      <w:r>
        <w:rPr>
          <w:spacing w:val="18"/>
        </w:rPr>
        <w:t> </w:t>
      </w:r>
      <w:r>
        <w:rPr/>
        <w:t>in connection with the instant motions (Dkts. 344, 345, 347, 364, 370, 397, 403, 500, 503, 517, 520, and 522). Because the Court ordered the Government to provide supplemental disclosure and held a </w:t>
      </w:r>
      <w:r>
        <w:rPr>
          <w:u w:val="single"/>
        </w:rPr>
        <w:t>Daubert</w:t>
      </w:r>
      <w:r>
        <w:rPr/>
        <w:t> hearing on Bornstein, Defendants’ arguments concerning the need for more disclosures or an evidentiary hearing have been mooted, and the Court does not refer to them in this Opinion and Order. Furthermore, because the Government submitted a comprehensive</w:t>
      </w:r>
      <w:r>
        <w:rPr>
          <w:spacing w:val="21"/>
        </w:rPr>
        <w:t> </w:t>
      </w:r>
      <w:r>
        <w:rPr/>
        <w:t>post-</w:t>
      </w:r>
    </w:p>
    <w:p>
      <w:pPr>
        <w:spacing w:after="0"/>
        <w:jc w:val="both"/>
        <w:sectPr>
          <w:headerReference w:type="default" r:id="rId21"/>
          <w:pgSz w:w="12240" w:h="15840"/>
          <w:pgMar w:header="283" w:footer="1019" w:top="1340" w:bottom="1200" w:left="1320" w:right="1320"/>
        </w:sectPr>
      </w:pPr>
    </w:p>
    <w:p>
      <w:pPr>
        <w:pStyle w:val="BodyText"/>
        <w:spacing w:line="480" w:lineRule="auto" w:before="89"/>
        <w:ind w:left="119" w:right="116" w:firstLine="720"/>
        <w:jc w:val="both"/>
      </w:pPr>
      <w:r>
        <w:rPr/>
        <w:t>Defendants challenge the use of Bornstein on several grounds. Defendants criticize Bornstein’s experience, stating that his knowledge is anecdotal and has no connection to the case or Flint. Oldham Br. at 5 (Dkt. 347). According to Defendants, Bornstein’s opinions are “nebulous,” Norwood Br. at 1-2 (Dkt. 370), or “one size fits all,” Gills Br. at 2 (Dkt. 500). Consequently,</w:t>
      </w:r>
      <w:r>
        <w:rPr>
          <w:spacing w:val="36"/>
        </w:rPr>
        <w:t> </w:t>
      </w:r>
      <w:r>
        <w:rPr/>
        <w:t>under</w:t>
      </w:r>
      <w:r>
        <w:rPr>
          <w:spacing w:val="36"/>
        </w:rPr>
        <w:t> </w:t>
      </w:r>
      <w:r>
        <w:rPr>
          <w:u w:val="single"/>
        </w:rPr>
        <w:t>Daubert</w:t>
      </w:r>
      <w:r>
        <w:rPr/>
        <w:t>,</w:t>
      </w:r>
      <w:r>
        <w:rPr>
          <w:spacing w:val="36"/>
        </w:rPr>
        <w:t> </w:t>
      </w:r>
      <w:r>
        <w:rPr/>
        <w:t>Defendants</w:t>
      </w:r>
      <w:r>
        <w:rPr>
          <w:spacing w:val="37"/>
        </w:rPr>
        <w:t> </w:t>
      </w:r>
      <w:r>
        <w:rPr/>
        <w:t>claim</w:t>
      </w:r>
      <w:r>
        <w:rPr>
          <w:spacing w:val="34"/>
        </w:rPr>
        <w:t> </w:t>
      </w:r>
      <w:r>
        <w:rPr/>
        <w:t>this</w:t>
      </w:r>
      <w:r>
        <w:rPr>
          <w:spacing w:val="36"/>
        </w:rPr>
        <w:t> </w:t>
      </w:r>
      <w:r>
        <w:rPr/>
        <w:t>kind</w:t>
      </w:r>
      <w:r>
        <w:rPr>
          <w:spacing w:val="37"/>
        </w:rPr>
        <w:t> </w:t>
      </w:r>
      <w:r>
        <w:rPr/>
        <w:t>of</w:t>
      </w:r>
      <w:r>
        <w:rPr>
          <w:spacing w:val="36"/>
        </w:rPr>
        <w:t> </w:t>
      </w:r>
      <w:r>
        <w:rPr/>
        <w:t>general</w:t>
      </w:r>
      <w:r>
        <w:rPr>
          <w:spacing w:val="34"/>
        </w:rPr>
        <w:t> </w:t>
      </w:r>
      <w:r>
        <w:rPr/>
        <w:t>testimony</w:t>
      </w:r>
      <w:r>
        <w:rPr>
          <w:spacing w:val="37"/>
        </w:rPr>
        <w:t> </w:t>
      </w:r>
      <w:r>
        <w:rPr/>
        <w:t>should</w:t>
      </w:r>
      <w:r>
        <w:rPr>
          <w:spacing w:val="36"/>
        </w:rPr>
        <w:t> </w:t>
      </w:r>
      <w:r>
        <w:rPr/>
        <w:t>not</w:t>
      </w:r>
      <w:r>
        <w:rPr>
          <w:spacing w:val="36"/>
        </w:rPr>
        <w:t> </w:t>
      </w:r>
      <w:r>
        <w:rPr/>
        <w:t>be</w:t>
      </w:r>
    </w:p>
    <w:p>
      <w:pPr>
        <w:pStyle w:val="BodyText"/>
        <w:tabs>
          <w:tab w:pos="1190" w:val="left" w:leader="none"/>
          <w:tab w:pos="4121" w:val="left" w:leader="none"/>
          <w:tab w:pos="8375" w:val="left" w:leader="none"/>
        </w:tabs>
        <w:spacing w:line="480" w:lineRule="auto"/>
        <w:ind w:right="116"/>
      </w:pPr>
      <w:r>
        <w:rPr/>
        <w:t>allowed.</w:t>
        <w:tab/>
        <w:t>Gills  Br.  at  2 </w:t>
      </w:r>
      <w:r>
        <w:rPr>
          <w:spacing w:val="13"/>
        </w:rPr>
        <w:t> </w:t>
      </w:r>
      <w:r>
        <w:rPr/>
        <w:t>(Dkt. </w:t>
      </w:r>
      <w:r>
        <w:rPr>
          <w:spacing w:val="4"/>
        </w:rPr>
        <w:t> </w:t>
      </w:r>
      <w:r>
        <w:rPr/>
        <w:t>500).</w:t>
        <w:tab/>
        <w:t>To hammer home this point, Defendants attempt to distinguish </w:t>
      </w:r>
      <w:r>
        <w:rPr>
          <w:spacing w:val="24"/>
        </w:rPr>
        <w:t> </w:t>
      </w:r>
      <w:r>
        <w:rPr/>
        <w:t>the </w:t>
      </w:r>
      <w:r>
        <w:rPr>
          <w:spacing w:val="25"/>
        </w:rPr>
        <w:t> </w:t>
      </w:r>
      <w:r>
        <w:rPr/>
        <w:t>authority </w:t>
      </w:r>
      <w:r>
        <w:rPr>
          <w:spacing w:val="24"/>
        </w:rPr>
        <w:t> </w:t>
      </w:r>
      <w:r>
        <w:rPr/>
        <w:t>cited </w:t>
      </w:r>
      <w:r>
        <w:rPr>
          <w:spacing w:val="25"/>
        </w:rPr>
        <w:t> </w:t>
      </w:r>
      <w:r>
        <w:rPr/>
        <w:t>by </w:t>
      </w:r>
      <w:r>
        <w:rPr>
          <w:spacing w:val="25"/>
        </w:rPr>
        <w:t> </w:t>
      </w:r>
      <w:r>
        <w:rPr/>
        <w:t>the </w:t>
      </w:r>
      <w:r>
        <w:rPr>
          <w:spacing w:val="24"/>
        </w:rPr>
        <w:t> </w:t>
      </w:r>
      <w:r>
        <w:rPr/>
        <w:t>Government </w:t>
      </w:r>
      <w:r>
        <w:rPr>
          <w:spacing w:val="25"/>
        </w:rPr>
        <w:t> </w:t>
      </w:r>
      <w:r>
        <w:rPr/>
        <w:t>in </w:t>
      </w:r>
      <w:r>
        <w:rPr>
          <w:spacing w:val="25"/>
        </w:rPr>
        <w:t> </w:t>
      </w:r>
      <w:r>
        <w:rPr/>
        <w:t>support </w:t>
      </w:r>
      <w:r>
        <w:rPr>
          <w:spacing w:val="24"/>
        </w:rPr>
        <w:t> </w:t>
      </w:r>
      <w:r>
        <w:rPr/>
        <w:t>of </w:t>
      </w:r>
      <w:r>
        <w:rPr>
          <w:spacing w:val="25"/>
        </w:rPr>
        <w:t> </w:t>
      </w:r>
      <w:r>
        <w:rPr/>
        <w:t>Bornstein.</w:t>
        <w:tab/>
      </w:r>
      <w:r>
        <w:rPr>
          <w:u w:val="single"/>
        </w:rPr>
        <w:t>Id.</w:t>
      </w:r>
      <w:r>
        <w:rPr/>
        <w:t>   at</w:t>
      </w:r>
      <w:r>
        <w:rPr>
          <w:spacing w:val="52"/>
        </w:rPr>
        <w:t> </w:t>
      </w:r>
      <w:r>
        <w:rPr>
          <w:spacing w:val="-4"/>
        </w:rPr>
        <w:t>2-6.</w:t>
      </w:r>
    </w:p>
    <w:p>
      <w:pPr>
        <w:pStyle w:val="BodyText"/>
        <w:spacing w:line="480" w:lineRule="auto"/>
        <w:ind w:right="116"/>
        <w:jc w:val="both"/>
      </w:pPr>
      <w:r>
        <w:rPr/>
        <w:t>Defendants argue that, in the Government’s cited cases, the proffered expert (i) had been qualified as a fact witness and as an expert witness and/or (ii) had investigated, in some capacity, a particular gang that was being prosecuted.</w:t>
      </w:r>
      <w:r>
        <w:rPr>
          <w:spacing w:val="51"/>
        </w:rPr>
        <w:t> </w:t>
      </w:r>
      <w:r>
        <w:rPr>
          <w:u w:val="single"/>
        </w:rPr>
        <w:t>Id.</w:t>
      </w:r>
    </w:p>
    <w:p>
      <w:pPr>
        <w:pStyle w:val="BodyText"/>
        <w:spacing w:line="480" w:lineRule="auto"/>
        <w:ind w:left="119" w:right="116" w:firstLine="720"/>
        <w:jc w:val="both"/>
      </w:pPr>
      <w:r>
        <w:rPr/>
        <w:t>Defendants also argue that Bornstein’s actual purpose will be to establish “the RICO enterprise element” of Count I of the indictment, which is improper because the Government should not be allowed to “shortcut” its proof of facts “by presentation of a sophisticated expert witness.” Norwood Br. at 4 (Dkt. 344). Defendants observe that Bornstein’s opinions are unnecessary because establishing the elements of the purported RICO enterprise does not require “specialized police witnesses.” Norwood Br. at 4 (Dkt. 503). Defendants claim Bornstein’s testimony would shift the “jury’s responsibility for assessing fact evidence to the police”; this would “allow[] the expert to do the prosecutor’s job reserved for summation in closing argument.”</w:t>
      </w:r>
      <w:r>
        <w:rPr>
          <w:spacing w:val="59"/>
        </w:rPr>
        <w:t> </w:t>
      </w:r>
      <w:r>
        <w:rPr>
          <w:u w:val="single"/>
        </w:rPr>
        <w:t>Id.</w:t>
      </w:r>
    </w:p>
    <w:p>
      <w:pPr>
        <w:pStyle w:val="BodyText"/>
        <w:spacing w:line="480" w:lineRule="auto"/>
        <w:ind w:right="117" w:firstLine="720"/>
        <w:jc w:val="both"/>
      </w:pPr>
      <w:r>
        <w:rPr/>
        <w:pict>
          <v:line style="position:absolute;mso-position-horizontal-relative:page;mso-position-vertical-relative:paragraph;z-index:-19792" from="72pt,79.543221pt" to="540pt,79.543221pt" stroked="true" strokeweight=".48001pt" strokecolor="#000000">
            <v:stroke dashstyle="solid"/>
            <w10:wrap type="none"/>
          </v:line>
        </w:pict>
      </w:r>
      <w:r>
        <w:rPr/>
        <w:t>In addition, Defendants raise concerns that Bornstein’s testimony is not reliable or credible. Defendants question how Bornstein can offer any insight by drawing only from </w:t>
      </w:r>
      <w:r>
        <w:rPr>
          <w:spacing w:val="-4"/>
        </w:rPr>
        <w:t>his</w:t>
      </w:r>
      <w:r>
        <w:rPr>
          <w:spacing w:val="52"/>
        </w:rPr>
        <w:t> </w:t>
      </w:r>
      <w:r>
        <w:rPr/>
        <w:t>own</w:t>
      </w:r>
      <w:r>
        <w:rPr>
          <w:spacing w:val="28"/>
        </w:rPr>
        <w:t> </w:t>
      </w:r>
      <w:r>
        <w:rPr/>
        <w:t>experience,</w:t>
      </w:r>
      <w:r>
        <w:rPr>
          <w:spacing w:val="29"/>
        </w:rPr>
        <w:t> </w:t>
      </w:r>
      <w:r>
        <w:rPr/>
        <w:t>without</w:t>
      </w:r>
      <w:r>
        <w:rPr>
          <w:spacing w:val="29"/>
        </w:rPr>
        <w:t> </w:t>
      </w:r>
      <w:r>
        <w:rPr/>
        <w:t>any</w:t>
      </w:r>
      <w:r>
        <w:rPr>
          <w:spacing w:val="29"/>
        </w:rPr>
        <w:t> </w:t>
      </w:r>
      <w:r>
        <w:rPr/>
        <w:t>connection</w:t>
      </w:r>
      <w:r>
        <w:rPr>
          <w:spacing w:val="29"/>
        </w:rPr>
        <w:t> </w:t>
      </w:r>
      <w:r>
        <w:rPr/>
        <w:t>to</w:t>
      </w:r>
      <w:r>
        <w:rPr>
          <w:spacing w:val="29"/>
        </w:rPr>
        <w:t> </w:t>
      </w:r>
      <w:r>
        <w:rPr/>
        <w:t>the</w:t>
      </w:r>
      <w:r>
        <w:rPr>
          <w:spacing w:val="29"/>
        </w:rPr>
        <w:t> </w:t>
      </w:r>
      <w:r>
        <w:rPr/>
        <w:t>facts</w:t>
      </w:r>
      <w:r>
        <w:rPr>
          <w:spacing w:val="29"/>
        </w:rPr>
        <w:t> </w:t>
      </w:r>
      <w:r>
        <w:rPr/>
        <w:t>of</w:t>
      </w:r>
      <w:r>
        <w:rPr>
          <w:spacing w:val="29"/>
        </w:rPr>
        <w:t> </w:t>
      </w:r>
      <w:r>
        <w:rPr/>
        <w:t>this</w:t>
      </w:r>
      <w:r>
        <w:rPr>
          <w:spacing w:val="29"/>
        </w:rPr>
        <w:t> </w:t>
      </w:r>
      <w:r>
        <w:rPr/>
        <w:t>case.</w:t>
      </w:r>
      <w:r>
        <w:rPr>
          <w:spacing w:val="59"/>
        </w:rPr>
        <w:t> </w:t>
      </w:r>
      <w:r>
        <w:rPr/>
        <w:t>Norwood</w:t>
      </w:r>
      <w:r>
        <w:rPr>
          <w:spacing w:val="29"/>
        </w:rPr>
        <w:t> </w:t>
      </w:r>
      <w:r>
        <w:rPr/>
        <w:t>Br.</w:t>
      </w:r>
      <w:r>
        <w:rPr>
          <w:spacing w:val="29"/>
        </w:rPr>
        <w:t> </w:t>
      </w:r>
      <w:r>
        <w:rPr/>
        <w:t>at</w:t>
      </w:r>
      <w:r>
        <w:rPr>
          <w:spacing w:val="28"/>
        </w:rPr>
        <w:t> </w:t>
      </w:r>
      <w:r>
        <w:rPr/>
        <w:t>5-10</w:t>
      </w:r>
      <w:r>
        <w:rPr>
          <w:spacing w:val="29"/>
        </w:rPr>
        <w:t> </w:t>
      </w:r>
      <w:r>
        <w:rPr/>
        <w:t>(Dkt.</w:t>
      </w:r>
    </w:p>
    <w:p>
      <w:pPr>
        <w:pStyle w:val="BodyText"/>
        <w:spacing w:before="25"/>
      </w:pPr>
      <w:r>
        <w:rPr>
          <w:u w:val="single"/>
        </w:rPr>
        <w:t>Daubert</w:t>
      </w:r>
      <w:r>
        <w:rPr/>
        <w:t> supplemental brief (Dkt. 517), the Court focuses on that brief in reviewing the Government’s arguments in support of Bornstein.</w:t>
      </w:r>
    </w:p>
    <w:p>
      <w:pPr>
        <w:spacing w:after="0"/>
        <w:sectPr>
          <w:headerReference w:type="default" r:id="rId23"/>
          <w:pgSz w:w="12240" w:h="15840"/>
          <w:pgMar w:header="283" w:footer="1019" w:top="1340" w:bottom="1200" w:left="1320" w:right="1320"/>
        </w:sectPr>
      </w:pPr>
    </w:p>
    <w:p>
      <w:pPr>
        <w:pStyle w:val="BodyText"/>
        <w:spacing w:line="480" w:lineRule="auto" w:before="89"/>
        <w:ind w:right="102"/>
      </w:pPr>
      <w:r>
        <w:rPr/>
        <w:t>503). Defendants also assert that Bornstein lacks credibility because he has never been qualified as a “gang expert.” Gills Br. at 8 (Dkt. 500).</w:t>
      </w:r>
    </w:p>
    <w:p>
      <w:pPr>
        <w:pStyle w:val="BodyText"/>
        <w:spacing w:line="480" w:lineRule="auto"/>
        <w:ind w:right="116" w:firstLine="720"/>
        <w:jc w:val="both"/>
      </w:pPr>
      <w:r>
        <w:rPr/>
        <w:t>Lastly, Defendants claim that Bornstein should not be allowed to testify because it would be unfairly prejudicial under Federal Rule of Evidence 403. Norwood Br. at 10-11 (Dkt. 503). Defendants point out that Bornstein is a senior FBI official who will be called to give opinions that closely track the indictment. This is unfair, according to Defendants, because Bornstein will draw upon his collective, general, gang experience and state that Defendants are in a gang. </w:t>
      </w:r>
      <w:r>
        <w:rPr>
          <w:u w:val="single"/>
        </w:rPr>
        <w:t>Id.</w:t>
      </w:r>
    </w:p>
    <w:p>
      <w:pPr>
        <w:pStyle w:val="BodyText"/>
        <w:spacing w:line="480" w:lineRule="auto"/>
        <w:ind w:right="115" w:firstLine="720"/>
        <w:jc w:val="both"/>
      </w:pPr>
      <w:r>
        <w:rPr/>
        <w:t>The Government responds to each argument made by Defendants. The Government asserts that Bornstein’s testimony is “highly relevant” because it will aid the jury in understanding something outside the experience of the average juror. Gov’t Br. at 2-3 (Dkt.  517). In particular, Bornstein will be able to assist the jury in understanding the meaning of graffiti, tattoos, hand signs, the distinction between national and neighborhood-based street gangs, gang codes and mores, promotion within gangs, and the projection of violence by gangs. </w:t>
      </w:r>
      <w:r>
        <w:rPr>
          <w:u w:val="single"/>
        </w:rPr>
        <w:t>Id.</w:t>
      </w:r>
      <w:r>
        <w:rPr>
          <w:spacing w:val="25"/>
        </w:rPr>
        <w:t> </w:t>
      </w:r>
      <w:r>
        <w:rPr/>
        <w:t>The</w:t>
      </w:r>
      <w:r>
        <w:rPr>
          <w:spacing w:val="12"/>
        </w:rPr>
        <w:t> </w:t>
      </w:r>
      <w:r>
        <w:rPr/>
        <w:t>Government</w:t>
      </w:r>
      <w:r>
        <w:rPr>
          <w:spacing w:val="13"/>
        </w:rPr>
        <w:t> </w:t>
      </w:r>
      <w:r>
        <w:rPr/>
        <w:t>claims</w:t>
      </w:r>
      <w:r>
        <w:rPr>
          <w:spacing w:val="12"/>
        </w:rPr>
        <w:t> </w:t>
      </w:r>
      <w:r>
        <w:rPr/>
        <w:t>that</w:t>
      </w:r>
      <w:r>
        <w:rPr>
          <w:spacing w:val="13"/>
        </w:rPr>
        <w:t> </w:t>
      </w:r>
      <w:r>
        <w:rPr/>
        <w:t>street</w:t>
      </w:r>
      <w:r>
        <w:rPr>
          <w:spacing w:val="12"/>
        </w:rPr>
        <w:t> </w:t>
      </w:r>
      <w:r>
        <w:rPr/>
        <w:t>gangs</w:t>
      </w:r>
      <w:r>
        <w:rPr>
          <w:spacing w:val="13"/>
        </w:rPr>
        <w:t> </w:t>
      </w:r>
      <w:r>
        <w:rPr/>
        <w:t>are</w:t>
      </w:r>
      <w:r>
        <w:rPr>
          <w:spacing w:val="12"/>
        </w:rPr>
        <w:t> </w:t>
      </w:r>
      <w:r>
        <w:rPr/>
        <w:t>not</w:t>
      </w:r>
      <w:r>
        <w:rPr>
          <w:spacing w:val="13"/>
        </w:rPr>
        <w:t> </w:t>
      </w:r>
      <w:r>
        <w:rPr/>
        <w:t>within</w:t>
      </w:r>
      <w:r>
        <w:rPr>
          <w:spacing w:val="11"/>
        </w:rPr>
        <w:t> </w:t>
      </w:r>
      <w:r>
        <w:rPr/>
        <w:t>the</w:t>
      </w:r>
      <w:r>
        <w:rPr>
          <w:spacing w:val="13"/>
        </w:rPr>
        <w:t> </w:t>
      </w:r>
      <w:r>
        <w:rPr/>
        <w:t>area</w:t>
      </w:r>
      <w:r>
        <w:rPr>
          <w:spacing w:val="12"/>
        </w:rPr>
        <w:t> </w:t>
      </w:r>
      <w:r>
        <w:rPr/>
        <w:t>of</w:t>
      </w:r>
      <w:r>
        <w:rPr>
          <w:spacing w:val="13"/>
        </w:rPr>
        <w:t> </w:t>
      </w:r>
      <w:r>
        <w:rPr/>
        <w:t>expertise</w:t>
      </w:r>
      <w:r>
        <w:rPr>
          <w:spacing w:val="13"/>
        </w:rPr>
        <w:t> </w:t>
      </w:r>
      <w:r>
        <w:rPr/>
        <w:t>of</w:t>
      </w:r>
      <w:r>
        <w:rPr>
          <w:spacing w:val="12"/>
        </w:rPr>
        <w:t> </w:t>
      </w:r>
      <w:r>
        <w:rPr/>
        <w:t>the</w:t>
      </w:r>
      <w:r>
        <w:rPr>
          <w:spacing w:val="13"/>
        </w:rPr>
        <w:t> </w:t>
      </w:r>
      <w:r>
        <w:rPr/>
        <w:t>average</w:t>
      </w:r>
    </w:p>
    <w:p>
      <w:pPr>
        <w:pStyle w:val="BodyText"/>
        <w:spacing w:line="480" w:lineRule="auto"/>
        <w:ind w:right="102"/>
      </w:pPr>
      <w:r>
        <w:rPr/>
        <w:t>juror, and that courts have allowed similar testimony in other cases, especially cases involving drug trafficking.</w:t>
      </w:r>
    </w:p>
    <w:p>
      <w:pPr>
        <w:pStyle w:val="BodyText"/>
        <w:tabs>
          <w:tab w:pos="8386" w:val="left" w:leader="none"/>
        </w:tabs>
        <w:spacing w:line="480" w:lineRule="auto"/>
        <w:ind w:right="116" w:firstLine="720"/>
      </w:pPr>
      <w:r>
        <w:rPr/>
        <w:t>The Government also notes that Bornstein’s testimony is relevant, even though he did not investigate </w:t>
      </w:r>
      <w:r>
        <w:rPr>
          <w:spacing w:val="20"/>
        </w:rPr>
        <w:t> </w:t>
      </w:r>
      <w:r>
        <w:rPr/>
        <w:t>the </w:t>
      </w:r>
      <w:r>
        <w:rPr>
          <w:spacing w:val="20"/>
        </w:rPr>
        <w:t> </w:t>
      </w:r>
      <w:r>
        <w:rPr/>
        <w:t>case, </w:t>
      </w:r>
      <w:r>
        <w:rPr>
          <w:spacing w:val="21"/>
        </w:rPr>
        <w:t> </w:t>
      </w:r>
      <w:r>
        <w:rPr/>
        <w:t>because </w:t>
      </w:r>
      <w:r>
        <w:rPr>
          <w:spacing w:val="20"/>
        </w:rPr>
        <w:t> </w:t>
      </w:r>
      <w:r>
        <w:rPr/>
        <w:t>he </w:t>
      </w:r>
      <w:r>
        <w:rPr>
          <w:spacing w:val="19"/>
        </w:rPr>
        <w:t> </w:t>
      </w:r>
      <w:r>
        <w:rPr/>
        <w:t>can </w:t>
      </w:r>
      <w:r>
        <w:rPr>
          <w:spacing w:val="21"/>
        </w:rPr>
        <w:t> </w:t>
      </w:r>
      <w:r>
        <w:rPr/>
        <w:t>educate </w:t>
      </w:r>
      <w:r>
        <w:rPr>
          <w:spacing w:val="20"/>
        </w:rPr>
        <w:t> </w:t>
      </w:r>
      <w:r>
        <w:rPr/>
        <w:t>the </w:t>
      </w:r>
      <w:r>
        <w:rPr>
          <w:spacing w:val="21"/>
        </w:rPr>
        <w:t> </w:t>
      </w:r>
      <w:r>
        <w:rPr/>
        <w:t>jury </w:t>
      </w:r>
      <w:r>
        <w:rPr>
          <w:spacing w:val="19"/>
        </w:rPr>
        <w:t> </w:t>
      </w:r>
      <w:r>
        <w:rPr/>
        <w:t>on </w:t>
      </w:r>
      <w:r>
        <w:rPr>
          <w:spacing w:val="20"/>
        </w:rPr>
        <w:t> </w:t>
      </w:r>
      <w:r>
        <w:rPr/>
        <w:t>gangs </w:t>
      </w:r>
      <w:r>
        <w:rPr>
          <w:spacing w:val="21"/>
        </w:rPr>
        <w:t> </w:t>
      </w:r>
      <w:r>
        <w:rPr/>
        <w:t>in </w:t>
      </w:r>
      <w:r>
        <w:rPr>
          <w:spacing w:val="18"/>
        </w:rPr>
        <w:t> </w:t>
      </w:r>
      <w:r>
        <w:rPr/>
        <w:t>general.</w:t>
        <w:tab/>
      </w:r>
      <w:r>
        <w:rPr>
          <w:u w:val="single"/>
        </w:rPr>
        <w:t>Id.</w:t>
      </w:r>
      <w:r>
        <w:rPr/>
        <w:t> at</w:t>
      </w:r>
      <w:r>
        <w:rPr>
          <w:spacing w:val="45"/>
        </w:rPr>
        <w:t> </w:t>
      </w:r>
      <w:r>
        <w:rPr>
          <w:spacing w:val="-6"/>
        </w:rPr>
        <w:t>4-6.</w:t>
      </w:r>
    </w:p>
    <w:p>
      <w:pPr>
        <w:pStyle w:val="BodyText"/>
        <w:spacing w:line="480" w:lineRule="auto"/>
        <w:ind w:left="119" w:right="117"/>
        <w:jc w:val="both"/>
      </w:pPr>
      <w:r>
        <w:rPr/>
        <w:t>Acknowledging cases where courts have rejected using law enforcement officers who participated in the investigation as a fact and expert witness, the Government states that it has tried to avoid this issue by using Bornstein, who has no connection to the case. The Government also remarks that any concerns about Bornstein’s lack of involvement in the investigation are more appropriate for cross-examination.</w:t>
      </w:r>
      <w:r>
        <w:rPr>
          <w:spacing w:val="59"/>
        </w:rPr>
        <w:t> </w:t>
      </w:r>
      <w:r>
        <w:rPr>
          <w:u w:val="single"/>
        </w:rPr>
        <w:t>Id.</w:t>
      </w:r>
    </w:p>
    <w:p>
      <w:pPr>
        <w:spacing w:after="0" w:line="480" w:lineRule="auto"/>
        <w:jc w:val="both"/>
        <w:sectPr>
          <w:headerReference w:type="default" r:id="rId24"/>
          <w:pgSz w:w="12240" w:h="15840"/>
          <w:pgMar w:header="283" w:footer="1019" w:top="1340" w:bottom="1200" w:left="1320" w:right="1320"/>
        </w:sectPr>
      </w:pPr>
    </w:p>
    <w:p>
      <w:pPr>
        <w:pStyle w:val="BodyText"/>
        <w:spacing w:before="89"/>
        <w:ind w:left="840"/>
      </w:pPr>
      <w:r>
        <w:rPr/>
        <w:t>In</w:t>
      </w:r>
      <w:r>
        <w:rPr>
          <w:spacing w:val="24"/>
        </w:rPr>
        <w:t> </w:t>
      </w:r>
      <w:r>
        <w:rPr/>
        <w:t>addition,</w:t>
      </w:r>
      <w:r>
        <w:rPr>
          <w:spacing w:val="24"/>
        </w:rPr>
        <w:t> </w:t>
      </w:r>
      <w:r>
        <w:rPr/>
        <w:t>the</w:t>
      </w:r>
      <w:r>
        <w:rPr>
          <w:spacing w:val="24"/>
        </w:rPr>
        <w:t> </w:t>
      </w:r>
      <w:r>
        <w:rPr/>
        <w:t>Government</w:t>
      </w:r>
      <w:r>
        <w:rPr>
          <w:spacing w:val="25"/>
        </w:rPr>
        <w:t> </w:t>
      </w:r>
      <w:r>
        <w:rPr/>
        <w:t>maintains</w:t>
      </w:r>
      <w:r>
        <w:rPr>
          <w:spacing w:val="24"/>
        </w:rPr>
        <w:t> </w:t>
      </w:r>
      <w:r>
        <w:rPr/>
        <w:t>that</w:t>
      </w:r>
      <w:r>
        <w:rPr>
          <w:spacing w:val="24"/>
        </w:rPr>
        <w:t> </w:t>
      </w:r>
      <w:r>
        <w:rPr/>
        <w:t>rigid</w:t>
      </w:r>
      <w:r>
        <w:rPr>
          <w:spacing w:val="25"/>
        </w:rPr>
        <w:t> </w:t>
      </w:r>
      <w:r>
        <w:rPr/>
        <w:t>application</w:t>
      </w:r>
      <w:r>
        <w:rPr>
          <w:spacing w:val="24"/>
        </w:rPr>
        <w:t> </w:t>
      </w:r>
      <w:r>
        <w:rPr/>
        <w:t>of</w:t>
      </w:r>
      <w:r>
        <w:rPr>
          <w:spacing w:val="24"/>
        </w:rPr>
        <w:t> </w:t>
      </w:r>
      <w:r>
        <w:rPr/>
        <w:t>the</w:t>
      </w:r>
      <w:r>
        <w:rPr>
          <w:spacing w:val="24"/>
        </w:rPr>
        <w:t> </w:t>
      </w:r>
      <w:r>
        <w:rPr>
          <w:u w:val="single"/>
        </w:rPr>
        <w:t>Daubert</w:t>
      </w:r>
      <w:r>
        <w:rPr>
          <w:spacing w:val="24"/>
        </w:rPr>
        <w:t> </w:t>
      </w:r>
      <w:r>
        <w:rPr/>
        <w:t>standard</w:t>
      </w:r>
      <w:r>
        <w:rPr>
          <w:spacing w:val="24"/>
        </w:rPr>
        <w:t> </w:t>
      </w:r>
      <w:r>
        <w:rPr/>
        <w:t>is</w:t>
      </w:r>
    </w:p>
    <w:p>
      <w:pPr>
        <w:pStyle w:val="BodyText"/>
        <w:spacing w:before="2"/>
        <w:ind w:left="0"/>
        <w:rPr>
          <w:sz w:val="16"/>
        </w:rPr>
      </w:pPr>
    </w:p>
    <w:p>
      <w:pPr>
        <w:pStyle w:val="BodyText"/>
        <w:spacing w:line="480" w:lineRule="auto" w:before="90"/>
        <w:ind w:left="119"/>
      </w:pPr>
      <w:r>
        <w:rPr/>
        <w:t>inappropriate here because Bornstein’s expertise is derived from his personal knowledge and experience.  </w:t>
      </w:r>
      <w:r>
        <w:rPr>
          <w:u w:val="single"/>
        </w:rPr>
        <w:t>Id.</w:t>
      </w:r>
      <w:r>
        <w:rPr/>
        <w:t> at 4.  The Government contends that Bornstein’s testimony is reliable because</w:t>
      </w:r>
      <w:r>
        <w:rPr>
          <w:spacing w:val="25"/>
        </w:rPr>
        <w:t> </w:t>
      </w:r>
      <w:r>
        <w:rPr/>
        <w:t>he</w:t>
      </w:r>
    </w:p>
    <w:p>
      <w:pPr>
        <w:pStyle w:val="BodyText"/>
        <w:spacing w:line="480" w:lineRule="auto"/>
        <w:ind w:right="113"/>
      </w:pPr>
      <w:r>
        <w:rPr/>
        <w:t>derives his opinions from his career at the FBI combating gangs, including the development of strategies</w:t>
      </w:r>
      <w:r>
        <w:rPr>
          <w:spacing w:val="15"/>
        </w:rPr>
        <w:t> </w:t>
      </w:r>
      <w:r>
        <w:rPr/>
        <w:t>for</w:t>
      </w:r>
      <w:r>
        <w:rPr>
          <w:spacing w:val="15"/>
        </w:rPr>
        <w:t> </w:t>
      </w:r>
      <w:r>
        <w:rPr/>
        <w:t>law</w:t>
      </w:r>
      <w:r>
        <w:rPr>
          <w:spacing w:val="16"/>
        </w:rPr>
        <w:t> </w:t>
      </w:r>
      <w:r>
        <w:rPr/>
        <w:t>enforcement. </w:t>
      </w:r>
      <w:r>
        <w:rPr>
          <w:spacing w:val="32"/>
        </w:rPr>
        <w:t> </w:t>
      </w:r>
      <w:r>
        <w:rPr>
          <w:u w:val="single"/>
        </w:rPr>
        <w:t>Id.</w:t>
      </w:r>
      <w:r>
        <w:rPr>
          <w:spacing w:val="15"/>
        </w:rPr>
        <w:t> </w:t>
      </w:r>
      <w:r>
        <w:rPr/>
        <w:t>at</w:t>
      </w:r>
      <w:r>
        <w:rPr>
          <w:spacing w:val="16"/>
        </w:rPr>
        <w:t> </w:t>
      </w:r>
      <w:r>
        <w:rPr/>
        <w:t>6-7. </w:t>
      </w:r>
      <w:r>
        <w:rPr>
          <w:spacing w:val="30"/>
        </w:rPr>
        <w:t> </w:t>
      </w:r>
      <w:r>
        <w:rPr/>
        <w:t>Furthermore,</w:t>
      </w:r>
      <w:r>
        <w:rPr>
          <w:spacing w:val="15"/>
        </w:rPr>
        <w:t> </w:t>
      </w:r>
      <w:r>
        <w:rPr/>
        <w:t>the</w:t>
      </w:r>
      <w:r>
        <w:rPr>
          <w:spacing w:val="16"/>
        </w:rPr>
        <w:t> </w:t>
      </w:r>
      <w:r>
        <w:rPr/>
        <w:t>Government</w:t>
      </w:r>
      <w:r>
        <w:rPr>
          <w:spacing w:val="15"/>
        </w:rPr>
        <w:t> </w:t>
      </w:r>
      <w:r>
        <w:rPr/>
        <w:t>asserts</w:t>
      </w:r>
      <w:r>
        <w:rPr>
          <w:spacing w:val="15"/>
        </w:rPr>
        <w:t> </w:t>
      </w:r>
      <w:r>
        <w:rPr/>
        <w:t>that</w:t>
      </w:r>
      <w:r>
        <w:rPr>
          <w:spacing w:val="16"/>
        </w:rPr>
        <w:t> </w:t>
      </w:r>
      <w:r>
        <w:rPr/>
        <w:t>Bornstein</w:t>
      </w:r>
    </w:p>
    <w:p>
      <w:pPr>
        <w:pStyle w:val="BodyText"/>
        <w:tabs>
          <w:tab w:pos="4484" w:val="left" w:leader="none"/>
          <w:tab w:pos="5533" w:val="left" w:leader="none"/>
        </w:tabs>
        <w:spacing w:line="480" w:lineRule="auto"/>
        <w:ind w:right="116"/>
      </w:pPr>
      <w:r>
        <w:rPr/>
        <w:t>has a methodology: “the application of his extensive experience to analyze the common traits, attributes,  and  practices  of</w:t>
      </w:r>
      <w:r>
        <w:rPr>
          <w:spacing w:val="16"/>
        </w:rPr>
        <w:t> </w:t>
      </w:r>
      <w:r>
        <w:rPr/>
        <w:t>street</w:t>
      </w:r>
      <w:r>
        <w:rPr>
          <w:spacing w:val="49"/>
        </w:rPr>
        <w:t> </w:t>
      </w:r>
      <w:r>
        <w:rPr/>
        <w:t>gangs.”</w:t>
        <w:tab/>
      </w:r>
      <w:r>
        <w:rPr>
          <w:u w:val="single"/>
        </w:rPr>
        <w:t>Id.</w:t>
      </w:r>
      <w:r>
        <w:rPr>
          <w:spacing w:val="48"/>
        </w:rPr>
        <w:t> </w:t>
      </w:r>
      <w:r>
        <w:rPr/>
        <w:t>at</w:t>
      </w:r>
      <w:r>
        <w:rPr>
          <w:spacing w:val="49"/>
        </w:rPr>
        <w:t> </w:t>
      </w:r>
      <w:r>
        <w:rPr/>
        <w:t>8.</w:t>
        <w:tab/>
        <w:t>Even</w:t>
      </w:r>
      <w:r>
        <w:rPr>
          <w:spacing w:val="60"/>
        </w:rPr>
        <w:t> </w:t>
      </w:r>
      <w:r>
        <w:rPr/>
        <w:t>though</w:t>
      </w:r>
      <w:r>
        <w:rPr>
          <w:spacing w:val="60"/>
        </w:rPr>
        <w:t> </w:t>
      </w:r>
      <w:r>
        <w:rPr/>
        <w:t>Bornstein</w:t>
      </w:r>
      <w:r>
        <w:rPr>
          <w:spacing w:val="60"/>
        </w:rPr>
        <w:t> </w:t>
      </w:r>
      <w:r>
        <w:rPr/>
        <w:t>has</w:t>
      </w:r>
      <w:r>
        <w:rPr>
          <w:spacing w:val="60"/>
        </w:rPr>
        <w:t> </w:t>
      </w:r>
      <w:r>
        <w:rPr/>
        <w:t>never</w:t>
      </w:r>
      <w:r>
        <w:rPr>
          <w:spacing w:val="1"/>
        </w:rPr>
        <w:t> </w:t>
      </w:r>
      <w:r>
        <w:rPr/>
        <w:t>been</w:t>
      </w:r>
    </w:p>
    <w:p>
      <w:pPr>
        <w:pStyle w:val="BodyText"/>
        <w:spacing w:line="480" w:lineRule="auto"/>
        <w:ind w:right="115"/>
        <w:jc w:val="both"/>
      </w:pPr>
      <w:r>
        <w:rPr/>
        <w:t>qualified as a gang expert before, the Government states that all experts have to be qualified for the first time. The Government also argues that Bornstein’s credibility or his testimony should not be undermined or deemed unreliable just because he misunderstood that he was qualified as a narcotics expert, not a gang expert, in previous cases. </w:t>
      </w:r>
      <w:r>
        <w:rPr>
          <w:u w:val="single"/>
        </w:rPr>
        <w:t>Id.</w:t>
      </w:r>
      <w:r>
        <w:rPr/>
        <w:t> at</w:t>
      </w:r>
      <w:r>
        <w:rPr>
          <w:spacing w:val="-8"/>
        </w:rPr>
        <w:t> </w:t>
      </w:r>
      <w:r>
        <w:rPr/>
        <w:t>9.</w:t>
      </w:r>
    </w:p>
    <w:p>
      <w:pPr>
        <w:pStyle w:val="BodyText"/>
        <w:ind w:left="840"/>
      </w:pPr>
      <w:r>
        <w:rPr/>
        <w:t>Lastly, the Government argues that Bornstein’s testimony will not be unfairly prejudicial.</w:t>
      </w:r>
    </w:p>
    <w:p>
      <w:pPr>
        <w:pStyle w:val="BodyText"/>
        <w:ind w:left="0"/>
      </w:pPr>
    </w:p>
    <w:p>
      <w:pPr>
        <w:pStyle w:val="BodyText"/>
      </w:pPr>
      <w:r>
        <w:rPr/>
        <w:t>Gov’t Br. 9-11.</w:t>
      </w:r>
    </w:p>
    <w:p>
      <w:pPr>
        <w:pStyle w:val="BodyText"/>
        <w:spacing w:before="2"/>
        <w:ind w:left="0"/>
      </w:pPr>
    </w:p>
    <w:p>
      <w:pPr>
        <w:pStyle w:val="Heading1"/>
        <w:ind w:firstLine="0"/>
      </w:pPr>
      <w:r>
        <w:rPr/>
        <w:t>4.</w:t>
      </w:r>
      <w:r>
        <w:rPr>
          <w:spacing w:val="60"/>
        </w:rPr>
        <w:t> </w:t>
      </w:r>
      <w:r>
        <w:rPr/>
        <w:t>Discussion</w:t>
      </w:r>
    </w:p>
    <w:p>
      <w:pPr>
        <w:pStyle w:val="BodyText"/>
        <w:spacing w:before="9"/>
        <w:ind w:left="0"/>
        <w:rPr>
          <w:b/>
          <w:sz w:val="23"/>
        </w:rPr>
      </w:pPr>
    </w:p>
    <w:p>
      <w:pPr>
        <w:pStyle w:val="BodyText"/>
        <w:spacing w:line="480" w:lineRule="auto"/>
        <w:ind w:left="119" w:right="113" w:firstLine="720"/>
        <w:jc w:val="both"/>
      </w:pPr>
      <w:r>
        <w:rPr/>
        <w:t>Courts have permitted law enforcement officers to testify as expert witnesses with respect to organized criminal activity, including gangs, where such expert testimony meets the required standards of relevance and reliability. </w:t>
      </w:r>
      <w:r>
        <w:rPr>
          <w:u w:val="single"/>
        </w:rPr>
        <w:t>United States v. Tocco</w:t>
      </w:r>
      <w:r>
        <w:rPr/>
        <w:t>, 200 F.3d 401, 419 (6th Cir. 2000).</w:t>
      </w:r>
    </w:p>
    <w:p>
      <w:pPr>
        <w:pStyle w:val="BodyText"/>
        <w:spacing w:line="480" w:lineRule="auto"/>
        <w:ind w:right="102"/>
      </w:pPr>
      <w:r>
        <w:rPr/>
        <w:t>But no court has sanctioned expert testimony of a gang expert in a context similar to the context of our case.</w:t>
      </w:r>
    </w:p>
    <w:p>
      <w:pPr>
        <w:pStyle w:val="BodyText"/>
        <w:spacing w:line="480" w:lineRule="auto"/>
        <w:ind w:firstLine="720"/>
      </w:pPr>
      <w:r>
        <w:rPr/>
        <w:t>Typically, law enforcement officers testify to the “inner workings” of a particular gang or organized</w:t>
      </w:r>
      <w:r>
        <w:rPr>
          <w:spacing w:val="17"/>
        </w:rPr>
        <w:t> </w:t>
      </w:r>
      <w:r>
        <w:rPr/>
        <w:t>criminal</w:t>
      </w:r>
      <w:r>
        <w:rPr>
          <w:spacing w:val="17"/>
        </w:rPr>
        <w:t> </w:t>
      </w:r>
      <w:r>
        <w:rPr/>
        <w:t>group,</w:t>
      </w:r>
      <w:r>
        <w:rPr>
          <w:spacing w:val="17"/>
        </w:rPr>
        <w:t> </w:t>
      </w:r>
      <w:r>
        <w:rPr>
          <w:u w:val="single"/>
        </w:rPr>
        <w:t>id.</w:t>
      </w:r>
      <w:r>
        <w:rPr>
          <w:spacing w:val="18"/>
        </w:rPr>
        <w:t> </w:t>
      </w:r>
      <w:r>
        <w:rPr/>
        <w:t>(relating</w:t>
      </w:r>
      <w:r>
        <w:rPr>
          <w:spacing w:val="17"/>
        </w:rPr>
        <w:t> </w:t>
      </w:r>
      <w:r>
        <w:rPr/>
        <w:t>to</w:t>
      </w:r>
      <w:r>
        <w:rPr>
          <w:spacing w:val="17"/>
        </w:rPr>
        <w:t> </w:t>
      </w:r>
      <w:r>
        <w:rPr/>
        <w:t>the</w:t>
      </w:r>
      <w:r>
        <w:rPr>
          <w:spacing w:val="18"/>
        </w:rPr>
        <w:t> </w:t>
      </w:r>
      <w:r>
        <w:rPr/>
        <w:t>Detroit</w:t>
      </w:r>
      <w:r>
        <w:rPr>
          <w:spacing w:val="17"/>
        </w:rPr>
        <w:t> </w:t>
      </w:r>
      <w:r>
        <w:rPr/>
        <w:t>branch</w:t>
      </w:r>
      <w:r>
        <w:rPr>
          <w:spacing w:val="17"/>
        </w:rPr>
        <w:t> </w:t>
      </w:r>
      <w:r>
        <w:rPr/>
        <w:t>of</w:t>
      </w:r>
      <w:r>
        <w:rPr>
          <w:spacing w:val="17"/>
        </w:rPr>
        <w:t> </w:t>
      </w:r>
      <w:r>
        <w:rPr/>
        <w:t>the</w:t>
      </w:r>
      <w:r>
        <w:rPr>
          <w:spacing w:val="17"/>
        </w:rPr>
        <w:t> </w:t>
      </w:r>
      <w:r>
        <w:rPr/>
        <w:t>Cosa</w:t>
      </w:r>
      <w:r>
        <w:rPr>
          <w:spacing w:val="16"/>
        </w:rPr>
        <w:t> </w:t>
      </w:r>
      <w:r>
        <w:rPr/>
        <w:t>Nostra),</w:t>
      </w:r>
      <w:r>
        <w:rPr>
          <w:spacing w:val="17"/>
        </w:rPr>
        <w:t> </w:t>
      </w:r>
      <w:r>
        <w:rPr/>
        <w:t>and</w:t>
      </w:r>
      <w:r>
        <w:rPr>
          <w:spacing w:val="16"/>
        </w:rPr>
        <w:t> </w:t>
      </w:r>
      <w:r>
        <w:rPr/>
        <w:t>provide</w:t>
      </w:r>
      <w:r>
        <w:rPr>
          <w:spacing w:val="16"/>
        </w:rPr>
        <w:t> </w:t>
      </w:r>
      <w:r>
        <w:rPr/>
        <w:t>a</w:t>
      </w:r>
    </w:p>
    <w:p>
      <w:pPr>
        <w:pStyle w:val="BodyText"/>
      </w:pPr>
      <w:r>
        <w:rPr/>
        <w:t>“broader</w:t>
      </w:r>
      <w:r>
        <w:rPr>
          <w:spacing w:val="19"/>
        </w:rPr>
        <w:t> </w:t>
      </w:r>
      <w:r>
        <w:rPr/>
        <w:t>context”</w:t>
      </w:r>
      <w:r>
        <w:rPr>
          <w:spacing w:val="19"/>
        </w:rPr>
        <w:t> </w:t>
      </w:r>
      <w:r>
        <w:rPr/>
        <w:t>of</w:t>
      </w:r>
      <w:r>
        <w:rPr>
          <w:spacing w:val="19"/>
        </w:rPr>
        <w:t> </w:t>
      </w:r>
      <w:r>
        <w:rPr/>
        <w:t>a</w:t>
      </w:r>
      <w:r>
        <w:rPr>
          <w:spacing w:val="18"/>
        </w:rPr>
        <w:t> </w:t>
      </w:r>
      <w:r>
        <w:rPr/>
        <w:t>particular</w:t>
      </w:r>
      <w:r>
        <w:rPr>
          <w:spacing w:val="19"/>
        </w:rPr>
        <w:t> </w:t>
      </w:r>
      <w:r>
        <w:rPr/>
        <w:t>gang’s</w:t>
      </w:r>
      <w:r>
        <w:rPr>
          <w:spacing w:val="19"/>
        </w:rPr>
        <w:t> </w:t>
      </w:r>
      <w:r>
        <w:rPr/>
        <w:t>“origins</w:t>
      </w:r>
      <w:r>
        <w:rPr>
          <w:spacing w:val="19"/>
        </w:rPr>
        <w:t> </w:t>
      </w:r>
      <w:r>
        <w:rPr/>
        <w:t>and</w:t>
      </w:r>
      <w:r>
        <w:rPr>
          <w:spacing w:val="19"/>
        </w:rPr>
        <w:t> </w:t>
      </w:r>
      <w:r>
        <w:rPr/>
        <w:t>history,” </w:t>
      </w:r>
      <w:r>
        <w:rPr>
          <w:spacing w:val="38"/>
        </w:rPr>
        <w:t> </w:t>
      </w:r>
      <w:r>
        <w:rPr>
          <w:u w:val="single"/>
        </w:rPr>
        <w:t>United</w:t>
      </w:r>
      <w:r>
        <w:rPr>
          <w:spacing w:val="19"/>
          <w:u w:val="single"/>
        </w:rPr>
        <w:t> </w:t>
      </w:r>
      <w:r>
        <w:rPr>
          <w:u w:val="single"/>
        </w:rPr>
        <w:t>States</w:t>
      </w:r>
      <w:r>
        <w:rPr>
          <w:spacing w:val="19"/>
          <w:u w:val="single"/>
        </w:rPr>
        <w:t> </w:t>
      </w:r>
      <w:r>
        <w:rPr>
          <w:u w:val="single"/>
        </w:rPr>
        <w:t>v.</w:t>
      </w:r>
      <w:r>
        <w:rPr>
          <w:spacing w:val="19"/>
          <w:u w:val="single"/>
        </w:rPr>
        <w:t> </w:t>
      </w:r>
      <w:r>
        <w:rPr>
          <w:u w:val="single"/>
        </w:rPr>
        <w:t>Archuleta</w:t>
      </w:r>
      <w:r>
        <w:rPr/>
        <w:t>,</w:t>
      </w:r>
      <w:r>
        <w:rPr>
          <w:spacing w:val="19"/>
        </w:rPr>
        <w:t> </w:t>
      </w:r>
      <w:r>
        <w:rPr/>
        <w:t>737</w:t>
      </w:r>
    </w:p>
    <w:p>
      <w:pPr>
        <w:pStyle w:val="BodyText"/>
        <w:spacing w:before="2"/>
        <w:ind w:left="0"/>
        <w:rPr>
          <w:sz w:val="16"/>
        </w:rPr>
      </w:pPr>
    </w:p>
    <w:p>
      <w:pPr>
        <w:pStyle w:val="BodyText"/>
        <w:spacing w:before="90"/>
      </w:pPr>
      <w:r>
        <w:rPr/>
        <w:t>F.3d</w:t>
      </w:r>
      <w:r>
        <w:rPr>
          <w:spacing w:val="13"/>
        </w:rPr>
        <w:t> </w:t>
      </w:r>
      <w:r>
        <w:rPr/>
        <w:t>1287,</w:t>
      </w:r>
      <w:r>
        <w:rPr>
          <w:spacing w:val="14"/>
        </w:rPr>
        <w:t> </w:t>
      </w:r>
      <w:r>
        <w:rPr/>
        <w:t>1296</w:t>
      </w:r>
      <w:r>
        <w:rPr>
          <w:spacing w:val="14"/>
        </w:rPr>
        <w:t> </w:t>
      </w:r>
      <w:r>
        <w:rPr/>
        <w:t>(10th</w:t>
      </w:r>
      <w:r>
        <w:rPr>
          <w:spacing w:val="13"/>
        </w:rPr>
        <w:t> </w:t>
      </w:r>
      <w:r>
        <w:rPr/>
        <w:t>Cir.</w:t>
      </w:r>
      <w:r>
        <w:rPr>
          <w:spacing w:val="14"/>
        </w:rPr>
        <w:t> </w:t>
      </w:r>
      <w:r>
        <w:rPr/>
        <w:t>2013)</w:t>
      </w:r>
      <w:r>
        <w:rPr>
          <w:spacing w:val="14"/>
        </w:rPr>
        <w:t> </w:t>
      </w:r>
      <w:r>
        <w:rPr/>
        <w:t>(permitting</w:t>
      </w:r>
      <w:r>
        <w:rPr>
          <w:spacing w:val="13"/>
        </w:rPr>
        <w:t> </w:t>
      </w:r>
      <w:r>
        <w:rPr/>
        <w:t>expert</w:t>
      </w:r>
      <w:r>
        <w:rPr>
          <w:spacing w:val="13"/>
        </w:rPr>
        <w:t> </w:t>
      </w:r>
      <w:r>
        <w:rPr/>
        <w:t>testimony</w:t>
      </w:r>
      <w:r>
        <w:rPr>
          <w:spacing w:val="14"/>
        </w:rPr>
        <w:t> </w:t>
      </w:r>
      <w:r>
        <w:rPr/>
        <w:t>regarding</w:t>
      </w:r>
      <w:r>
        <w:rPr>
          <w:spacing w:val="14"/>
        </w:rPr>
        <w:t> </w:t>
      </w:r>
      <w:r>
        <w:rPr/>
        <w:t>the</w:t>
      </w:r>
      <w:r>
        <w:rPr>
          <w:spacing w:val="13"/>
        </w:rPr>
        <w:t> </w:t>
      </w:r>
      <w:r>
        <w:rPr/>
        <w:t>Sureños,</w:t>
      </w:r>
      <w:r>
        <w:rPr>
          <w:spacing w:val="14"/>
        </w:rPr>
        <w:t> </w:t>
      </w:r>
      <w:r>
        <w:rPr/>
        <w:t>a</w:t>
      </w:r>
      <w:r>
        <w:rPr>
          <w:spacing w:val="14"/>
        </w:rPr>
        <w:t> </w:t>
      </w:r>
      <w:r>
        <w:rPr/>
        <w:t>gang</w:t>
      </w:r>
      <w:r>
        <w:rPr>
          <w:spacing w:val="13"/>
        </w:rPr>
        <w:t> </w:t>
      </w:r>
      <w:r>
        <w:rPr/>
        <w:t>in</w:t>
      </w:r>
    </w:p>
    <w:p>
      <w:pPr>
        <w:spacing w:after="0"/>
        <w:sectPr>
          <w:headerReference w:type="default" r:id="rId25"/>
          <w:pgSz w:w="12240" w:h="15840"/>
          <w:pgMar w:header="283" w:footer="1019" w:top="1340" w:bottom="1200" w:left="1320" w:right="1320"/>
        </w:sectPr>
      </w:pPr>
    </w:p>
    <w:p>
      <w:pPr>
        <w:pStyle w:val="BodyText"/>
        <w:spacing w:line="480" w:lineRule="auto" w:before="89"/>
      </w:pPr>
      <w:r>
        <w:rPr/>
        <w:t>New Mexico). Gang experts can also add details about the structure, purpose, and activities of a particular gang. </w:t>
      </w:r>
      <w:r>
        <w:rPr>
          <w:u w:val="single"/>
        </w:rPr>
        <w:t>Archuleta</w:t>
      </w:r>
      <w:r>
        <w:rPr/>
        <w:t>, 737 F.3d at 1296; </w:t>
      </w:r>
      <w:r>
        <w:rPr>
          <w:u w:val="single"/>
        </w:rPr>
        <w:t>see</w:t>
      </w:r>
      <w:r>
        <w:rPr/>
        <w:t> </w:t>
      </w:r>
      <w:r>
        <w:rPr>
          <w:u w:val="single"/>
        </w:rPr>
        <w:t>also</w:t>
      </w:r>
      <w:r>
        <w:rPr/>
        <w:t> </w:t>
      </w:r>
      <w:r>
        <w:rPr>
          <w:u w:val="single"/>
        </w:rPr>
        <w:t>United States v. Kamahele</w:t>
      </w:r>
      <w:r>
        <w:rPr/>
        <w:t>, --- F.3d ---,</w:t>
      </w:r>
    </w:p>
    <w:p>
      <w:pPr>
        <w:pStyle w:val="BodyText"/>
        <w:spacing w:line="480" w:lineRule="auto"/>
        <w:ind w:right="116"/>
        <w:jc w:val="both"/>
      </w:pPr>
      <w:r>
        <w:rPr/>
        <w:t>2014 WL 1378269, at *5 (10th Cir. Apr. 8, 2014) (holding that district court properly exercised discretion in allowing gang-expert testimony because such testimony about the Tongan Crip Gang’s structure, insignia, and history would be beyond the knowledge of a typical juror).</w:t>
      </w:r>
    </w:p>
    <w:p>
      <w:pPr>
        <w:pStyle w:val="BodyText"/>
        <w:spacing w:line="480" w:lineRule="auto"/>
        <w:ind w:left="119" w:right="107" w:firstLine="720"/>
      </w:pPr>
      <w:r>
        <w:rPr/>
        <w:t>Similarly, courts have permitted gang experts to provide opinion evidence regarding a particular gang’s slang, signifying colors, and other indicia of membership.  </w:t>
      </w:r>
      <w:r>
        <w:rPr>
          <w:spacing w:val="16"/>
        </w:rPr>
        <w:t> </w:t>
      </w:r>
      <w:r>
        <w:rPr>
          <w:u w:val="single"/>
        </w:rPr>
        <w:t>See</w:t>
      </w:r>
      <w:r>
        <w:rPr/>
        <w:t> </w:t>
      </w:r>
      <w:r>
        <w:rPr>
          <w:u w:val="single"/>
        </w:rPr>
        <w:t>United States v.</w:t>
      </w:r>
    </w:p>
    <w:p>
      <w:pPr>
        <w:pStyle w:val="BodyText"/>
      </w:pPr>
      <w:r>
        <w:rPr>
          <w:u w:val="single"/>
        </w:rPr>
        <w:t>Hankey</w:t>
      </w:r>
      <w:r>
        <w:rPr/>
        <w:t>,</w:t>
      </w:r>
      <w:r>
        <w:rPr>
          <w:spacing w:val="20"/>
        </w:rPr>
        <w:t> </w:t>
      </w:r>
      <w:r>
        <w:rPr/>
        <w:t>203</w:t>
      </w:r>
      <w:r>
        <w:rPr>
          <w:spacing w:val="21"/>
        </w:rPr>
        <w:t> </w:t>
      </w:r>
      <w:r>
        <w:rPr/>
        <w:t>F.3d</w:t>
      </w:r>
      <w:r>
        <w:rPr>
          <w:spacing w:val="21"/>
        </w:rPr>
        <w:t> </w:t>
      </w:r>
      <w:r>
        <w:rPr/>
        <w:t>1160,</w:t>
      </w:r>
      <w:r>
        <w:rPr>
          <w:spacing w:val="20"/>
        </w:rPr>
        <w:t> </w:t>
      </w:r>
      <w:r>
        <w:rPr/>
        <w:t>1169</w:t>
      </w:r>
      <w:r>
        <w:rPr>
          <w:spacing w:val="21"/>
        </w:rPr>
        <w:t> </w:t>
      </w:r>
      <w:r>
        <w:rPr/>
        <w:t>(9th</w:t>
      </w:r>
      <w:r>
        <w:rPr>
          <w:spacing w:val="21"/>
        </w:rPr>
        <w:t> </w:t>
      </w:r>
      <w:r>
        <w:rPr/>
        <w:t>Cir.</w:t>
      </w:r>
      <w:r>
        <w:rPr>
          <w:spacing w:val="21"/>
        </w:rPr>
        <w:t> </w:t>
      </w:r>
      <w:r>
        <w:rPr/>
        <w:t>2000)</w:t>
      </w:r>
      <w:r>
        <w:rPr>
          <w:spacing w:val="20"/>
        </w:rPr>
        <w:t> </w:t>
      </w:r>
      <w:r>
        <w:rPr/>
        <w:t>(upholding</w:t>
      </w:r>
      <w:r>
        <w:rPr>
          <w:spacing w:val="21"/>
        </w:rPr>
        <w:t> </w:t>
      </w:r>
      <w:r>
        <w:rPr/>
        <w:t>admission</w:t>
      </w:r>
      <w:r>
        <w:rPr>
          <w:spacing w:val="21"/>
        </w:rPr>
        <w:t> </w:t>
      </w:r>
      <w:r>
        <w:rPr/>
        <w:t>of</w:t>
      </w:r>
      <w:r>
        <w:rPr>
          <w:spacing w:val="21"/>
        </w:rPr>
        <w:t> </w:t>
      </w:r>
      <w:r>
        <w:rPr/>
        <w:t>police</w:t>
      </w:r>
      <w:r>
        <w:rPr>
          <w:spacing w:val="20"/>
        </w:rPr>
        <w:t> </w:t>
      </w:r>
      <w:r>
        <w:rPr/>
        <w:t>expert</w:t>
      </w:r>
      <w:r>
        <w:rPr>
          <w:spacing w:val="21"/>
        </w:rPr>
        <w:t> </w:t>
      </w:r>
      <w:r>
        <w:rPr/>
        <w:t>testimony</w:t>
      </w:r>
    </w:p>
    <w:p>
      <w:pPr>
        <w:pStyle w:val="BodyText"/>
        <w:spacing w:before="2"/>
        <w:ind w:left="0"/>
        <w:rPr>
          <w:sz w:val="16"/>
        </w:rPr>
      </w:pPr>
    </w:p>
    <w:p>
      <w:pPr>
        <w:pStyle w:val="BodyText"/>
        <w:spacing w:line="480" w:lineRule="auto" w:before="90"/>
        <w:ind w:left="119" w:right="115"/>
        <w:jc w:val="both"/>
      </w:pPr>
      <w:r>
        <w:rPr/>
        <w:t>on gang colors, signs, and activities). “Gang-related” items have also been recognized as a topic worthy of expert testimony “if the jury could not understand the significance of possession of these items.” </w:t>
      </w:r>
      <w:r>
        <w:rPr>
          <w:u w:val="single"/>
        </w:rPr>
        <w:t>United States v. Robinson</w:t>
      </w:r>
      <w:r>
        <w:rPr/>
        <w:t>, 978 F.2d 1554, 1563 (10th Cir. 1992).</w:t>
      </w:r>
    </w:p>
    <w:p>
      <w:pPr>
        <w:pStyle w:val="BodyText"/>
        <w:spacing w:line="480" w:lineRule="auto"/>
        <w:ind w:left="119" w:right="109" w:firstLine="720"/>
      </w:pPr>
      <w:r>
        <w:rPr/>
        <w:t>Such expertise usually arises from the officer’s significant experience investigating a particular gang.  </w:t>
      </w:r>
      <w:r>
        <w:rPr>
          <w:u w:val="single"/>
        </w:rPr>
        <w:t>See</w:t>
      </w:r>
      <w:r>
        <w:rPr/>
        <w:t> </w:t>
      </w:r>
      <w:r>
        <w:rPr>
          <w:u w:val="single"/>
        </w:rPr>
        <w:t>Tocco</w:t>
      </w:r>
      <w:r>
        <w:rPr/>
        <w:t>, 200 F.3d at 419 (organized crime expert had “22 years with the</w:t>
      </w:r>
      <w:r>
        <w:rPr>
          <w:spacing w:val="28"/>
        </w:rPr>
        <w:t> </w:t>
      </w:r>
      <w:r>
        <w:rPr/>
        <w:t>FBI,</w:t>
      </w:r>
    </w:p>
    <w:p>
      <w:pPr>
        <w:pStyle w:val="BodyText"/>
        <w:spacing w:line="480" w:lineRule="auto"/>
        <w:ind w:right="117"/>
        <w:jc w:val="both"/>
      </w:pPr>
      <w:r>
        <w:rPr/>
        <w:t>17 of which were spent in organized crime investigations, and his role since 1990 as the Cosa Nostra coordinator for the Detroit division, and as liaison with other FBI offices and</w:t>
      </w:r>
      <w:r>
        <w:rPr>
          <w:spacing w:val="6"/>
        </w:rPr>
        <w:t> </w:t>
      </w:r>
      <w:r>
        <w:rPr/>
        <w:t>FBI headquarters”); </w:t>
      </w:r>
      <w:r>
        <w:rPr>
          <w:u w:val="single"/>
        </w:rPr>
        <w:t>Montoya v. United States</w:t>
      </w:r>
      <w:r>
        <w:rPr/>
        <w:t>, Nos. 1:09CR247 and 1:12CV1110, 2013 WL </w:t>
      </w:r>
      <w:r>
        <w:rPr>
          <w:spacing w:val="7"/>
        </w:rPr>
        <w:t> </w:t>
      </w:r>
      <w:r>
        <w:rPr/>
        <w:t>633586</w:t>
      </w:r>
    </w:p>
    <w:p>
      <w:pPr>
        <w:pStyle w:val="BodyText"/>
        <w:spacing w:line="480" w:lineRule="auto"/>
        <w:ind w:left="119" w:right="117"/>
        <w:jc w:val="both"/>
      </w:pPr>
      <w:r>
        <w:rPr/>
        <w:t>(E.D. Va. Feb. 19, 2013) (denying habeas petition based, in part, on claim of ineffective assistance where defense counsel did not object to gang expert; expert was a police officer who had investigated the MS-13 gang for 6 years).</w:t>
      </w:r>
    </w:p>
    <w:p>
      <w:pPr>
        <w:pStyle w:val="BodyText"/>
        <w:spacing w:line="480" w:lineRule="auto"/>
        <w:ind w:left="119" w:right="113" w:firstLine="720"/>
      </w:pPr>
      <w:r>
        <w:rPr/>
        <w:t>On the other hand, expert testimony has been rejected when the proposed expert witness lacked</w:t>
      </w:r>
      <w:r>
        <w:rPr>
          <w:spacing w:val="6"/>
        </w:rPr>
        <w:t> </w:t>
      </w:r>
      <w:r>
        <w:rPr/>
        <w:t>relevant</w:t>
      </w:r>
      <w:r>
        <w:rPr>
          <w:spacing w:val="7"/>
        </w:rPr>
        <w:t> </w:t>
      </w:r>
      <w:r>
        <w:rPr/>
        <w:t>experience</w:t>
      </w:r>
      <w:r>
        <w:rPr>
          <w:spacing w:val="7"/>
        </w:rPr>
        <w:t> </w:t>
      </w:r>
      <w:r>
        <w:rPr/>
        <w:t>with</w:t>
      </w:r>
      <w:r>
        <w:rPr>
          <w:spacing w:val="7"/>
        </w:rPr>
        <w:t> </w:t>
      </w:r>
      <w:r>
        <w:rPr/>
        <w:t>a</w:t>
      </w:r>
      <w:r>
        <w:rPr>
          <w:spacing w:val="7"/>
        </w:rPr>
        <w:t> </w:t>
      </w:r>
      <w:r>
        <w:rPr/>
        <w:t>particular</w:t>
      </w:r>
      <w:r>
        <w:rPr>
          <w:spacing w:val="7"/>
        </w:rPr>
        <w:t> </w:t>
      </w:r>
      <w:r>
        <w:rPr/>
        <w:t>group. </w:t>
      </w:r>
      <w:r>
        <w:rPr>
          <w:spacing w:val="14"/>
        </w:rPr>
        <w:t> </w:t>
      </w:r>
      <w:r>
        <w:rPr>
          <w:u w:val="single"/>
        </w:rPr>
        <w:t>See,</w:t>
      </w:r>
      <w:r>
        <w:rPr>
          <w:spacing w:val="7"/>
        </w:rPr>
        <w:t> </w:t>
      </w:r>
      <w:r>
        <w:rPr>
          <w:u w:val="single"/>
        </w:rPr>
        <w:t>e.g.</w:t>
      </w:r>
      <w:r>
        <w:rPr/>
        <w:t>,</w:t>
      </w:r>
      <w:r>
        <w:rPr>
          <w:spacing w:val="7"/>
        </w:rPr>
        <w:t> </w:t>
      </w:r>
      <w:r>
        <w:rPr>
          <w:u w:val="single"/>
        </w:rPr>
        <w:t>United</w:t>
      </w:r>
      <w:r>
        <w:rPr>
          <w:spacing w:val="7"/>
          <w:u w:val="single"/>
        </w:rPr>
        <w:t> </w:t>
      </w:r>
      <w:r>
        <w:rPr>
          <w:u w:val="single"/>
        </w:rPr>
        <w:t>States</w:t>
      </w:r>
      <w:r>
        <w:rPr>
          <w:spacing w:val="7"/>
          <w:u w:val="single"/>
        </w:rPr>
        <w:t> </w:t>
      </w:r>
      <w:r>
        <w:rPr>
          <w:u w:val="single"/>
        </w:rPr>
        <w:t>v.</w:t>
      </w:r>
      <w:r>
        <w:rPr>
          <w:spacing w:val="7"/>
          <w:u w:val="single"/>
        </w:rPr>
        <w:t> </w:t>
      </w:r>
      <w:r>
        <w:rPr>
          <w:u w:val="single"/>
        </w:rPr>
        <w:t>Stone</w:t>
      </w:r>
      <w:r>
        <w:rPr/>
        <w:t>,</w:t>
      </w:r>
      <w:r>
        <w:rPr>
          <w:spacing w:val="7"/>
        </w:rPr>
        <w:t> </w:t>
      </w:r>
      <w:r>
        <w:rPr/>
        <w:t>279</w:t>
      </w:r>
      <w:r>
        <w:rPr>
          <w:spacing w:val="7"/>
        </w:rPr>
        <w:t> </w:t>
      </w:r>
      <w:r>
        <w:rPr/>
        <w:t>F.R.D.</w:t>
      </w:r>
    </w:p>
    <w:p>
      <w:pPr>
        <w:pStyle w:val="BodyText"/>
      </w:pPr>
      <w:r>
        <w:rPr/>
        <w:t>434,  441-442  (E.D.  Mich.  2012)  (precluding  Government’s  proposed  “academic  expert”</w:t>
      </w:r>
      <w:r>
        <w:rPr>
          <w:spacing w:val="26"/>
        </w:rPr>
        <w:t> </w:t>
      </w:r>
      <w:r>
        <w:rPr/>
        <w:t>on</w:t>
      </w:r>
    </w:p>
    <w:p>
      <w:pPr>
        <w:spacing w:after="0"/>
        <w:sectPr>
          <w:headerReference w:type="default" r:id="rId26"/>
          <w:pgSz w:w="12240" w:h="15840"/>
          <w:pgMar w:header="283" w:footer="1019" w:top="1340" w:bottom="1200" w:left="1320" w:right="1320"/>
        </w:sectPr>
      </w:pPr>
    </w:p>
    <w:p>
      <w:pPr>
        <w:pStyle w:val="BodyText"/>
        <w:spacing w:line="480" w:lineRule="auto" w:before="89"/>
      </w:pPr>
      <w:r>
        <w:rPr/>
        <w:t>conspiracy theories from testifying by concluding, in part, that the expert lacked “experience and familiarity” with the group in question — the Hutaree, an anti-government militia).</w:t>
      </w:r>
    </w:p>
    <w:p>
      <w:pPr>
        <w:pStyle w:val="BodyText"/>
        <w:spacing w:line="480" w:lineRule="auto"/>
        <w:ind w:right="116" w:firstLine="720"/>
        <w:jc w:val="both"/>
      </w:pPr>
      <w:r>
        <w:rPr/>
        <w:t>In light of the cases involving gang experts and the evidence adduced at the evidentiary hearing, the Court concludes that Bornstein’s proposed testimony is unreliable and irrelevant, and that his opinions would not aid the</w:t>
      </w:r>
      <w:r>
        <w:rPr>
          <w:spacing w:val="-8"/>
        </w:rPr>
        <w:t> </w:t>
      </w:r>
      <w:r>
        <w:rPr/>
        <w:t>jury.</w:t>
      </w:r>
    </w:p>
    <w:p>
      <w:pPr>
        <w:pStyle w:val="BodyText"/>
        <w:spacing w:line="480" w:lineRule="auto"/>
        <w:ind w:left="119" w:right="116" w:firstLine="720"/>
        <w:jc w:val="both"/>
      </w:pPr>
      <w:r>
        <w:rPr/>
        <w:t>The Court first determines that Bornstein’s opinions are not sufficiently reliable for them to be placed before a jury. Bornstein’s opinions concerning gangs arise from the totality of his experience in Oklahoma, California, and Connecticut, and from a national perspective while he was in Washington, D.C. This case, however, concerns the Howard Boys and their alleged territory in Flint, Michigan. Bornstein has never investigated the Howard Boys or other gangs in Michigan, let alone Southeast Michigan or Flint. Given Bornstein’s lack of knowledge of the Howard Boys and the region, there is no way for the Court to know whether the gangs with which Bornstein is familiar, such as the Nelton Court Crew, are sufficiently similar to the Howard Boys as to make his generalized opinions reliable for this case. Simply put, Bornstein’s lack of familiarity with the particular gang or locale at issue in this case makes his opinions unreliable to be placed before the</w:t>
      </w:r>
      <w:r>
        <w:rPr>
          <w:spacing w:val="-7"/>
        </w:rPr>
        <w:t> </w:t>
      </w:r>
      <w:r>
        <w:rPr/>
        <w:t>jury.</w:t>
      </w:r>
    </w:p>
    <w:p>
      <w:pPr>
        <w:pStyle w:val="BodyText"/>
        <w:spacing w:line="275" w:lineRule="exact"/>
        <w:ind w:left="840"/>
      </w:pPr>
      <w:r>
        <w:rPr/>
        <w:t>Thus,</w:t>
      </w:r>
      <w:r>
        <w:rPr>
          <w:spacing w:val="27"/>
        </w:rPr>
        <w:t> </w:t>
      </w:r>
      <w:r>
        <w:rPr/>
        <w:t>this</w:t>
      </w:r>
      <w:r>
        <w:rPr>
          <w:spacing w:val="28"/>
        </w:rPr>
        <w:t> </w:t>
      </w:r>
      <w:r>
        <w:rPr/>
        <w:t>case</w:t>
      </w:r>
      <w:r>
        <w:rPr>
          <w:spacing w:val="28"/>
        </w:rPr>
        <w:t> </w:t>
      </w:r>
      <w:r>
        <w:rPr/>
        <w:t>is</w:t>
      </w:r>
      <w:r>
        <w:rPr>
          <w:spacing w:val="27"/>
        </w:rPr>
        <w:t> </w:t>
      </w:r>
      <w:r>
        <w:rPr/>
        <w:t>much</w:t>
      </w:r>
      <w:r>
        <w:rPr>
          <w:spacing w:val="28"/>
        </w:rPr>
        <w:t> </w:t>
      </w:r>
      <w:r>
        <w:rPr/>
        <w:t>like</w:t>
      </w:r>
      <w:r>
        <w:rPr>
          <w:spacing w:val="28"/>
        </w:rPr>
        <w:t> </w:t>
      </w:r>
      <w:r>
        <w:rPr>
          <w:u w:val="single"/>
        </w:rPr>
        <w:t>Stone</w:t>
      </w:r>
      <w:r>
        <w:rPr/>
        <w:t>,</w:t>
      </w:r>
      <w:r>
        <w:rPr>
          <w:spacing w:val="27"/>
        </w:rPr>
        <w:t> </w:t>
      </w:r>
      <w:r>
        <w:rPr/>
        <w:t>where</w:t>
      </w:r>
      <w:r>
        <w:rPr>
          <w:spacing w:val="27"/>
        </w:rPr>
        <w:t> </w:t>
      </w:r>
      <w:r>
        <w:rPr/>
        <w:t>an</w:t>
      </w:r>
      <w:r>
        <w:rPr>
          <w:spacing w:val="28"/>
        </w:rPr>
        <w:t> </w:t>
      </w:r>
      <w:r>
        <w:rPr/>
        <w:t>expert</w:t>
      </w:r>
      <w:r>
        <w:rPr>
          <w:spacing w:val="28"/>
        </w:rPr>
        <w:t> </w:t>
      </w:r>
      <w:r>
        <w:rPr/>
        <w:t>without</w:t>
      </w:r>
      <w:r>
        <w:rPr>
          <w:spacing w:val="27"/>
        </w:rPr>
        <w:t> </w:t>
      </w:r>
      <w:r>
        <w:rPr/>
        <w:t>specific</w:t>
      </w:r>
      <w:r>
        <w:rPr>
          <w:spacing w:val="28"/>
        </w:rPr>
        <w:t> </w:t>
      </w:r>
      <w:r>
        <w:rPr/>
        <w:t>knowledge</w:t>
      </w:r>
      <w:r>
        <w:rPr>
          <w:spacing w:val="28"/>
        </w:rPr>
        <w:t> </w:t>
      </w:r>
      <w:r>
        <w:rPr/>
        <w:t>of</w:t>
      </w:r>
      <w:r>
        <w:rPr>
          <w:spacing w:val="27"/>
        </w:rPr>
        <w:t> </w:t>
      </w:r>
      <w:r>
        <w:rPr/>
        <w:t>the</w:t>
      </w:r>
    </w:p>
    <w:p>
      <w:pPr>
        <w:pStyle w:val="BodyText"/>
        <w:spacing w:before="2"/>
        <w:ind w:left="0"/>
        <w:rPr>
          <w:sz w:val="16"/>
        </w:rPr>
      </w:pPr>
    </w:p>
    <w:p>
      <w:pPr>
        <w:pStyle w:val="BodyText"/>
        <w:spacing w:before="90"/>
      </w:pPr>
      <w:r>
        <w:rPr/>
        <w:t>subject group was barred from testifying.  </w:t>
      </w:r>
      <w:r>
        <w:rPr>
          <w:u w:val="single"/>
        </w:rPr>
        <w:t>Compare</w:t>
      </w:r>
      <w:r>
        <w:rPr/>
        <w:t> </w:t>
      </w:r>
      <w:r>
        <w:rPr>
          <w:u w:val="single"/>
        </w:rPr>
        <w:t>Tocco</w:t>
      </w:r>
      <w:r>
        <w:rPr/>
        <w:t>, 200 F.3d at 419 (expert had</w:t>
      </w:r>
      <w:r>
        <w:rPr>
          <w:spacing w:val="-5"/>
        </w:rPr>
        <w:t> </w:t>
      </w:r>
      <w:r>
        <w:rPr/>
        <w:t>extensive</w:t>
      </w:r>
    </w:p>
    <w:p>
      <w:pPr>
        <w:pStyle w:val="BodyText"/>
        <w:spacing w:before="2"/>
        <w:ind w:left="0"/>
        <w:rPr>
          <w:sz w:val="16"/>
        </w:rPr>
      </w:pPr>
    </w:p>
    <w:p>
      <w:pPr>
        <w:pStyle w:val="BodyText"/>
        <w:spacing w:before="90"/>
      </w:pPr>
      <w:r>
        <w:rPr/>
        <w:t>experience</w:t>
      </w:r>
      <w:r>
        <w:rPr>
          <w:spacing w:val="12"/>
        </w:rPr>
        <w:t> </w:t>
      </w:r>
      <w:r>
        <w:rPr/>
        <w:t>with</w:t>
      </w:r>
      <w:r>
        <w:rPr>
          <w:spacing w:val="13"/>
        </w:rPr>
        <w:t> </w:t>
      </w:r>
      <w:r>
        <w:rPr/>
        <w:t>the</w:t>
      </w:r>
      <w:r>
        <w:rPr>
          <w:spacing w:val="13"/>
        </w:rPr>
        <w:t> </w:t>
      </w:r>
      <w:r>
        <w:rPr/>
        <w:t>Mafia);</w:t>
      </w:r>
      <w:r>
        <w:rPr>
          <w:spacing w:val="13"/>
        </w:rPr>
        <w:t> </w:t>
      </w:r>
      <w:r>
        <w:rPr>
          <w:u w:val="single"/>
        </w:rPr>
        <w:t>Kamahele</w:t>
      </w:r>
      <w:r>
        <w:rPr/>
        <w:t>,</w:t>
      </w:r>
      <w:r>
        <w:rPr>
          <w:spacing w:val="13"/>
        </w:rPr>
        <w:t> </w:t>
      </w:r>
      <w:r>
        <w:rPr/>
        <w:t>2014</w:t>
      </w:r>
      <w:r>
        <w:rPr>
          <w:spacing w:val="13"/>
        </w:rPr>
        <w:t> </w:t>
      </w:r>
      <w:r>
        <w:rPr/>
        <w:t>WL</w:t>
      </w:r>
      <w:r>
        <w:rPr>
          <w:spacing w:val="11"/>
        </w:rPr>
        <w:t> </w:t>
      </w:r>
      <w:r>
        <w:rPr/>
        <w:t>1378269</w:t>
      </w:r>
      <w:r>
        <w:rPr>
          <w:spacing w:val="13"/>
        </w:rPr>
        <w:t> </w:t>
      </w:r>
      <w:r>
        <w:rPr/>
        <w:t>(expert</w:t>
      </w:r>
      <w:r>
        <w:rPr>
          <w:spacing w:val="13"/>
        </w:rPr>
        <w:t> </w:t>
      </w:r>
      <w:r>
        <w:rPr/>
        <w:t>had</w:t>
      </w:r>
      <w:r>
        <w:rPr>
          <w:spacing w:val="13"/>
        </w:rPr>
        <w:t> </w:t>
      </w:r>
      <w:r>
        <w:rPr/>
        <w:t>years</w:t>
      </w:r>
      <w:r>
        <w:rPr>
          <w:spacing w:val="13"/>
        </w:rPr>
        <w:t> </w:t>
      </w:r>
      <w:r>
        <w:rPr/>
        <w:t>of</w:t>
      </w:r>
      <w:r>
        <w:rPr>
          <w:spacing w:val="13"/>
        </w:rPr>
        <w:t> </w:t>
      </w:r>
      <w:r>
        <w:rPr/>
        <w:t>experience</w:t>
      </w:r>
      <w:r>
        <w:rPr>
          <w:spacing w:val="13"/>
        </w:rPr>
        <w:t> </w:t>
      </w:r>
      <w:r>
        <w:rPr/>
        <w:t>with</w:t>
      </w:r>
    </w:p>
    <w:p>
      <w:pPr>
        <w:pStyle w:val="BodyText"/>
        <w:spacing w:before="2"/>
        <w:ind w:left="0"/>
        <w:rPr>
          <w:sz w:val="16"/>
        </w:rPr>
      </w:pPr>
    </w:p>
    <w:p>
      <w:pPr>
        <w:pStyle w:val="BodyText"/>
        <w:spacing w:before="90"/>
      </w:pPr>
      <w:r>
        <w:rPr/>
        <w:t>the</w:t>
      </w:r>
      <w:r>
        <w:rPr>
          <w:spacing w:val="24"/>
        </w:rPr>
        <w:t> </w:t>
      </w:r>
      <w:r>
        <w:rPr/>
        <w:t>Tongan</w:t>
      </w:r>
      <w:r>
        <w:rPr>
          <w:spacing w:val="25"/>
        </w:rPr>
        <w:t> </w:t>
      </w:r>
      <w:r>
        <w:rPr/>
        <w:t>Crips</w:t>
      </w:r>
      <w:r>
        <w:rPr>
          <w:spacing w:val="25"/>
        </w:rPr>
        <w:t> </w:t>
      </w:r>
      <w:r>
        <w:rPr/>
        <w:t>and</w:t>
      </w:r>
      <w:r>
        <w:rPr>
          <w:spacing w:val="25"/>
        </w:rPr>
        <w:t> </w:t>
      </w:r>
      <w:r>
        <w:rPr/>
        <w:t>testified</w:t>
      </w:r>
      <w:r>
        <w:rPr>
          <w:spacing w:val="25"/>
        </w:rPr>
        <w:t> </w:t>
      </w:r>
      <w:r>
        <w:rPr/>
        <w:t>as</w:t>
      </w:r>
      <w:r>
        <w:rPr>
          <w:spacing w:val="25"/>
        </w:rPr>
        <w:t> </w:t>
      </w:r>
      <w:r>
        <w:rPr/>
        <w:t>to</w:t>
      </w:r>
      <w:r>
        <w:rPr>
          <w:spacing w:val="24"/>
        </w:rPr>
        <w:t> </w:t>
      </w:r>
      <w:r>
        <w:rPr/>
        <w:t>Tongan</w:t>
      </w:r>
      <w:r>
        <w:rPr>
          <w:spacing w:val="25"/>
        </w:rPr>
        <w:t> </w:t>
      </w:r>
      <w:r>
        <w:rPr/>
        <w:t>culture);</w:t>
      </w:r>
      <w:r>
        <w:rPr>
          <w:spacing w:val="25"/>
        </w:rPr>
        <w:t> </w:t>
      </w:r>
      <w:r>
        <w:rPr>
          <w:u w:val="single"/>
        </w:rPr>
        <w:t>Montoya</w:t>
      </w:r>
      <w:r>
        <w:rPr/>
        <w:t>,</w:t>
      </w:r>
      <w:r>
        <w:rPr>
          <w:spacing w:val="24"/>
        </w:rPr>
        <w:t> </w:t>
      </w:r>
      <w:r>
        <w:rPr/>
        <w:t>2013</w:t>
      </w:r>
      <w:r>
        <w:rPr>
          <w:spacing w:val="25"/>
        </w:rPr>
        <w:t> </w:t>
      </w:r>
      <w:r>
        <w:rPr/>
        <w:t>WL</w:t>
      </w:r>
      <w:r>
        <w:rPr>
          <w:spacing w:val="25"/>
        </w:rPr>
        <w:t> </w:t>
      </w:r>
      <w:r>
        <w:rPr/>
        <w:t>633586</w:t>
      </w:r>
      <w:r>
        <w:rPr>
          <w:spacing w:val="25"/>
        </w:rPr>
        <w:t> </w:t>
      </w:r>
      <w:r>
        <w:rPr/>
        <w:t>(expert</w:t>
      </w:r>
      <w:r>
        <w:rPr>
          <w:spacing w:val="24"/>
        </w:rPr>
        <w:t> </w:t>
      </w:r>
      <w:r>
        <w:rPr/>
        <w:t>had</w:t>
      </w:r>
    </w:p>
    <w:p>
      <w:pPr>
        <w:pStyle w:val="BodyText"/>
        <w:spacing w:before="2"/>
        <w:ind w:left="0"/>
        <w:rPr>
          <w:sz w:val="16"/>
        </w:rPr>
      </w:pPr>
    </w:p>
    <w:p>
      <w:pPr>
        <w:pStyle w:val="BodyText"/>
        <w:spacing w:before="90"/>
      </w:pPr>
      <w:r>
        <w:rPr/>
        <w:t>interviewed</w:t>
      </w:r>
      <w:r>
        <w:rPr>
          <w:spacing w:val="4"/>
        </w:rPr>
        <w:t> </w:t>
      </w:r>
      <w:r>
        <w:rPr/>
        <w:t>over</w:t>
      </w:r>
      <w:r>
        <w:rPr>
          <w:spacing w:val="5"/>
        </w:rPr>
        <w:t> </w:t>
      </w:r>
      <w:r>
        <w:rPr/>
        <w:t>50</w:t>
      </w:r>
      <w:r>
        <w:rPr>
          <w:spacing w:val="5"/>
        </w:rPr>
        <w:t> </w:t>
      </w:r>
      <w:r>
        <w:rPr/>
        <w:t>members</w:t>
      </w:r>
      <w:r>
        <w:rPr>
          <w:spacing w:val="5"/>
        </w:rPr>
        <w:t> </w:t>
      </w:r>
      <w:r>
        <w:rPr/>
        <w:t>of</w:t>
      </w:r>
      <w:r>
        <w:rPr>
          <w:spacing w:val="5"/>
        </w:rPr>
        <w:t> </w:t>
      </w:r>
      <w:r>
        <w:rPr/>
        <w:t>the</w:t>
      </w:r>
      <w:r>
        <w:rPr>
          <w:spacing w:val="5"/>
        </w:rPr>
        <w:t> </w:t>
      </w:r>
      <w:r>
        <w:rPr/>
        <w:t>MS-13</w:t>
      </w:r>
      <w:r>
        <w:rPr>
          <w:spacing w:val="5"/>
        </w:rPr>
        <w:t> </w:t>
      </w:r>
      <w:r>
        <w:rPr/>
        <w:t>gang). </w:t>
      </w:r>
      <w:r>
        <w:rPr>
          <w:spacing w:val="11"/>
        </w:rPr>
        <w:t> </w:t>
      </w:r>
      <w:r>
        <w:rPr/>
        <w:t>Indeed,</w:t>
      </w:r>
      <w:r>
        <w:rPr>
          <w:spacing w:val="5"/>
        </w:rPr>
        <w:t> </w:t>
      </w:r>
      <w:r>
        <w:rPr/>
        <w:t>the</w:t>
      </w:r>
      <w:r>
        <w:rPr>
          <w:spacing w:val="5"/>
        </w:rPr>
        <w:t> </w:t>
      </w:r>
      <w:r>
        <w:rPr/>
        <w:t>Court</w:t>
      </w:r>
      <w:r>
        <w:rPr>
          <w:spacing w:val="5"/>
        </w:rPr>
        <w:t> </w:t>
      </w:r>
      <w:r>
        <w:rPr/>
        <w:t>is</w:t>
      </w:r>
      <w:r>
        <w:rPr>
          <w:spacing w:val="5"/>
        </w:rPr>
        <w:t> </w:t>
      </w:r>
      <w:r>
        <w:rPr/>
        <w:t>aware</w:t>
      </w:r>
      <w:r>
        <w:rPr>
          <w:spacing w:val="4"/>
        </w:rPr>
        <w:t> </w:t>
      </w:r>
      <w:r>
        <w:rPr/>
        <w:t>of</w:t>
      </w:r>
      <w:r>
        <w:rPr>
          <w:spacing w:val="5"/>
        </w:rPr>
        <w:t> </w:t>
      </w:r>
      <w:r>
        <w:rPr/>
        <w:t>no</w:t>
      </w:r>
      <w:r>
        <w:rPr>
          <w:spacing w:val="5"/>
        </w:rPr>
        <w:t> </w:t>
      </w:r>
      <w:r>
        <w:rPr/>
        <w:t>case</w:t>
      </w:r>
      <w:r>
        <w:rPr>
          <w:spacing w:val="5"/>
        </w:rPr>
        <w:t> </w:t>
      </w:r>
      <w:r>
        <w:rPr/>
        <w:t>—</w:t>
      </w:r>
      <w:r>
        <w:rPr>
          <w:spacing w:val="5"/>
        </w:rPr>
        <w:t> </w:t>
      </w:r>
      <w:r>
        <w:rPr/>
        <w:t>and</w:t>
      </w:r>
    </w:p>
    <w:p>
      <w:pPr>
        <w:spacing w:after="0"/>
        <w:sectPr>
          <w:headerReference w:type="default" r:id="rId27"/>
          <w:pgSz w:w="12240" w:h="15840"/>
          <w:pgMar w:header="283" w:footer="1019" w:top="1340" w:bottom="1200" w:left="1320" w:right="1320"/>
        </w:sectPr>
      </w:pPr>
    </w:p>
    <w:p>
      <w:pPr>
        <w:pStyle w:val="BodyText"/>
        <w:spacing w:line="480" w:lineRule="auto" w:before="89"/>
      </w:pPr>
      <w:r>
        <w:rPr/>
        <w:t>the Government identifies none — in which a generalized gang expert, without knowledge of the specific gang in question, was permitted to</w:t>
      </w:r>
      <w:r>
        <w:rPr>
          <w:spacing w:val="-2"/>
        </w:rPr>
        <w:t> </w:t>
      </w:r>
      <w:r>
        <w:rPr/>
        <w:t>testify.</w:t>
      </w:r>
      <w:r>
        <w:rPr>
          <w:vertAlign w:val="superscript"/>
        </w:rPr>
        <w:t>9</w:t>
      </w:r>
    </w:p>
    <w:p>
      <w:pPr>
        <w:pStyle w:val="BodyText"/>
        <w:spacing w:line="480" w:lineRule="auto"/>
        <w:ind w:right="116" w:firstLine="720"/>
        <w:jc w:val="both"/>
      </w:pPr>
      <w:r>
        <w:rPr/>
        <w:pict>
          <v:line style="position:absolute;mso-position-horizontal-relative:page;mso-position-vertical-relative:paragraph;z-index:-856;mso-wrap-distance-left:0;mso-wrap-distance-right:0" from="72pt,389.143127pt" to="216pt,389.143127pt" stroked="true" strokeweight=".48001pt" strokecolor="#000000">
            <v:stroke dashstyle="solid"/>
            <w10:wrap type="topAndBottom"/>
          </v:line>
        </w:pict>
      </w:r>
      <w:r>
        <w:rPr/>
        <w:t>It is not clear from the record that Bornstein’s career at the FBI focused extensively on how gangs operated throughout the United States. During his stint as a supervisory special agent for the Safe Streets and Gang Unit at FBI Headquarters — which lasted only 18 months — Bornstein helped change the FBI’s strategy in combating gangs, particularly neighborhood-based street gangs. But he also worked on several other projects — the management, budgeting, and oversight of law enforcement task forces operating in the western United States — which did not necessarily bear on gang issues. Bornstein CV (Dkt. 138-18). It is true that Bornstein testified that he would receive reports about gang investigations from western region law enforcement task forces, and that these reports showed “commonalities” to what Bornstein had experienced in his investigations in Connecticut. 3/26/14 Tr. at 35-36.  The record, however, does not disclose in general or with specificity what these commonalities were. In short, while Bornstein’s FBI experience touched on gang matters in different parts of the country, there is insufficient evidence that the experience was comprehensive enough to conclude that what he learned has application to the Howard Boys in Flint,</w:t>
      </w:r>
      <w:r>
        <w:rPr>
          <w:spacing w:val="-8"/>
        </w:rPr>
        <w:t> </w:t>
      </w:r>
      <w:r>
        <w:rPr/>
        <w:t>Michigan.</w:t>
      </w:r>
    </w:p>
    <w:p>
      <w:pPr>
        <w:pStyle w:val="BodyText"/>
        <w:spacing w:before="20"/>
        <w:ind w:left="119" w:right="116"/>
        <w:jc w:val="both"/>
      </w:pPr>
      <w:r>
        <w:rPr>
          <w:position w:val="11"/>
          <w:sz w:val="16"/>
        </w:rPr>
        <w:t>9 </w:t>
      </w:r>
      <w:r>
        <w:rPr/>
        <w:t>The Government argues that it should not be faulted for selecting an expert who has no familiarity with the particular gang that is the subject of the prosecution because it was trying to avoid running afoul of </w:t>
      </w:r>
      <w:r>
        <w:rPr>
          <w:u w:val="single"/>
        </w:rPr>
        <w:t>United States v. Meija</w:t>
      </w:r>
      <w:r>
        <w:rPr/>
        <w:t>, 545 F.3d 179 (2nd Cir. 2008). </w:t>
      </w:r>
      <w:r>
        <w:rPr>
          <w:u w:val="single"/>
        </w:rPr>
        <w:t>See</w:t>
      </w:r>
      <w:r>
        <w:rPr/>
        <w:t> Gov’t Br. at 4-5 (Dkt. 517). In </w:t>
      </w:r>
      <w:r>
        <w:rPr>
          <w:u w:val="single"/>
        </w:rPr>
        <w:t>Meija</w:t>
      </w:r>
      <w:r>
        <w:rPr/>
        <w:t>, the court addressed the possible prejudice that can arise when an officer who participated in the investigation of a gang is used by the Government to testify as an expert witness. Because of the officer’s role in the investigation, the officer’s opinion testimony effectively instructs “the jury on the existence of the facts needed to satisfy the elements of the charged offense.” </w:t>
      </w:r>
      <w:r>
        <w:rPr>
          <w:u w:val="single"/>
        </w:rPr>
        <w:t>Id.</w:t>
      </w:r>
      <w:r>
        <w:rPr/>
        <w:t> at 191. </w:t>
      </w:r>
      <w:r>
        <w:rPr>
          <w:u w:val="single"/>
        </w:rPr>
        <w:t>Meija</w:t>
      </w:r>
      <w:r>
        <w:rPr/>
        <w:t> teaches that a member of the investigative team should not also be presenting expert opinions. But it does not bar an investigator from providing factual testimony; nor does it bar the Government from presenting an expert with knowledge of a particular gang who is not part of the investigative team. The problem with Bornstein is that, while he was not a member of the investigative team, he does not have the requisite familiarity with the Howard Boys or a sufficiently comprehensive nation-wide experience from which the Court could conclude that his opinions could be reliably applied to the Howard Boys.</w:t>
      </w:r>
    </w:p>
    <w:p>
      <w:pPr>
        <w:spacing w:after="0"/>
        <w:jc w:val="both"/>
        <w:sectPr>
          <w:headerReference w:type="default" r:id="rId28"/>
          <w:pgSz w:w="12240" w:h="15840"/>
          <w:pgMar w:header="283" w:footer="1019" w:top="1340" w:bottom="1200" w:left="1320" w:right="1320"/>
        </w:sectPr>
      </w:pPr>
    </w:p>
    <w:p>
      <w:pPr>
        <w:pStyle w:val="BodyText"/>
        <w:spacing w:line="480" w:lineRule="auto" w:before="89"/>
        <w:ind w:right="117" w:firstLine="720"/>
        <w:jc w:val="both"/>
      </w:pPr>
      <w:r>
        <w:rPr/>
        <w:t>Nothing in Bornstein’s history as an expert witness would establish that he has comprehensive nation-wide expertise that could be reliably applied to the Howard Boys. Bornstein’s CV and testimony at the evidentiary hearing reveal that he believed he had been qualified as a “narcotics/gang” expert four times. Bornstein CV at 2; 3/26/14 Tr. at 132. However, Bornstein clarified that only one case involved gangs and, in that single instance, the subject of his testimony addressed the use of weapons by gangs in drug trafficking. </w:t>
      </w:r>
      <w:r>
        <w:rPr>
          <w:u w:val="single"/>
        </w:rPr>
        <w:t>Id.</w:t>
      </w:r>
      <w:r>
        <w:rPr/>
        <w:t> at 132-</w:t>
      </w:r>
    </w:p>
    <w:p>
      <w:pPr>
        <w:pStyle w:val="BodyText"/>
        <w:tabs>
          <w:tab w:pos="751" w:val="left" w:leader="none"/>
        </w:tabs>
        <w:spacing w:line="480" w:lineRule="auto"/>
        <w:ind w:right="115"/>
      </w:pPr>
      <w:r>
        <w:rPr/>
        <w:t>137.</w:t>
        <w:tab/>
        <w:t>Such limited testimony is a far cry from the opinions the Government wants to elicit regarding a generalized variety of gang practices and</w:t>
      </w:r>
      <w:r>
        <w:rPr>
          <w:spacing w:val="-7"/>
        </w:rPr>
        <w:t> </w:t>
      </w:r>
      <w:r>
        <w:rPr/>
        <w:t>activities.</w:t>
      </w:r>
    </w:p>
    <w:p>
      <w:pPr>
        <w:pStyle w:val="BodyText"/>
        <w:spacing w:line="480" w:lineRule="auto"/>
        <w:ind w:right="115" w:firstLine="720"/>
        <w:jc w:val="both"/>
      </w:pPr>
      <w:r>
        <w:rPr/>
        <w:t>The Government contends that Bornstein’s proposed testimony would be reliable because “the law enforcement gang expert” is analogous “to the law enforcement drug trafficking expert.”</w:t>
      </w:r>
      <w:r>
        <w:rPr>
          <w:spacing w:val="13"/>
        </w:rPr>
        <w:t> </w:t>
      </w:r>
      <w:r>
        <w:rPr/>
        <w:t>Gov’t</w:t>
      </w:r>
      <w:r>
        <w:rPr>
          <w:spacing w:val="7"/>
        </w:rPr>
        <w:t> </w:t>
      </w:r>
      <w:r>
        <w:rPr/>
        <w:t>Br.</w:t>
      </w:r>
      <w:r>
        <w:rPr>
          <w:spacing w:val="7"/>
        </w:rPr>
        <w:t> </w:t>
      </w:r>
      <w:r>
        <w:rPr/>
        <w:t>at</w:t>
      </w:r>
      <w:r>
        <w:rPr>
          <w:spacing w:val="7"/>
        </w:rPr>
        <w:t> </w:t>
      </w:r>
      <w:r>
        <w:rPr/>
        <w:t>7</w:t>
      </w:r>
      <w:r>
        <w:rPr>
          <w:spacing w:val="7"/>
        </w:rPr>
        <w:t> </w:t>
      </w:r>
      <w:r>
        <w:rPr/>
        <w:t>(citing</w:t>
      </w:r>
      <w:r>
        <w:rPr>
          <w:spacing w:val="6"/>
        </w:rPr>
        <w:t> </w:t>
      </w:r>
      <w:r>
        <w:rPr>
          <w:u w:val="single"/>
        </w:rPr>
        <w:t>United</w:t>
      </w:r>
      <w:r>
        <w:rPr>
          <w:spacing w:val="7"/>
          <w:u w:val="single"/>
        </w:rPr>
        <w:t> </w:t>
      </w:r>
      <w:r>
        <w:rPr>
          <w:u w:val="single"/>
        </w:rPr>
        <w:t>States</w:t>
      </w:r>
      <w:r>
        <w:rPr>
          <w:spacing w:val="7"/>
          <w:u w:val="single"/>
        </w:rPr>
        <w:t> </w:t>
      </w:r>
      <w:r>
        <w:rPr>
          <w:u w:val="single"/>
        </w:rPr>
        <w:t>v.</w:t>
      </w:r>
      <w:r>
        <w:rPr>
          <w:spacing w:val="5"/>
          <w:u w:val="single"/>
        </w:rPr>
        <w:t> </w:t>
      </w:r>
      <w:r>
        <w:rPr>
          <w:u w:val="single"/>
        </w:rPr>
        <w:t>Ham</w:t>
      </w:r>
      <w:r>
        <w:rPr/>
        <w:t>,</w:t>
      </w:r>
      <w:r>
        <w:rPr>
          <w:spacing w:val="6"/>
        </w:rPr>
        <w:t> </w:t>
      </w:r>
      <w:r>
        <w:rPr/>
        <w:t>628</w:t>
      </w:r>
      <w:r>
        <w:rPr>
          <w:spacing w:val="6"/>
        </w:rPr>
        <w:t> </w:t>
      </w:r>
      <w:r>
        <w:rPr/>
        <w:t>F.3d</w:t>
      </w:r>
      <w:r>
        <w:rPr>
          <w:spacing w:val="5"/>
        </w:rPr>
        <w:t> </w:t>
      </w:r>
      <w:r>
        <w:rPr/>
        <w:t>801</w:t>
      </w:r>
      <w:r>
        <w:rPr>
          <w:spacing w:val="6"/>
        </w:rPr>
        <w:t> </w:t>
      </w:r>
      <w:r>
        <w:rPr/>
        <w:t>(6th</w:t>
      </w:r>
      <w:r>
        <w:rPr>
          <w:spacing w:val="6"/>
        </w:rPr>
        <w:t> </w:t>
      </w:r>
      <w:r>
        <w:rPr/>
        <w:t>Cir.</w:t>
      </w:r>
      <w:r>
        <w:rPr>
          <w:spacing w:val="6"/>
        </w:rPr>
        <w:t> </w:t>
      </w:r>
      <w:r>
        <w:rPr/>
        <w:t>2011)).</w:t>
      </w:r>
      <w:r>
        <w:rPr>
          <w:spacing w:val="13"/>
        </w:rPr>
        <w:t> </w:t>
      </w:r>
      <w:r>
        <w:rPr/>
        <w:t>Because</w:t>
      </w:r>
      <w:r>
        <w:rPr>
          <w:spacing w:val="5"/>
        </w:rPr>
        <w:t> </w:t>
      </w:r>
      <w:r>
        <w:rPr/>
        <w:t>of</w:t>
      </w:r>
    </w:p>
    <w:p>
      <w:pPr>
        <w:pStyle w:val="BodyText"/>
        <w:spacing w:line="480" w:lineRule="auto"/>
        <w:ind w:left="119" w:right="116"/>
        <w:jc w:val="both"/>
      </w:pPr>
      <w:r>
        <w:rPr/>
        <w:t>this similarity, the Government reasons that Bornstein’s opinions are sufficiently reliable, deriving from his career at the FBI combating gangs and involving a methodology consisting of “the application of his extensive experience to analyze the common traits, attributes, and practices of street gangs.” </w:t>
      </w:r>
      <w:r>
        <w:rPr>
          <w:u w:val="single"/>
        </w:rPr>
        <w:t>Id.</w:t>
      </w:r>
      <w:r>
        <w:rPr/>
        <w:t> at</w:t>
      </w:r>
      <w:r>
        <w:rPr>
          <w:spacing w:val="-7"/>
        </w:rPr>
        <w:t> </w:t>
      </w:r>
      <w:r>
        <w:rPr/>
        <w:t>8.</w:t>
      </w:r>
    </w:p>
    <w:p>
      <w:pPr>
        <w:pStyle w:val="BodyText"/>
        <w:spacing w:line="480" w:lineRule="auto"/>
        <w:ind w:right="116" w:firstLine="720"/>
        <w:jc w:val="both"/>
      </w:pPr>
      <w:r>
        <w:rPr/>
        <w:t>The Court is not persuaded, however, that a drug-trafficking expert is sufficiently analogous to an expert offering testimony regarding the general practices of gangs. While the Sixth  Circuit  permits  generalized  drug  sale  and  distribution  testimony,  </w:t>
      </w:r>
      <w:r>
        <w:rPr>
          <w:u w:val="single"/>
        </w:rPr>
        <w:t>see</w:t>
      </w:r>
      <w:r>
        <w:rPr/>
        <w:t>  </w:t>
      </w:r>
      <w:r>
        <w:rPr>
          <w:u w:val="single"/>
        </w:rPr>
        <w:t>United  States</w:t>
      </w:r>
      <w:r>
        <w:rPr>
          <w:spacing w:val="-18"/>
          <w:u w:val="single"/>
        </w:rPr>
        <w:t> </w:t>
      </w:r>
      <w:r>
        <w:rPr>
          <w:u w:val="single"/>
        </w:rPr>
        <w:t>v.</w:t>
      </w:r>
    </w:p>
    <w:p>
      <w:pPr>
        <w:pStyle w:val="BodyText"/>
      </w:pPr>
      <w:r>
        <w:rPr>
          <w:u w:val="single"/>
        </w:rPr>
        <w:t>Combs</w:t>
      </w:r>
      <w:r>
        <w:rPr/>
        <w:t>,</w:t>
      </w:r>
      <w:r>
        <w:rPr>
          <w:spacing w:val="10"/>
        </w:rPr>
        <w:t> </w:t>
      </w:r>
      <w:r>
        <w:rPr/>
        <w:t>369</w:t>
      </w:r>
      <w:r>
        <w:rPr>
          <w:spacing w:val="10"/>
        </w:rPr>
        <w:t> </w:t>
      </w:r>
      <w:r>
        <w:rPr/>
        <w:t>F.3d</w:t>
      </w:r>
      <w:r>
        <w:rPr>
          <w:spacing w:val="11"/>
        </w:rPr>
        <w:t> </w:t>
      </w:r>
      <w:r>
        <w:rPr/>
        <w:t>925</w:t>
      </w:r>
      <w:r>
        <w:rPr>
          <w:spacing w:val="10"/>
        </w:rPr>
        <w:t> </w:t>
      </w:r>
      <w:r>
        <w:rPr/>
        <w:t>(6th</w:t>
      </w:r>
      <w:r>
        <w:rPr>
          <w:spacing w:val="10"/>
        </w:rPr>
        <w:t> </w:t>
      </w:r>
      <w:r>
        <w:rPr/>
        <w:t>2005),</w:t>
      </w:r>
      <w:r>
        <w:rPr>
          <w:spacing w:val="11"/>
        </w:rPr>
        <w:t> </w:t>
      </w:r>
      <w:r>
        <w:rPr/>
        <w:t>the</w:t>
      </w:r>
      <w:r>
        <w:rPr>
          <w:spacing w:val="10"/>
        </w:rPr>
        <w:t> </w:t>
      </w:r>
      <w:r>
        <w:rPr/>
        <w:t>cases</w:t>
      </w:r>
      <w:r>
        <w:rPr>
          <w:spacing w:val="10"/>
        </w:rPr>
        <w:t> </w:t>
      </w:r>
      <w:r>
        <w:rPr/>
        <w:t>allowing</w:t>
      </w:r>
      <w:r>
        <w:rPr>
          <w:spacing w:val="11"/>
        </w:rPr>
        <w:t> </w:t>
      </w:r>
      <w:r>
        <w:rPr/>
        <w:t>gang</w:t>
      </w:r>
      <w:r>
        <w:rPr>
          <w:spacing w:val="10"/>
        </w:rPr>
        <w:t> </w:t>
      </w:r>
      <w:r>
        <w:rPr/>
        <w:t>experts</w:t>
      </w:r>
      <w:r>
        <w:rPr>
          <w:spacing w:val="10"/>
        </w:rPr>
        <w:t> </w:t>
      </w:r>
      <w:r>
        <w:rPr/>
        <w:t>regularly</w:t>
      </w:r>
      <w:r>
        <w:rPr>
          <w:spacing w:val="11"/>
        </w:rPr>
        <w:t> </w:t>
      </w:r>
      <w:r>
        <w:rPr/>
        <w:t>discuss</w:t>
      </w:r>
      <w:r>
        <w:rPr>
          <w:spacing w:val="9"/>
        </w:rPr>
        <w:t> </w:t>
      </w:r>
      <w:r>
        <w:rPr/>
        <w:t>the</w:t>
      </w:r>
      <w:r>
        <w:rPr>
          <w:spacing w:val="10"/>
        </w:rPr>
        <w:t> </w:t>
      </w:r>
      <w:r>
        <w:rPr/>
        <w:t>expert’s</w:t>
      </w:r>
    </w:p>
    <w:p>
      <w:pPr>
        <w:pStyle w:val="BodyText"/>
        <w:spacing w:before="2"/>
        <w:ind w:left="0"/>
        <w:rPr>
          <w:sz w:val="16"/>
        </w:rPr>
      </w:pPr>
    </w:p>
    <w:p>
      <w:pPr>
        <w:pStyle w:val="BodyText"/>
        <w:spacing w:before="90"/>
      </w:pPr>
      <w:r>
        <w:rPr/>
        <w:t>familiarity</w:t>
      </w:r>
      <w:r>
        <w:rPr>
          <w:spacing w:val="8"/>
        </w:rPr>
        <w:t> </w:t>
      </w:r>
      <w:r>
        <w:rPr/>
        <w:t>with</w:t>
      </w:r>
      <w:r>
        <w:rPr>
          <w:spacing w:val="8"/>
        </w:rPr>
        <w:t> </w:t>
      </w:r>
      <w:r>
        <w:rPr/>
        <w:t>the</w:t>
      </w:r>
      <w:r>
        <w:rPr>
          <w:spacing w:val="9"/>
        </w:rPr>
        <w:t> </w:t>
      </w:r>
      <w:r>
        <w:rPr/>
        <w:t>subject</w:t>
      </w:r>
      <w:r>
        <w:rPr>
          <w:spacing w:val="8"/>
        </w:rPr>
        <w:t> </w:t>
      </w:r>
      <w:r>
        <w:rPr/>
        <w:t>gang,</w:t>
      </w:r>
      <w:r>
        <w:rPr>
          <w:spacing w:val="9"/>
        </w:rPr>
        <w:t> </w:t>
      </w:r>
      <w:r>
        <w:rPr>
          <w:u w:val="single"/>
        </w:rPr>
        <w:t>see,</w:t>
      </w:r>
      <w:r>
        <w:rPr>
          <w:spacing w:val="8"/>
        </w:rPr>
        <w:t> </w:t>
      </w:r>
      <w:r>
        <w:rPr>
          <w:u w:val="single"/>
        </w:rPr>
        <w:t>e.g.</w:t>
      </w:r>
      <w:r>
        <w:rPr/>
        <w:t>,</w:t>
      </w:r>
      <w:r>
        <w:rPr>
          <w:spacing w:val="9"/>
        </w:rPr>
        <w:t> </w:t>
      </w:r>
      <w:r>
        <w:rPr>
          <w:u w:val="single"/>
        </w:rPr>
        <w:t>Kamahele</w:t>
      </w:r>
      <w:r>
        <w:rPr/>
        <w:t>,</w:t>
      </w:r>
      <w:r>
        <w:rPr>
          <w:spacing w:val="8"/>
        </w:rPr>
        <w:t> </w:t>
      </w:r>
      <w:r>
        <w:rPr/>
        <w:t>2014</w:t>
      </w:r>
      <w:r>
        <w:rPr>
          <w:spacing w:val="8"/>
        </w:rPr>
        <w:t> </w:t>
      </w:r>
      <w:r>
        <w:rPr/>
        <w:t>WL</w:t>
      </w:r>
      <w:r>
        <w:rPr>
          <w:spacing w:val="8"/>
        </w:rPr>
        <w:t> </w:t>
      </w:r>
      <w:r>
        <w:rPr/>
        <w:t>1378269,</w:t>
      </w:r>
      <w:r>
        <w:rPr>
          <w:spacing w:val="9"/>
        </w:rPr>
        <w:t> </w:t>
      </w:r>
      <w:r>
        <w:rPr/>
        <w:t>at</w:t>
      </w:r>
      <w:r>
        <w:rPr>
          <w:spacing w:val="8"/>
        </w:rPr>
        <w:t> </w:t>
      </w:r>
      <w:r>
        <w:rPr/>
        <w:t>*5</w:t>
      </w:r>
      <w:r>
        <w:rPr>
          <w:spacing w:val="8"/>
        </w:rPr>
        <w:t> </w:t>
      </w:r>
      <w:r>
        <w:rPr/>
        <w:t>(Tongan</w:t>
      </w:r>
      <w:r>
        <w:rPr>
          <w:spacing w:val="8"/>
        </w:rPr>
        <w:t> </w:t>
      </w:r>
      <w:r>
        <w:rPr/>
        <w:t>Crips);</w:t>
      </w:r>
    </w:p>
    <w:p>
      <w:pPr>
        <w:pStyle w:val="BodyText"/>
        <w:spacing w:before="2"/>
        <w:ind w:left="0"/>
        <w:rPr>
          <w:sz w:val="16"/>
        </w:rPr>
      </w:pPr>
    </w:p>
    <w:p>
      <w:pPr>
        <w:pStyle w:val="BodyText"/>
        <w:spacing w:before="90"/>
      </w:pPr>
      <w:r>
        <w:rPr>
          <w:u w:val="single"/>
        </w:rPr>
        <w:t>Tocco</w:t>
      </w:r>
      <w:r>
        <w:rPr/>
        <w:t>, 200 F.3d at 419 (La Cosa Nostra); </w:t>
      </w:r>
      <w:r>
        <w:rPr>
          <w:u w:val="single"/>
        </w:rPr>
        <w:t>Montoya</w:t>
      </w:r>
      <w:r>
        <w:rPr/>
        <w:t>, 2013 WL 633586 (MS-13).</w:t>
      </w:r>
    </w:p>
    <w:p>
      <w:pPr>
        <w:pStyle w:val="BodyText"/>
        <w:spacing w:before="2"/>
        <w:ind w:left="0"/>
        <w:rPr>
          <w:sz w:val="16"/>
        </w:rPr>
      </w:pPr>
    </w:p>
    <w:p>
      <w:pPr>
        <w:pStyle w:val="BodyText"/>
        <w:tabs>
          <w:tab w:pos="7281" w:val="left" w:leader="none"/>
        </w:tabs>
        <w:spacing w:line="480" w:lineRule="auto" w:before="90"/>
        <w:ind w:right="117" w:firstLine="720"/>
      </w:pPr>
      <w:r>
        <w:rPr/>
        <w:t>The difference in treatment may well derive from the fact that drug traffickers are individuals   who   engage   in   more   or   less </w:t>
      </w:r>
      <w:r>
        <w:rPr>
          <w:spacing w:val="3"/>
        </w:rPr>
        <w:t> </w:t>
      </w:r>
      <w:r>
        <w:rPr/>
        <w:t>routinized </w:t>
      </w:r>
      <w:r>
        <w:rPr>
          <w:spacing w:val="52"/>
        </w:rPr>
        <w:t> </w:t>
      </w:r>
      <w:r>
        <w:rPr/>
        <w:t>operations.</w:t>
        <w:tab/>
        <w:t>Gangs, however,</w:t>
      </w:r>
      <w:r>
        <w:rPr>
          <w:spacing w:val="45"/>
        </w:rPr>
        <w:t> </w:t>
      </w:r>
      <w:r>
        <w:rPr>
          <w:spacing w:val="-5"/>
        </w:rPr>
        <w:t>are</w:t>
      </w:r>
    </w:p>
    <w:p>
      <w:pPr>
        <w:spacing w:after="0" w:line="480" w:lineRule="auto"/>
        <w:sectPr>
          <w:headerReference w:type="default" r:id="rId29"/>
          <w:pgSz w:w="12240" w:h="15840"/>
          <w:pgMar w:header="283" w:footer="1019" w:top="1340" w:bottom="1200" w:left="1320" w:right="1320"/>
        </w:sectPr>
      </w:pPr>
    </w:p>
    <w:p>
      <w:pPr>
        <w:pStyle w:val="BodyText"/>
        <w:tabs>
          <w:tab w:pos="3077" w:val="left" w:leader="none"/>
        </w:tabs>
        <w:spacing w:line="480" w:lineRule="auto" w:before="89"/>
        <w:ind w:right="116"/>
      </w:pPr>
      <w:r>
        <w:rPr/>
        <w:t>organizations, which may display idiosyncratic behaviors based on culture, historic origins, and geographic </w:t>
      </w:r>
      <w:r>
        <w:rPr>
          <w:spacing w:val="26"/>
        </w:rPr>
        <w:t> </w:t>
      </w:r>
      <w:r>
        <w:rPr/>
        <w:t>considerations.</w:t>
        <w:tab/>
      </w:r>
      <w:r>
        <w:rPr>
          <w:u w:val="single"/>
        </w:rPr>
        <w:t>See</w:t>
      </w:r>
      <w:r>
        <w:rPr/>
        <w:t> </w:t>
      </w:r>
      <w:r>
        <w:rPr>
          <w:spacing w:val="27"/>
        </w:rPr>
        <w:t> </w:t>
      </w:r>
      <w:r>
        <w:rPr/>
        <w:t>Jordan </w:t>
      </w:r>
      <w:r>
        <w:rPr>
          <w:spacing w:val="26"/>
        </w:rPr>
        <w:t> </w:t>
      </w:r>
      <w:r>
        <w:rPr/>
        <w:t>Blair </w:t>
      </w:r>
      <w:r>
        <w:rPr>
          <w:spacing w:val="28"/>
        </w:rPr>
        <w:t> </w:t>
      </w:r>
      <w:r>
        <w:rPr/>
        <w:t>Woods, </w:t>
      </w:r>
      <w:r>
        <w:rPr>
          <w:spacing w:val="27"/>
        </w:rPr>
        <w:t> </w:t>
      </w:r>
      <w:r>
        <w:rPr>
          <w:u w:val="single"/>
        </w:rPr>
        <w:t>Systemic </w:t>
      </w:r>
      <w:r>
        <w:rPr>
          <w:spacing w:val="28"/>
          <w:u w:val="single"/>
        </w:rPr>
        <w:t> </w:t>
      </w:r>
      <w:r>
        <w:rPr>
          <w:u w:val="single"/>
        </w:rPr>
        <w:t>Racial </w:t>
      </w:r>
      <w:r>
        <w:rPr>
          <w:spacing w:val="27"/>
          <w:u w:val="single"/>
        </w:rPr>
        <w:t> </w:t>
      </w:r>
      <w:r>
        <w:rPr>
          <w:u w:val="single"/>
        </w:rPr>
        <w:t>Bias </w:t>
      </w:r>
      <w:r>
        <w:rPr>
          <w:spacing w:val="28"/>
          <w:u w:val="single"/>
        </w:rPr>
        <w:t> </w:t>
      </w:r>
      <w:r>
        <w:rPr>
          <w:u w:val="single"/>
        </w:rPr>
        <w:t>and </w:t>
      </w:r>
      <w:r>
        <w:rPr>
          <w:spacing w:val="27"/>
          <w:u w:val="single"/>
        </w:rPr>
        <w:t> </w:t>
      </w:r>
      <w:r>
        <w:rPr>
          <w:u w:val="single"/>
        </w:rPr>
        <w:t>RICO’s</w:t>
      </w:r>
    </w:p>
    <w:p>
      <w:pPr>
        <w:pStyle w:val="BodyText"/>
      </w:pPr>
      <w:r>
        <w:rPr>
          <w:u w:val="single"/>
        </w:rPr>
        <w:t>Application</w:t>
      </w:r>
      <w:r>
        <w:rPr>
          <w:spacing w:val="7"/>
          <w:u w:val="single"/>
        </w:rPr>
        <w:t> </w:t>
      </w:r>
      <w:r>
        <w:rPr>
          <w:u w:val="single"/>
        </w:rPr>
        <w:t>to</w:t>
      </w:r>
      <w:r>
        <w:rPr>
          <w:spacing w:val="8"/>
          <w:u w:val="single"/>
        </w:rPr>
        <w:t> </w:t>
      </w:r>
      <w:r>
        <w:rPr>
          <w:u w:val="single"/>
        </w:rPr>
        <w:t>Criminal</w:t>
      </w:r>
      <w:r>
        <w:rPr>
          <w:spacing w:val="8"/>
          <w:u w:val="single"/>
        </w:rPr>
        <w:t> </w:t>
      </w:r>
      <w:r>
        <w:rPr>
          <w:u w:val="single"/>
        </w:rPr>
        <w:t>Street</w:t>
      </w:r>
      <w:r>
        <w:rPr>
          <w:spacing w:val="8"/>
          <w:u w:val="single"/>
        </w:rPr>
        <w:t> </w:t>
      </w:r>
      <w:r>
        <w:rPr>
          <w:u w:val="single"/>
        </w:rPr>
        <w:t>and</w:t>
      </w:r>
      <w:r>
        <w:rPr>
          <w:spacing w:val="8"/>
          <w:u w:val="single"/>
        </w:rPr>
        <w:t> </w:t>
      </w:r>
      <w:r>
        <w:rPr>
          <w:u w:val="single"/>
        </w:rPr>
        <w:t>Prison</w:t>
      </w:r>
      <w:r>
        <w:rPr>
          <w:spacing w:val="8"/>
          <w:u w:val="single"/>
        </w:rPr>
        <w:t> </w:t>
      </w:r>
      <w:r>
        <w:rPr>
          <w:u w:val="single"/>
        </w:rPr>
        <w:t>Gangs</w:t>
      </w:r>
      <w:r>
        <w:rPr/>
        <w:t>,</w:t>
      </w:r>
      <w:r>
        <w:rPr>
          <w:spacing w:val="6"/>
        </w:rPr>
        <w:t> </w:t>
      </w:r>
      <w:r>
        <w:rPr/>
        <w:t>17</w:t>
      </w:r>
      <w:r>
        <w:rPr>
          <w:spacing w:val="8"/>
        </w:rPr>
        <w:t> </w:t>
      </w:r>
      <w:r>
        <w:rPr/>
        <w:t>Mich.</w:t>
      </w:r>
      <w:r>
        <w:rPr>
          <w:spacing w:val="8"/>
        </w:rPr>
        <w:t> </w:t>
      </w:r>
      <w:r>
        <w:rPr/>
        <w:t>J.</w:t>
      </w:r>
      <w:r>
        <w:rPr>
          <w:spacing w:val="8"/>
        </w:rPr>
        <w:t> </w:t>
      </w:r>
      <w:r>
        <w:rPr/>
        <w:t>of</w:t>
      </w:r>
      <w:r>
        <w:rPr>
          <w:spacing w:val="8"/>
        </w:rPr>
        <w:t> </w:t>
      </w:r>
      <w:r>
        <w:rPr/>
        <w:t>Race</w:t>
      </w:r>
      <w:r>
        <w:rPr>
          <w:spacing w:val="8"/>
        </w:rPr>
        <w:t> </w:t>
      </w:r>
      <w:r>
        <w:rPr/>
        <w:t>&amp;</w:t>
      </w:r>
      <w:r>
        <w:rPr>
          <w:spacing w:val="8"/>
        </w:rPr>
        <w:t> </w:t>
      </w:r>
      <w:r>
        <w:rPr/>
        <w:t>L.</w:t>
      </w:r>
      <w:r>
        <w:rPr>
          <w:spacing w:val="7"/>
        </w:rPr>
        <w:t> </w:t>
      </w:r>
      <w:r>
        <w:rPr/>
        <w:t>303,</w:t>
      </w:r>
      <w:r>
        <w:rPr>
          <w:spacing w:val="8"/>
        </w:rPr>
        <w:t> </w:t>
      </w:r>
      <w:r>
        <w:rPr/>
        <w:t>336-339</w:t>
      </w:r>
      <w:r>
        <w:rPr>
          <w:spacing w:val="8"/>
        </w:rPr>
        <w:t> </w:t>
      </w:r>
      <w:r>
        <w:rPr/>
        <w:t>(2012)</w:t>
      </w:r>
    </w:p>
    <w:p>
      <w:pPr>
        <w:pStyle w:val="BodyText"/>
        <w:spacing w:before="2"/>
        <w:ind w:left="0"/>
        <w:rPr>
          <w:sz w:val="16"/>
        </w:rPr>
      </w:pPr>
    </w:p>
    <w:p>
      <w:pPr>
        <w:pStyle w:val="BodyText"/>
        <w:spacing w:before="90"/>
      </w:pPr>
      <w:r>
        <w:rPr/>
        <w:t>(noting “wide regional variability in gang activity”); </w:t>
      </w:r>
      <w:r>
        <w:rPr>
          <w:u w:val="single"/>
        </w:rPr>
        <w:t>see</w:t>
      </w:r>
      <w:r>
        <w:rPr/>
        <w:t> </w:t>
      </w:r>
      <w:r>
        <w:rPr>
          <w:u w:val="single"/>
        </w:rPr>
        <w:t>also</w:t>
      </w:r>
      <w:r>
        <w:rPr/>
        <w:t> </w:t>
      </w:r>
      <w:r>
        <w:rPr>
          <w:u w:val="single"/>
        </w:rPr>
        <w:t>Benitez Ramos v. Holder</w:t>
      </w:r>
      <w:r>
        <w:rPr/>
        <w:t>, 589 F.3d</w:t>
      </w:r>
    </w:p>
    <w:p>
      <w:pPr>
        <w:pStyle w:val="BodyText"/>
        <w:spacing w:before="2"/>
        <w:ind w:left="0"/>
        <w:rPr>
          <w:sz w:val="16"/>
        </w:rPr>
      </w:pPr>
    </w:p>
    <w:p>
      <w:pPr>
        <w:pStyle w:val="BodyText"/>
        <w:spacing w:line="480" w:lineRule="auto" w:before="90"/>
        <w:ind w:left="119" w:right="116"/>
        <w:jc w:val="both"/>
      </w:pPr>
      <w:r>
        <w:rPr/>
        <w:t>426, 430 (7th Cir. 2009) (recognizing, in case arising from review of a decision of the Board of Immigration Appeals, that there is “ambiguity about what constitutes a ‘gang’”; that there is a “variety of activities, not all criminal, that some ‘gangs’ engage in”; and that some gang activity is “innocuous”). There may well be similarities in conduct among gangs in the United States on par with the similarities in conduct among drug traffickers, but no court has so found. And the Government has not developed a record here that would allow this Court to draw any such conclusion. In the absence of such a record, the traditional judicial receptivity to expert testimony regarding drug traffickers cannot be accorded to expert testimony regarding</w:t>
      </w:r>
      <w:r>
        <w:rPr>
          <w:spacing w:val="-11"/>
        </w:rPr>
        <w:t> </w:t>
      </w:r>
      <w:r>
        <w:rPr/>
        <w:t>gangs.</w:t>
      </w:r>
    </w:p>
    <w:p>
      <w:pPr>
        <w:pStyle w:val="BodyText"/>
        <w:spacing w:line="480" w:lineRule="auto"/>
        <w:ind w:right="117" w:firstLine="720"/>
        <w:jc w:val="both"/>
      </w:pPr>
      <w:r>
        <w:rPr/>
        <w:t>There is another issue of reliability regarding Bornstein’s proposed testimony, which, although not mentioned by Defendants, the Court highlights in its role as gatekeeper under Rule 702. </w:t>
      </w:r>
      <w:r>
        <w:rPr>
          <w:u w:val="single"/>
        </w:rPr>
        <w:t>United States v. Stafford</w:t>
      </w:r>
      <w:r>
        <w:rPr/>
        <w:t>, 721 F.3d 380, 393-394 (6th Cir. 2013). This concern relates to</w:t>
      </w:r>
    </w:p>
    <w:p>
      <w:pPr>
        <w:pStyle w:val="BodyText"/>
        <w:spacing w:line="480" w:lineRule="auto"/>
        <w:ind w:right="115"/>
        <w:jc w:val="both"/>
      </w:pPr>
      <w:r>
        <w:rPr/>
        <w:t>Bornstein’s opinion of what constitutes a gang. Bornstein agreed that his opinion of what constitutes a gang tracks, almost verbatim, DOJ’s definition of what constitutes a gang. 3/26/14 Tr. at 69-70. But Bornstein also acknowledged that the definition of a gang is not universal, and that different definitions exist — although these other definitions are not in the record. </w:t>
      </w:r>
      <w:r>
        <w:rPr>
          <w:u w:val="single"/>
        </w:rPr>
        <w:t>Id.</w:t>
      </w:r>
      <w:r>
        <w:rPr/>
        <w:t> at 70.</w:t>
      </w:r>
    </w:p>
    <w:p>
      <w:pPr>
        <w:pStyle w:val="BodyText"/>
        <w:spacing w:line="480" w:lineRule="auto"/>
        <w:ind w:right="115" w:firstLine="720"/>
        <w:jc w:val="both"/>
      </w:pPr>
      <w:r>
        <w:rPr/>
        <w:t>The Court has no indication why Bornstein’s opinion of what is a gang is a reliable definition. As “the trial court’s gatekeeping function requires more than simply ‘taking the expert’s word for it,’” Fed. R. Evid. 702, 2000 Advisory Committee Notes, Bornstein’s acknowledgment of other definitions, and the lack of any evidence of the extent to which his</w:t>
      </w:r>
    </w:p>
    <w:p>
      <w:pPr>
        <w:spacing w:after="0" w:line="480" w:lineRule="auto"/>
        <w:jc w:val="both"/>
        <w:sectPr>
          <w:headerReference w:type="default" r:id="rId30"/>
          <w:pgSz w:w="12240" w:h="15840"/>
          <w:pgMar w:header="283" w:footer="1019" w:top="1340" w:bottom="1200" w:left="1320" w:right="1320"/>
        </w:sectPr>
      </w:pPr>
    </w:p>
    <w:p>
      <w:pPr>
        <w:pStyle w:val="BodyText"/>
        <w:spacing w:line="480" w:lineRule="auto" w:before="89"/>
        <w:ind w:left="119"/>
      </w:pPr>
      <w:r>
        <w:rPr/>
        <w:t>definition has been accepted or used by others, deprives the Court of the ability to assess the reliability of his opinion of what constitutes a gang. </w:t>
      </w:r>
      <w:r>
        <w:rPr>
          <w:u w:val="single"/>
        </w:rPr>
        <w:t>See</w:t>
      </w:r>
      <w:r>
        <w:rPr/>
        <w:t> </w:t>
      </w:r>
      <w:r>
        <w:rPr>
          <w:u w:val="single"/>
        </w:rPr>
        <w:t>Jack Henry &amp; Assocs. v. BSC, Inc.</w:t>
      </w:r>
      <w:r>
        <w:rPr/>
        <w:t>, 487</w:t>
      </w:r>
    </w:p>
    <w:p>
      <w:pPr>
        <w:pStyle w:val="BodyText"/>
        <w:spacing w:line="480" w:lineRule="auto"/>
        <w:ind w:right="116"/>
        <w:jc w:val="both"/>
      </w:pPr>
      <w:r>
        <w:rPr/>
        <w:t>F. App’x 246, 256 (6th Cir. 2012) (holding that definition of “defect” used by expert in breach- of-contract case was unreliable because it had not been subject to peer review, tested, or widely accepted in the scientific community).</w:t>
      </w:r>
    </w:p>
    <w:p>
      <w:pPr>
        <w:pStyle w:val="BodyText"/>
        <w:spacing w:line="480" w:lineRule="auto"/>
        <w:ind w:right="116" w:firstLine="720"/>
        <w:jc w:val="both"/>
      </w:pPr>
      <w:r>
        <w:rPr/>
        <w:t>The unreliability of Bornstein’s testimony is compounded by its irrelevance. The Government has offered no explanation why the finding of a gang in this case is relevant to a RICO enterprise determination. A RICO charge requires the Government to prove four  elements: (i) conduct, (ii) of an enterprise, (iii) through a pattern (iv) of racketeering activity.  </w:t>
      </w:r>
      <w:r>
        <w:rPr>
          <w:u w:val="single"/>
        </w:rPr>
        <w:t>See</w:t>
      </w:r>
      <w:r>
        <w:rPr>
          <w:spacing w:val="14"/>
        </w:rPr>
        <w:t> </w:t>
      </w:r>
      <w:r>
        <w:rPr>
          <w:u w:val="single"/>
        </w:rPr>
        <w:t>Ouwinga</w:t>
      </w:r>
      <w:r>
        <w:rPr>
          <w:spacing w:val="15"/>
          <w:u w:val="single"/>
        </w:rPr>
        <w:t> </w:t>
      </w:r>
      <w:r>
        <w:rPr>
          <w:u w:val="single"/>
        </w:rPr>
        <w:t>v.</w:t>
      </w:r>
      <w:r>
        <w:rPr>
          <w:spacing w:val="15"/>
          <w:u w:val="single"/>
        </w:rPr>
        <w:t> </w:t>
      </w:r>
      <w:r>
        <w:rPr>
          <w:u w:val="single"/>
        </w:rPr>
        <w:t>Benistar</w:t>
      </w:r>
      <w:r>
        <w:rPr>
          <w:spacing w:val="15"/>
          <w:u w:val="single"/>
        </w:rPr>
        <w:t> </w:t>
      </w:r>
      <w:r>
        <w:rPr>
          <w:u w:val="single"/>
        </w:rPr>
        <w:t>419</w:t>
      </w:r>
      <w:r>
        <w:rPr>
          <w:spacing w:val="15"/>
          <w:u w:val="single"/>
        </w:rPr>
        <w:t> </w:t>
      </w:r>
      <w:r>
        <w:rPr>
          <w:u w:val="single"/>
        </w:rPr>
        <w:t>Plan</w:t>
      </w:r>
      <w:r>
        <w:rPr>
          <w:spacing w:val="15"/>
          <w:u w:val="single"/>
        </w:rPr>
        <w:t> </w:t>
      </w:r>
      <w:r>
        <w:rPr>
          <w:u w:val="single"/>
        </w:rPr>
        <w:t>Servs.</w:t>
      </w:r>
      <w:r>
        <w:rPr>
          <w:spacing w:val="15"/>
          <w:u w:val="single"/>
        </w:rPr>
        <w:t> </w:t>
      </w:r>
      <w:r>
        <w:rPr>
          <w:u w:val="single"/>
        </w:rPr>
        <w:t>Inc.</w:t>
      </w:r>
      <w:r>
        <w:rPr/>
        <w:t>,</w:t>
      </w:r>
      <w:r>
        <w:rPr>
          <w:spacing w:val="16"/>
        </w:rPr>
        <w:t> </w:t>
      </w:r>
      <w:r>
        <w:rPr/>
        <w:t>694</w:t>
      </w:r>
      <w:r>
        <w:rPr>
          <w:spacing w:val="15"/>
        </w:rPr>
        <w:t> </w:t>
      </w:r>
      <w:r>
        <w:rPr/>
        <w:t>F.3d</w:t>
      </w:r>
      <w:r>
        <w:rPr>
          <w:spacing w:val="15"/>
        </w:rPr>
        <w:t> </w:t>
      </w:r>
      <w:r>
        <w:rPr/>
        <w:t>783,</w:t>
      </w:r>
      <w:r>
        <w:rPr>
          <w:spacing w:val="15"/>
        </w:rPr>
        <w:t> </w:t>
      </w:r>
      <w:r>
        <w:rPr/>
        <w:t>791</w:t>
      </w:r>
      <w:r>
        <w:rPr>
          <w:spacing w:val="15"/>
        </w:rPr>
        <w:t> </w:t>
      </w:r>
      <w:r>
        <w:rPr/>
        <w:t>(6th</w:t>
      </w:r>
      <w:r>
        <w:rPr>
          <w:spacing w:val="15"/>
        </w:rPr>
        <w:t> </w:t>
      </w:r>
      <w:r>
        <w:rPr/>
        <w:t>Cir.</w:t>
      </w:r>
      <w:r>
        <w:rPr>
          <w:spacing w:val="15"/>
        </w:rPr>
        <w:t> </w:t>
      </w:r>
      <w:r>
        <w:rPr/>
        <w:t>2012).</w:t>
      </w:r>
      <w:r>
        <w:rPr>
          <w:spacing w:val="31"/>
        </w:rPr>
        <w:t> </w:t>
      </w:r>
      <w:r>
        <w:rPr/>
        <w:t>To</w:t>
      </w:r>
      <w:r>
        <w:rPr>
          <w:spacing w:val="15"/>
        </w:rPr>
        <w:t> </w:t>
      </w:r>
      <w:r>
        <w:rPr/>
        <w:t>establish</w:t>
      </w:r>
    </w:p>
    <w:p>
      <w:pPr>
        <w:pStyle w:val="BodyText"/>
        <w:spacing w:line="480" w:lineRule="auto"/>
        <w:ind w:right="116"/>
        <w:jc w:val="both"/>
      </w:pPr>
      <w:r>
        <w:rPr/>
        <w:t>the enterprise element, the Government must prove “three structural features: a purpose, relationships among those associated with the enterprise, and longevity sufficient to permit these associates to pursue the enterprise’s purpose.”  </w:t>
      </w:r>
      <w:r>
        <w:rPr>
          <w:u w:val="single"/>
        </w:rPr>
        <w:t>United States v. Boyle</w:t>
      </w:r>
      <w:r>
        <w:rPr/>
        <w:t>, 556 U.S. 938, 946</w:t>
      </w:r>
      <w:r>
        <w:rPr>
          <w:spacing w:val="-30"/>
        </w:rPr>
        <w:t> </w:t>
      </w:r>
      <w:r>
        <w:rPr/>
        <w:t>(2009).</w:t>
      </w:r>
    </w:p>
    <w:p>
      <w:pPr>
        <w:pStyle w:val="BodyText"/>
        <w:spacing w:line="480" w:lineRule="auto"/>
        <w:ind w:right="116" w:firstLine="720"/>
        <w:jc w:val="both"/>
      </w:pPr>
      <w:r>
        <w:rPr/>
        <w:t>The Government, as the proponent of Bornstein, has not explained how the expert gang testimony would bear on the enterprise issue in this case. Bornstein himself will not link his views to the enterprise issue because the Government has expressly stated that Bornstein would not be giving an expert opinion regarding the criminal enterprise. 3/26/14 Tr. at 55-56. It appears, then, that the Government’s unarticulated theory of relevance may rest on the simple conflation of street gangs with RICO enterprises. However, the Government has not set forth  any clear argument why a jury’s conclusion that the Howard Boys are a gang should lead it, without more, to conclude that the Howard Boys are a RICO enterprise. The Government’s failure to properly develop its relevance argument does not require the Court to construct one</w:t>
      </w:r>
      <w:r>
        <w:rPr>
          <w:spacing w:val="2"/>
        </w:rPr>
        <w:t> </w:t>
      </w:r>
      <w:r>
        <w:rPr/>
        <w:t>for</w:t>
      </w:r>
    </w:p>
    <w:p>
      <w:pPr>
        <w:spacing w:after="0" w:line="480" w:lineRule="auto"/>
        <w:jc w:val="both"/>
        <w:sectPr>
          <w:headerReference w:type="default" r:id="rId31"/>
          <w:pgSz w:w="12240" w:h="15840"/>
          <w:pgMar w:header="283" w:footer="1019" w:top="1340" w:bottom="1200" w:left="1320" w:right="1320"/>
        </w:sectPr>
      </w:pPr>
    </w:p>
    <w:p>
      <w:pPr>
        <w:pStyle w:val="BodyText"/>
        <w:spacing w:before="89"/>
      </w:pPr>
      <w:r>
        <w:rPr/>
        <w:t>it. </w:t>
      </w:r>
      <w:r>
        <w:rPr>
          <w:u w:val="single"/>
        </w:rPr>
        <w:t>See</w:t>
      </w:r>
      <w:r>
        <w:rPr/>
        <w:t> </w:t>
      </w:r>
      <w:r>
        <w:rPr>
          <w:u w:val="single"/>
        </w:rPr>
        <w:t>Rivet v. Stat Farm Mut. Auto. Ins. Co.</w:t>
      </w:r>
      <w:r>
        <w:rPr/>
        <w:t>, 316 F. App’x 440, 449 (6th Cir. 2009) (refusing</w:t>
      </w:r>
    </w:p>
    <w:p>
      <w:pPr>
        <w:pStyle w:val="BodyText"/>
        <w:spacing w:before="2"/>
        <w:ind w:left="0"/>
        <w:rPr>
          <w:sz w:val="16"/>
        </w:rPr>
      </w:pPr>
    </w:p>
    <w:p>
      <w:pPr>
        <w:pStyle w:val="BodyText"/>
        <w:spacing w:before="90"/>
      </w:pPr>
      <w:r>
        <w:rPr/>
        <w:t>to address “arguments that . . . are unsupported or undeveloped”).</w:t>
      </w:r>
    </w:p>
    <w:p>
      <w:pPr>
        <w:pStyle w:val="BodyText"/>
        <w:ind w:left="0"/>
      </w:pPr>
    </w:p>
    <w:p>
      <w:pPr>
        <w:pStyle w:val="BodyText"/>
        <w:spacing w:line="480" w:lineRule="auto"/>
        <w:ind w:right="116" w:firstLine="720"/>
        <w:jc w:val="both"/>
      </w:pPr>
      <w:r>
        <w:rPr/>
        <w:t>Even assuming that Bornstein’s testimony was somehow relevant, the Court alternatively excludes his testimony under Federal Rule of Evidence 403 because of the risk his testimony would confuse or mislead the jury. </w:t>
      </w:r>
      <w:r>
        <w:rPr>
          <w:u w:val="single"/>
        </w:rPr>
        <w:t>United States v. Beverly</w:t>
      </w:r>
      <w:r>
        <w:rPr/>
        <w:t>, 369 F.3d 516, 528 (6th Cir. 2004)</w:t>
      </w:r>
    </w:p>
    <w:p>
      <w:pPr>
        <w:pStyle w:val="BodyText"/>
      </w:pPr>
      <w:r>
        <w:rPr/>
        <w:t>(citing</w:t>
      </w:r>
      <w:r>
        <w:rPr>
          <w:spacing w:val="50"/>
        </w:rPr>
        <w:t> </w:t>
      </w:r>
      <w:r>
        <w:rPr>
          <w:u w:val="single"/>
        </w:rPr>
        <w:t>Daubert</w:t>
      </w:r>
      <w:r>
        <w:rPr/>
        <w:t>,</w:t>
      </w:r>
      <w:r>
        <w:rPr>
          <w:spacing w:val="50"/>
        </w:rPr>
        <w:t> </w:t>
      </w:r>
      <w:r>
        <w:rPr/>
        <w:t>509</w:t>
      </w:r>
      <w:r>
        <w:rPr>
          <w:spacing w:val="50"/>
        </w:rPr>
        <w:t> </w:t>
      </w:r>
      <w:r>
        <w:rPr/>
        <w:t>U.S.</w:t>
      </w:r>
      <w:r>
        <w:rPr>
          <w:spacing w:val="51"/>
        </w:rPr>
        <w:t> </w:t>
      </w:r>
      <w:r>
        <w:rPr/>
        <w:t>at</w:t>
      </w:r>
      <w:r>
        <w:rPr>
          <w:spacing w:val="50"/>
        </w:rPr>
        <w:t> </w:t>
      </w:r>
      <w:r>
        <w:rPr/>
        <w:t>595</w:t>
      </w:r>
      <w:r>
        <w:rPr>
          <w:spacing w:val="50"/>
        </w:rPr>
        <w:t> </w:t>
      </w:r>
      <w:r>
        <w:rPr/>
        <w:t>(directing</w:t>
      </w:r>
      <w:r>
        <w:rPr>
          <w:spacing w:val="50"/>
        </w:rPr>
        <w:t> </w:t>
      </w:r>
      <w:r>
        <w:rPr/>
        <w:t>that</w:t>
      </w:r>
      <w:r>
        <w:rPr>
          <w:spacing w:val="52"/>
        </w:rPr>
        <w:t> </w:t>
      </w:r>
      <w:r>
        <w:rPr/>
        <w:t>“a</w:t>
      </w:r>
      <w:r>
        <w:rPr>
          <w:spacing w:val="50"/>
        </w:rPr>
        <w:t> </w:t>
      </w:r>
      <w:r>
        <w:rPr/>
        <w:t>judge</w:t>
      </w:r>
      <w:r>
        <w:rPr>
          <w:spacing w:val="50"/>
        </w:rPr>
        <w:t> </w:t>
      </w:r>
      <w:r>
        <w:rPr/>
        <w:t>assessing</w:t>
      </w:r>
      <w:r>
        <w:rPr>
          <w:spacing w:val="51"/>
        </w:rPr>
        <w:t> </w:t>
      </w:r>
      <w:r>
        <w:rPr/>
        <w:t>a</w:t>
      </w:r>
      <w:r>
        <w:rPr>
          <w:spacing w:val="50"/>
        </w:rPr>
        <w:t> </w:t>
      </w:r>
      <w:r>
        <w:rPr/>
        <w:t>proffer</w:t>
      </w:r>
      <w:r>
        <w:rPr>
          <w:spacing w:val="50"/>
        </w:rPr>
        <w:t> </w:t>
      </w:r>
      <w:r>
        <w:rPr/>
        <w:t>of</w:t>
      </w:r>
      <w:r>
        <w:rPr>
          <w:spacing w:val="50"/>
        </w:rPr>
        <w:t> </w:t>
      </w:r>
      <w:r>
        <w:rPr/>
        <w:t>expert</w:t>
      </w:r>
      <w:r>
        <w:rPr>
          <w:spacing w:val="51"/>
        </w:rPr>
        <w:t> </w:t>
      </w:r>
      <w:r>
        <w:rPr/>
        <w:t>.</w:t>
      </w:r>
      <w:r>
        <w:rPr>
          <w:spacing w:val="50"/>
        </w:rPr>
        <w:t> </w:t>
      </w:r>
      <w:r>
        <w:rPr/>
        <w:t>.</w:t>
      </w:r>
      <w:r>
        <w:rPr>
          <w:spacing w:val="50"/>
        </w:rPr>
        <w:t> </w:t>
      </w:r>
      <w:r>
        <w:rPr/>
        <w:t>.</w:t>
      </w:r>
    </w:p>
    <w:p>
      <w:pPr>
        <w:pStyle w:val="BodyText"/>
        <w:spacing w:before="2"/>
        <w:ind w:left="0"/>
        <w:rPr>
          <w:sz w:val="16"/>
        </w:rPr>
      </w:pPr>
    </w:p>
    <w:p>
      <w:pPr>
        <w:pStyle w:val="BodyText"/>
        <w:spacing w:line="480" w:lineRule="auto" w:before="90"/>
        <w:ind w:right="116"/>
        <w:jc w:val="both"/>
      </w:pPr>
      <w:r>
        <w:rPr/>
        <w:t>testimony under Rule 702 should also be mindful of other applicable rules[,]” such as Rule 403)). Courts may exclude relevant evidence under Rule 403 if the evidence’s probative value is substantially outweighed by the danger of confusion of the issues or misleading the jury, among other</w:t>
      </w:r>
      <w:r>
        <w:rPr>
          <w:spacing w:val="10"/>
        </w:rPr>
        <w:t> </w:t>
      </w:r>
      <w:r>
        <w:rPr/>
        <w:t>bases. </w:t>
      </w:r>
      <w:r>
        <w:rPr>
          <w:spacing w:val="23"/>
        </w:rPr>
        <w:t> </w:t>
      </w:r>
      <w:r>
        <w:rPr/>
        <w:t>Fed.</w:t>
      </w:r>
      <w:r>
        <w:rPr>
          <w:spacing w:val="11"/>
        </w:rPr>
        <w:t> </w:t>
      </w:r>
      <w:r>
        <w:rPr/>
        <w:t>R.</w:t>
      </w:r>
      <w:r>
        <w:rPr>
          <w:spacing w:val="11"/>
        </w:rPr>
        <w:t> </w:t>
      </w:r>
      <w:r>
        <w:rPr/>
        <w:t>Evid.</w:t>
      </w:r>
      <w:r>
        <w:rPr>
          <w:spacing w:val="11"/>
        </w:rPr>
        <w:t> </w:t>
      </w:r>
      <w:r>
        <w:rPr/>
        <w:t>403;</w:t>
      </w:r>
      <w:r>
        <w:rPr>
          <w:spacing w:val="11"/>
        </w:rPr>
        <w:t> </w:t>
      </w:r>
      <w:r>
        <w:rPr>
          <w:u w:val="single"/>
        </w:rPr>
        <w:t>see</w:t>
      </w:r>
      <w:r>
        <w:rPr>
          <w:spacing w:val="11"/>
        </w:rPr>
        <w:t> </w:t>
      </w:r>
      <w:r>
        <w:rPr>
          <w:u w:val="single"/>
        </w:rPr>
        <w:t>also</w:t>
      </w:r>
      <w:r>
        <w:rPr>
          <w:spacing w:val="11"/>
        </w:rPr>
        <w:t> </w:t>
      </w:r>
      <w:r>
        <w:rPr>
          <w:u w:val="single"/>
        </w:rPr>
        <w:t>United</w:t>
      </w:r>
      <w:r>
        <w:rPr>
          <w:spacing w:val="11"/>
          <w:u w:val="single"/>
        </w:rPr>
        <w:t> </w:t>
      </w:r>
      <w:r>
        <w:rPr>
          <w:u w:val="single"/>
        </w:rPr>
        <w:t>States</w:t>
      </w:r>
      <w:r>
        <w:rPr>
          <w:spacing w:val="11"/>
          <w:u w:val="single"/>
        </w:rPr>
        <w:t> </w:t>
      </w:r>
      <w:r>
        <w:rPr>
          <w:u w:val="single"/>
        </w:rPr>
        <w:t>v.</w:t>
      </w:r>
      <w:r>
        <w:rPr>
          <w:spacing w:val="11"/>
          <w:u w:val="single"/>
        </w:rPr>
        <w:t> </w:t>
      </w:r>
      <w:r>
        <w:rPr>
          <w:u w:val="single"/>
        </w:rPr>
        <w:t>Cosgrove</w:t>
      </w:r>
      <w:r>
        <w:rPr/>
        <w:t>,</w:t>
      </w:r>
      <w:r>
        <w:rPr>
          <w:spacing w:val="11"/>
        </w:rPr>
        <w:t> </w:t>
      </w:r>
      <w:r>
        <w:rPr/>
        <w:t>637</w:t>
      </w:r>
      <w:r>
        <w:rPr>
          <w:spacing w:val="11"/>
        </w:rPr>
        <w:t> </w:t>
      </w:r>
      <w:r>
        <w:rPr/>
        <w:t>F.3d</w:t>
      </w:r>
      <w:r>
        <w:rPr>
          <w:spacing w:val="11"/>
        </w:rPr>
        <w:t> </w:t>
      </w:r>
      <w:r>
        <w:rPr/>
        <w:t>646,</w:t>
      </w:r>
      <w:r>
        <w:rPr>
          <w:spacing w:val="11"/>
        </w:rPr>
        <w:t> </w:t>
      </w:r>
      <w:r>
        <w:rPr/>
        <w:t>660-661</w:t>
      </w:r>
      <w:r>
        <w:rPr>
          <w:spacing w:val="11"/>
        </w:rPr>
        <w:t> </w:t>
      </w:r>
      <w:r>
        <w:rPr/>
        <w:t>(6th</w:t>
      </w:r>
    </w:p>
    <w:p>
      <w:pPr>
        <w:pStyle w:val="BodyText"/>
        <w:spacing w:line="480" w:lineRule="auto"/>
      </w:pPr>
      <w:r>
        <w:rPr/>
        <w:t>Cir. 2011) (holding that exclusion of defense expert-witness testimony due to confusion and potential to mislead the jury was proper under Rule 403).</w:t>
      </w:r>
    </w:p>
    <w:p>
      <w:pPr>
        <w:pStyle w:val="BodyText"/>
        <w:spacing w:line="480" w:lineRule="auto"/>
        <w:ind w:right="115" w:firstLine="720"/>
        <w:jc w:val="both"/>
      </w:pPr>
      <w:r>
        <w:rPr/>
        <w:t>In this case, the jury will be required to decide whether a RICO enterprise exists. As the Government has apparently conflated the concept of a gang with the concept of a RICO enterprise, a similar muddling of the concepts of gang and RICO enterprise by the jury may occur if Bornstein is permitted to testify. Bornstein’s testimony, although ostensibly  about gangs, could be mistaken as establishing — without more — the existence of a RICO enterprise. In other words, the jury might easily conclude that the Government has met its burden of establishing the enterprise element simply by establishing that the Howard Boys are a gang. Exclusion of Bornstein’s testimony under Rule 403 is proper to avoid confusing or misleading the</w:t>
      </w:r>
      <w:r>
        <w:rPr>
          <w:spacing w:val="-1"/>
        </w:rPr>
        <w:t> </w:t>
      </w:r>
      <w:r>
        <w:rPr/>
        <w:t>jury.</w:t>
      </w:r>
    </w:p>
    <w:p>
      <w:pPr>
        <w:pStyle w:val="BodyText"/>
        <w:spacing w:line="480" w:lineRule="auto"/>
        <w:ind w:right="115" w:firstLine="720"/>
        <w:jc w:val="both"/>
      </w:pPr>
      <w:r>
        <w:rPr/>
        <w:t>Finally, Bornstein’s testimony will not be helpful to the jury. The topic of gangs in general is not particularly complicated, nor is it outside the understanding of the average juror.</w:t>
      </w:r>
    </w:p>
    <w:p>
      <w:pPr>
        <w:spacing w:after="0" w:line="480" w:lineRule="auto"/>
        <w:jc w:val="both"/>
        <w:sectPr>
          <w:headerReference w:type="default" r:id="rId32"/>
          <w:pgSz w:w="12240" w:h="15840"/>
          <w:pgMar w:header="283" w:footer="1019" w:top="1340" w:bottom="1200" w:left="1320" w:right="1320"/>
        </w:sectPr>
      </w:pPr>
    </w:p>
    <w:p>
      <w:pPr>
        <w:pStyle w:val="BodyText"/>
        <w:spacing w:line="480" w:lineRule="auto" w:before="89"/>
        <w:ind w:right="116"/>
        <w:jc w:val="both"/>
      </w:pPr>
      <w:r>
        <w:rPr/>
        <w:t>Indeed, courts have recognized that “[m]ost jurors are aware that gang members deal drugs, commit violent acts, and react unfavorably when their misdeeds are reported to authorities.” </w:t>
      </w:r>
      <w:r>
        <w:rPr>
          <w:u w:val="single"/>
        </w:rPr>
        <w:t>United States v. McGee</w:t>
      </w:r>
      <w:r>
        <w:rPr/>
        <w:t>, 408 F.3d 966, 978 (7th Cir. 2005) (affirming rejection of defendant’s</w:t>
      </w:r>
    </w:p>
    <w:p>
      <w:pPr>
        <w:pStyle w:val="BodyText"/>
        <w:spacing w:line="480" w:lineRule="auto"/>
        <w:ind w:right="116"/>
        <w:jc w:val="both"/>
      </w:pPr>
      <w:r>
        <w:rPr/>
        <w:t>proposed gang expert because, in part, substance of testimony was not “beyond the ken of the average juror”). Bornstein’s proposed opinions address relatively simple matters that  a  layperson can understand without an expert’s assistance, i.e. what constitutes a gang, and how gangs control a particular geographic region and engage in criminal activity, such as violence and drug trafficking. And these are matters that can be presented through fact witnesses relating specific facts relevant to the Howard Boys — not generalized opinions based on gangs in far off regions of the country. In such circumstances, an expert is neither necessary nor</w:t>
      </w:r>
      <w:r>
        <w:rPr>
          <w:spacing w:val="-17"/>
        </w:rPr>
        <w:t> </w:t>
      </w:r>
      <w:r>
        <w:rPr/>
        <w:t>helpful.</w:t>
      </w:r>
    </w:p>
    <w:p>
      <w:pPr>
        <w:pStyle w:val="Heading1"/>
        <w:numPr>
          <w:ilvl w:val="0"/>
          <w:numId w:val="1"/>
        </w:numPr>
        <w:tabs>
          <w:tab w:pos="4210" w:val="left" w:leader="none"/>
        </w:tabs>
        <w:spacing w:line="240" w:lineRule="auto" w:before="3" w:after="0"/>
        <w:ind w:left="4209" w:right="0" w:hanging="446"/>
        <w:jc w:val="left"/>
      </w:pPr>
      <w:r>
        <w:rPr/>
        <w:t>CONCLUSION</w:t>
      </w:r>
    </w:p>
    <w:p>
      <w:pPr>
        <w:pStyle w:val="BodyText"/>
        <w:spacing w:before="9"/>
        <w:ind w:left="0"/>
        <w:rPr>
          <w:b/>
          <w:sz w:val="23"/>
        </w:rPr>
      </w:pPr>
    </w:p>
    <w:p>
      <w:pPr>
        <w:pStyle w:val="BodyText"/>
        <w:spacing w:line="480" w:lineRule="auto"/>
        <w:ind w:right="116" w:firstLine="720"/>
        <w:jc w:val="both"/>
      </w:pPr>
      <w:r>
        <w:rPr/>
        <w:t>For the reasons stated above, Defendants’ motions are denied in part and granted in part. The Court shall permit Nedoff to testify as an expert witness on the sale and distribution of narcotics at trial. The Court, however, excludes Bornstein from testifying at trial because his opinions are unreliable, irrelevant, and unhelpful to the jury.</w:t>
      </w:r>
    </w:p>
    <w:p>
      <w:pPr>
        <w:pStyle w:val="BodyText"/>
        <w:spacing w:line="275" w:lineRule="exact"/>
        <w:ind w:left="840"/>
      </w:pPr>
      <w:r>
        <w:rPr/>
        <w:t>SO ORDERED.</w:t>
      </w:r>
    </w:p>
    <w:p>
      <w:pPr>
        <w:pStyle w:val="BodyText"/>
        <w:ind w:left="0"/>
      </w:pPr>
    </w:p>
    <w:p>
      <w:pPr>
        <w:pStyle w:val="BodyText"/>
        <w:tabs>
          <w:tab w:pos="5160" w:val="left" w:leader="none"/>
          <w:tab w:pos="8759" w:val="left" w:leader="none"/>
        </w:tabs>
        <w:ind w:left="900" w:right="838" w:hanging="780"/>
      </w:pPr>
      <w:r>
        <w:rPr/>
        <w:t>Dated:  April</w:t>
      </w:r>
      <w:r>
        <w:rPr>
          <w:spacing w:val="-1"/>
        </w:rPr>
        <w:t> </w:t>
      </w:r>
      <w:r>
        <w:rPr/>
        <w:t>29, 2014</w:t>
        <w:tab/>
      </w:r>
      <w:r>
        <w:rPr>
          <w:u w:val="single"/>
        </w:rPr>
        <w:t>s/Mark</w:t>
      </w:r>
      <w:r>
        <w:rPr>
          <w:spacing w:val="-2"/>
          <w:u w:val="single"/>
        </w:rPr>
        <w:t> </w:t>
      </w:r>
      <w:r>
        <w:rPr>
          <w:u w:val="single"/>
        </w:rPr>
        <w:t>A.</w:t>
      </w:r>
      <w:r>
        <w:rPr>
          <w:spacing w:val="-2"/>
          <w:u w:val="single"/>
        </w:rPr>
        <w:t> </w:t>
      </w:r>
      <w:r>
        <w:rPr>
          <w:u w:val="single"/>
        </w:rPr>
        <w:t>Goldsmith</w:t>
        <w:tab/>
      </w:r>
      <w:r>
        <w:rPr/>
        <w:t> Flint,</w:t>
      </w:r>
      <w:r>
        <w:rPr>
          <w:spacing w:val="-2"/>
        </w:rPr>
        <w:t> </w:t>
      </w:r>
      <w:r>
        <w:rPr/>
        <w:t>Michigan</w:t>
        <w:tab/>
        <w:t>MARK A.</w:t>
      </w:r>
      <w:r>
        <w:rPr>
          <w:spacing w:val="-1"/>
        </w:rPr>
        <w:t> </w:t>
      </w:r>
      <w:r>
        <w:rPr/>
        <w:t>GOLDSMITH</w:t>
      </w:r>
    </w:p>
    <w:p>
      <w:pPr>
        <w:pStyle w:val="BodyText"/>
        <w:ind w:left="5160"/>
      </w:pPr>
      <w:r>
        <w:rPr/>
        <w:t>United States District Judge</w:t>
      </w:r>
    </w:p>
    <w:p>
      <w:pPr>
        <w:pStyle w:val="BodyText"/>
        <w:spacing w:before="2"/>
        <w:ind w:left="0"/>
      </w:pPr>
    </w:p>
    <w:p>
      <w:pPr>
        <w:pStyle w:val="Heading1"/>
        <w:ind w:left="3186" w:right="3186" w:firstLine="0"/>
        <w:jc w:val="center"/>
      </w:pPr>
      <w:r>
        <w:rPr>
          <w:u w:val="thick"/>
        </w:rPr>
        <w:t>CERTIFICATE OF SERVICE</w:t>
      </w:r>
    </w:p>
    <w:p>
      <w:pPr>
        <w:pStyle w:val="BodyText"/>
        <w:ind w:left="0"/>
        <w:rPr>
          <w:b/>
          <w:sz w:val="16"/>
        </w:rPr>
      </w:pPr>
    </w:p>
    <w:p>
      <w:pPr>
        <w:pStyle w:val="BodyText"/>
        <w:spacing w:before="90"/>
        <w:ind w:firstLine="720"/>
      </w:pPr>
      <w:r>
        <w:rPr/>
        <w:t>The undersigned certifies that the foregoing document was served upon counsel of record and any unrepresented parties via the Court's ECF System to their respective email or First</w:t>
      </w:r>
      <w:r>
        <w:rPr>
          <w:spacing w:val="56"/>
        </w:rPr>
        <w:t> </w:t>
      </w:r>
      <w:r>
        <w:rPr/>
        <w:t>Class</w:t>
      </w:r>
    </w:p>
    <w:p>
      <w:pPr>
        <w:pStyle w:val="BodyText"/>
      </w:pPr>
      <w:r>
        <w:rPr/>
        <w:t>U.S. mail addresses disclosed on the Notice of Electronic Filing on April 29, 2014.</w:t>
      </w:r>
    </w:p>
    <w:p>
      <w:pPr>
        <w:pStyle w:val="BodyText"/>
        <w:ind w:left="0"/>
      </w:pPr>
    </w:p>
    <w:p>
      <w:pPr>
        <w:pStyle w:val="BodyText"/>
        <w:tabs>
          <w:tab w:pos="8759" w:val="left" w:leader="none"/>
        </w:tabs>
        <w:ind w:left="5160" w:right="838"/>
      </w:pPr>
      <w:r>
        <w:rPr>
          <w:u w:val="single"/>
        </w:rPr>
        <w:t>s/Deborah</w:t>
      </w:r>
      <w:r>
        <w:rPr>
          <w:spacing w:val="-2"/>
          <w:u w:val="single"/>
        </w:rPr>
        <w:t> </w:t>
      </w:r>
      <w:r>
        <w:rPr>
          <w:u w:val="single"/>
        </w:rPr>
        <w:t>J.</w:t>
      </w:r>
      <w:r>
        <w:rPr>
          <w:spacing w:val="-3"/>
          <w:u w:val="single"/>
        </w:rPr>
        <w:t> </w:t>
      </w:r>
      <w:r>
        <w:rPr>
          <w:u w:val="single"/>
        </w:rPr>
        <w:t>Goltz</w:t>
        <w:tab/>
      </w:r>
      <w:r>
        <w:rPr/>
        <w:t> DEBORAH J.</w:t>
      </w:r>
      <w:r>
        <w:rPr>
          <w:spacing w:val="-1"/>
        </w:rPr>
        <w:t> </w:t>
      </w:r>
      <w:r>
        <w:rPr/>
        <w:t>GOLTZ</w:t>
      </w:r>
    </w:p>
    <w:p>
      <w:pPr>
        <w:pStyle w:val="BodyText"/>
        <w:ind w:left="5160"/>
      </w:pPr>
      <w:r>
        <w:rPr/>
        <w:t>Case Manager</w:t>
      </w:r>
    </w:p>
    <w:sectPr>
      <w:headerReference w:type="default" r:id="rId33"/>
      <w:pgSz w:w="12240" w:h="15840"/>
      <w:pgMar w:header="283" w:footer="1019" w:top="1340" w:bottom="120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8pt;margin-top:730.02655pt;width:16pt;height:15.3pt;mso-position-horizontal-relative:page;mso-position-vertical-relative:page;z-index:-19840"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93.419998pt;margin-top:13.136719pt;width:351.75pt;height:15.45pt;mso-position-horizontal-relative:page;mso-position-vertical-relative:page;z-index:-19936" type="#_x0000_t202" filled="false" stroked="false">
          <v:textbox inset="0,0,0,0">
            <w:txbxContent>
              <w:p>
                <w:pPr>
                  <w:pStyle w:val="BodyText"/>
                  <w:spacing w:before="12"/>
                  <w:ind w:left="20"/>
                  <w:rPr>
                    <w:rFonts w:ascii="Arial"/>
                  </w:rPr>
                </w:pPr>
                <w:r>
                  <w:rPr>
                    <w:rFonts w:ascii="Arial"/>
                    <w:color w:val="0000FF"/>
                  </w:rPr>
                  <w:t>4:12-cr-20287-MAG-MJH Doc # 547 Filed 04/29/14 Pg </w:t>
                </w:r>
                <w:r>
                  <w:rPr/>
                  <w:fldChar w:fldCharType="begin"/>
                </w:r>
                <w:r>
                  <w:rPr>
                    <w:rFonts w:ascii="Arial"/>
                    <w:color w:val="0000FF"/>
                  </w:rPr>
                  <w:instrText> PAGE </w:instrText>
                </w:r>
                <w:r>
                  <w:rPr/>
                  <w:fldChar w:fldCharType="separate"/>
                </w:r>
                <w:r>
                  <w:rPr/>
                  <w:t>1</w:t>
                </w:r>
                <w:r>
                  <w:rPr/>
                  <w:fldChar w:fldCharType="end"/>
                </w:r>
                <w:r>
                  <w:rPr>
                    <w:rFonts w:ascii="Arial"/>
                    <w:color w:val="0000FF"/>
                  </w:rPr>
                  <w:t> of 27</w:t>
                </w:r>
              </w:p>
            </w:txbxContent>
          </v:textbox>
          <w10:wrap type="none"/>
        </v:shape>
      </w:pict>
    </w:r>
    <w:r>
      <w:rPr/>
      <w:pict>
        <v:shape style="position:absolute;margin-left:456.440613pt;margin-top:13.136719pt;width:61.95pt;height:15.45pt;mso-position-horizontal-relative:page;mso-position-vertical-relative:page;z-index:-19912" type="#_x0000_t202" filled="false" stroked="false">
          <v:textbox inset="0,0,0,0">
            <w:txbxContent>
              <w:p>
                <w:pPr>
                  <w:pStyle w:val="BodyText"/>
                  <w:spacing w:before="12"/>
                  <w:ind w:left="20"/>
                  <w:rPr>
                    <w:rFonts w:ascii="Arial"/>
                  </w:rPr>
                </w:pPr>
                <w:r>
                  <w:rPr>
                    <w:rFonts w:ascii="Arial"/>
                    <w:color w:val="0000FF"/>
                  </w:rPr>
                  <w:t>Pg ID 2813</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0.080002pt;margin-top:13.136719pt;width:358.4pt;height:15.45pt;mso-position-horizontal-relative:page;mso-position-vertical-relative:page;z-index:-19480" type="#_x0000_t202" filled="false" stroked="false">
          <v:textbox inset="0,0,0,0">
            <w:txbxContent>
              <w:p>
                <w:pPr>
                  <w:pStyle w:val="BodyText"/>
                  <w:spacing w:before="12"/>
                  <w:ind w:left="20"/>
                  <w:rPr>
                    <w:rFonts w:ascii="Arial"/>
                  </w:rPr>
                </w:pPr>
                <w:r>
                  <w:rPr>
                    <w:rFonts w:ascii="Arial"/>
                    <w:color w:val="0000FF"/>
                  </w:rPr>
                  <w:t>4:12-cr-20287-MAG-MJH Doc # 547 Filed 04/29/14 Pg 10 of 27</w:t>
                </w:r>
              </w:p>
            </w:txbxContent>
          </v:textbox>
          <w10:wrap type="none"/>
        </v:shape>
      </w:pict>
    </w:r>
    <w:r>
      <w:rPr/>
      <w:pict>
        <v:shape style="position:absolute;margin-left:459.770782pt;margin-top:13.136719pt;width:61.95pt;height:15.45pt;mso-position-horizontal-relative:page;mso-position-vertical-relative:page;z-index:-19456" type="#_x0000_t202" filled="false" stroked="false">
          <v:textbox inset="0,0,0,0">
            <w:txbxContent>
              <w:p>
                <w:pPr>
                  <w:pStyle w:val="BodyText"/>
                  <w:spacing w:before="12"/>
                  <w:ind w:left="20"/>
                  <w:rPr>
                    <w:rFonts w:ascii="Arial"/>
                  </w:rPr>
                </w:pPr>
                <w:r>
                  <w:rPr>
                    <w:rFonts w:ascii="Arial"/>
                    <w:color w:val="0000FF"/>
                  </w:rPr>
                  <w:t>Pg ID 2822</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0.080002pt;margin-top:13.136719pt;width:358.4pt;height:15.45pt;mso-position-horizontal-relative:page;mso-position-vertical-relative:page;z-index:-19432" type="#_x0000_t202" filled="false" stroked="false">
          <v:textbox inset="0,0,0,0">
            <w:txbxContent>
              <w:p>
                <w:pPr>
                  <w:pStyle w:val="BodyText"/>
                  <w:spacing w:before="12"/>
                  <w:ind w:left="20"/>
                  <w:rPr>
                    <w:rFonts w:ascii="Arial"/>
                  </w:rPr>
                </w:pPr>
                <w:r>
                  <w:rPr>
                    <w:rFonts w:ascii="Arial"/>
                    <w:color w:val="0000FF"/>
                  </w:rPr>
                  <w:t>4:12-cr-20287-MAG-MJH Doc # 547 Filed 04/29/14 Pg 11 of 27</w:t>
                </w:r>
              </w:p>
            </w:txbxContent>
          </v:textbox>
          <w10:wrap type="none"/>
        </v:shape>
      </w:pict>
    </w:r>
    <w:r>
      <w:rPr/>
      <w:pict>
        <v:shape style="position:absolute;margin-left:459.770782pt;margin-top:13.136719pt;width:61.95pt;height:15.45pt;mso-position-horizontal-relative:page;mso-position-vertical-relative:page;z-index:-19408" type="#_x0000_t202" filled="false" stroked="false">
          <v:textbox inset="0,0,0,0">
            <w:txbxContent>
              <w:p>
                <w:pPr>
                  <w:pStyle w:val="BodyText"/>
                  <w:spacing w:before="12"/>
                  <w:ind w:left="20"/>
                  <w:rPr>
                    <w:rFonts w:ascii="Arial"/>
                  </w:rPr>
                </w:pPr>
                <w:r>
                  <w:rPr>
                    <w:rFonts w:ascii="Arial"/>
                    <w:color w:val="0000FF"/>
                  </w:rPr>
                  <w:t>Pg ID 2823</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0.080002pt;margin-top:13.136719pt;width:358.4pt;height:15.45pt;mso-position-horizontal-relative:page;mso-position-vertical-relative:page;z-index:-19384" type="#_x0000_t202" filled="false" stroked="false">
          <v:textbox inset="0,0,0,0">
            <w:txbxContent>
              <w:p>
                <w:pPr>
                  <w:pStyle w:val="BodyText"/>
                  <w:spacing w:before="12"/>
                  <w:ind w:left="20"/>
                  <w:rPr>
                    <w:rFonts w:ascii="Arial"/>
                  </w:rPr>
                </w:pPr>
                <w:r>
                  <w:rPr>
                    <w:rFonts w:ascii="Arial"/>
                    <w:color w:val="0000FF"/>
                  </w:rPr>
                  <w:t>4:12-cr-20287-MAG-MJH Doc # 547 Filed 04/29/14 Pg 12 of 27</w:t>
                </w:r>
              </w:p>
            </w:txbxContent>
          </v:textbox>
          <w10:wrap type="none"/>
        </v:shape>
      </w:pict>
    </w:r>
    <w:r>
      <w:rPr/>
      <w:pict>
        <v:shape style="position:absolute;margin-left:459.770782pt;margin-top:13.136719pt;width:61.95pt;height:15.45pt;mso-position-horizontal-relative:page;mso-position-vertical-relative:page;z-index:-19360" type="#_x0000_t202" filled="false" stroked="false">
          <v:textbox inset="0,0,0,0">
            <w:txbxContent>
              <w:p>
                <w:pPr>
                  <w:pStyle w:val="BodyText"/>
                  <w:spacing w:before="12"/>
                  <w:ind w:left="20"/>
                  <w:rPr>
                    <w:rFonts w:ascii="Arial"/>
                  </w:rPr>
                </w:pPr>
                <w:r>
                  <w:rPr>
                    <w:rFonts w:ascii="Arial"/>
                    <w:color w:val="0000FF"/>
                  </w:rPr>
                  <w:t>Pg ID 2824</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0.080002pt;margin-top:13.136719pt;width:358.4pt;height:15.45pt;mso-position-horizontal-relative:page;mso-position-vertical-relative:page;z-index:-19336" type="#_x0000_t202" filled="false" stroked="false">
          <v:textbox inset="0,0,0,0">
            <w:txbxContent>
              <w:p>
                <w:pPr>
                  <w:pStyle w:val="BodyText"/>
                  <w:spacing w:before="12"/>
                  <w:ind w:left="20"/>
                  <w:rPr>
                    <w:rFonts w:ascii="Arial"/>
                  </w:rPr>
                </w:pPr>
                <w:r>
                  <w:rPr>
                    <w:rFonts w:ascii="Arial"/>
                    <w:color w:val="0000FF"/>
                  </w:rPr>
                  <w:t>4:12-cr-20287-MAG-MJH Doc # 547 Filed 04/29/14 Pg 13 of 27</w:t>
                </w:r>
              </w:p>
            </w:txbxContent>
          </v:textbox>
          <w10:wrap type="none"/>
        </v:shape>
      </w:pict>
    </w:r>
    <w:r>
      <w:rPr/>
      <w:pict>
        <v:shape style="position:absolute;margin-left:459.770782pt;margin-top:13.136719pt;width:61.95pt;height:15.45pt;mso-position-horizontal-relative:page;mso-position-vertical-relative:page;z-index:-19312" type="#_x0000_t202" filled="false" stroked="false">
          <v:textbox inset="0,0,0,0">
            <w:txbxContent>
              <w:p>
                <w:pPr>
                  <w:pStyle w:val="BodyText"/>
                  <w:spacing w:before="12"/>
                  <w:ind w:left="20"/>
                  <w:rPr>
                    <w:rFonts w:ascii="Arial"/>
                  </w:rPr>
                </w:pPr>
                <w:r>
                  <w:rPr>
                    <w:rFonts w:ascii="Arial"/>
                    <w:color w:val="0000FF"/>
                  </w:rPr>
                  <w:t>Pg ID 2825</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0.080002pt;margin-top:13.136719pt;width:358.4pt;height:15.45pt;mso-position-horizontal-relative:page;mso-position-vertical-relative:page;z-index:-19288" type="#_x0000_t202" filled="false" stroked="false">
          <v:textbox inset="0,0,0,0">
            <w:txbxContent>
              <w:p>
                <w:pPr>
                  <w:pStyle w:val="BodyText"/>
                  <w:spacing w:before="12"/>
                  <w:ind w:left="20"/>
                  <w:rPr>
                    <w:rFonts w:ascii="Arial"/>
                  </w:rPr>
                </w:pPr>
                <w:r>
                  <w:rPr>
                    <w:rFonts w:ascii="Arial"/>
                    <w:color w:val="0000FF"/>
                  </w:rPr>
                  <w:t>4:12-cr-20287-MAG-MJH Doc # 547 Filed 04/29/14 Pg 14 of 27</w:t>
                </w:r>
              </w:p>
            </w:txbxContent>
          </v:textbox>
          <w10:wrap type="none"/>
        </v:shape>
      </w:pict>
    </w:r>
    <w:r>
      <w:rPr/>
      <w:pict>
        <v:shape style="position:absolute;margin-left:459.770782pt;margin-top:13.136719pt;width:61.95pt;height:15.45pt;mso-position-horizontal-relative:page;mso-position-vertical-relative:page;z-index:-19264" type="#_x0000_t202" filled="false" stroked="false">
          <v:textbox inset="0,0,0,0">
            <w:txbxContent>
              <w:p>
                <w:pPr>
                  <w:pStyle w:val="BodyText"/>
                  <w:spacing w:before="12"/>
                  <w:ind w:left="20"/>
                  <w:rPr>
                    <w:rFonts w:ascii="Arial"/>
                  </w:rPr>
                </w:pPr>
                <w:r>
                  <w:rPr>
                    <w:rFonts w:ascii="Arial"/>
                    <w:color w:val="0000FF"/>
                  </w:rPr>
                  <w:t>Pg ID 2826</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0.080002pt;margin-top:13.136719pt;width:358.4pt;height:15.45pt;mso-position-horizontal-relative:page;mso-position-vertical-relative:page;z-index:-19240" type="#_x0000_t202" filled="false" stroked="false">
          <v:textbox inset="0,0,0,0">
            <w:txbxContent>
              <w:p>
                <w:pPr>
                  <w:pStyle w:val="BodyText"/>
                  <w:spacing w:before="12"/>
                  <w:ind w:left="20"/>
                  <w:rPr>
                    <w:rFonts w:ascii="Arial"/>
                  </w:rPr>
                </w:pPr>
                <w:r>
                  <w:rPr>
                    <w:rFonts w:ascii="Arial"/>
                    <w:color w:val="0000FF"/>
                  </w:rPr>
                  <w:t>4:12-cr-20287-MAG-MJH Doc # 547 Filed 04/29/14 Pg 15 of 27</w:t>
                </w:r>
              </w:p>
            </w:txbxContent>
          </v:textbox>
          <w10:wrap type="none"/>
        </v:shape>
      </w:pict>
    </w:r>
    <w:r>
      <w:rPr/>
      <w:pict>
        <v:shape style="position:absolute;margin-left:459.770782pt;margin-top:13.136719pt;width:61.95pt;height:15.45pt;mso-position-horizontal-relative:page;mso-position-vertical-relative:page;z-index:-19216" type="#_x0000_t202" filled="false" stroked="false">
          <v:textbox inset="0,0,0,0">
            <w:txbxContent>
              <w:p>
                <w:pPr>
                  <w:pStyle w:val="BodyText"/>
                  <w:spacing w:before="12"/>
                  <w:ind w:left="20"/>
                  <w:rPr>
                    <w:rFonts w:ascii="Arial"/>
                  </w:rPr>
                </w:pPr>
                <w:r>
                  <w:rPr>
                    <w:rFonts w:ascii="Arial"/>
                    <w:color w:val="0000FF"/>
                  </w:rPr>
                  <w:t>Pg ID 2827</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0.080002pt;margin-top:13.136719pt;width:358.4pt;height:15.45pt;mso-position-horizontal-relative:page;mso-position-vertical-relative:page;z-index:-19192" type="#_x0000_t202" filled="false" stroked="false">
          <v:textbox inset="0,0,0,0">
            <w:txbxContent>
              <w:p>
                <w:pPr>
                  <w:pStyle w:val="BodyText"/>
                  <w:spacing w:before="12"/>
                  <w:ind w:left="20"/>
                  <w:rPr>
                    <w:rFonts w:ascii="Arial"/>
                  </w:rPr>
                </w:pPr>
                <w:r>
                  <w:rPr>
                    <w:rFonts w:ascii="Arial"/>
                    <w:color w:val="0000FF"/>
                  </w:rPr>
                  <w:t>4:12-cr-20287-MAG-MJH Doc # 547 Filed 04/29/14 Pg 16 of 27</w:t>
                </w:r>
              </w:p>
            </w:txbxContent>
          </v:textbox>
          <w10:wrap type="none"/>
        </v:shape>
      </w:pict>
    </w:r>
    <w:r>
      <w:rPr/>
      <w:pict>
        <v:shape style="position:absolute;margin-left:459.770782pt;margin-top:13.136719pt;width:61.95pt;height:15.45pt;mso-position-horizontal-relative:page;mso-position-vertical-relative:page;z-index:-19168" type="#_x0000_t202" filled="false" stroked="false">
          <v:textbox inset="0,0,0,0">
            <w:txbxContent>
              <w:p>
                <w:pPr>
                  <w:pStyle w:val="BodyText"/>
                  <w:spacing w:before="12"/>
                  <w:ind w:left="20"/>
                  <w:rPr>
                    <w:rFonts w:ascii="Arial"/>
                  </w:rPr>
                </w:pPr>
                <w:r>
                  <w:rPr>
                    <w:rFonts w:ascii="Arial"/>
                    <w:color w:val="0000FF"/>
                  </w:rPr>
                  <w:t>Pg ID 2828</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0.080002pt;margin-top:13.136719pt;width:358.4pt;height:15.45pt;mso-position-horizontal-relative:page;mso-position-vertical-relative:page;z-index:-19144" type="#_x0000_t202" filled="false" stroked="false">
          <v:textbox inset="0,0,0,0">
            <w:txbxContent>
              <w:p>
                <w:pPr>
                  <w:pStyle w:val="BodyText"/>
                  <w:spacing w:before="12"/>
                  <w:ind w:left="20"/>
                  <w:rPr>
                    <w:rFonts w:ascii="Arial"/>
                  </w:rPr>
                </w:pPr>
                <w:r>
                  <w:rPr>
                    <w:rFonts w:ascii="Arial"/>
                    <w:color w:val="0000FF"/>
                  </w:rPr>
                  <w:t>4:12-cr-20287-MAG-MJH Doc # 547 Filed 04/29/14 Pg 17 of 27</w:t>
                </w:r>
              </w:p>
            </w:txbxContent>
          </v:textbox>
          <w10:wrap type="none"/>
        </v:shape>
      </w:pict>
    </w:r>
    <w:r>
      <w:rPr/>
      <w:pict>
        <v:shape style="position:absolute;margin-left:459.770782pt;margin-top:13.136719pt;width:61.95pt;height:15.45pt;mso-position-horizontal-relative:page;mso-position-vertical-relative:page;z-index:-19120" type="#_x0000_t202" filled="false" stroked="false">
          <v:textbox inset="0,0,0,0">
            <w:txbxContent>
              <w:p>
                <w:pPr>
                  <w:pStyle w:val="BodyText"/>
                  <w:spacing w:before="12"/>
                  <w:ind w:left="20"/>
                  <w:rPr>
                    <w:rFonts w:ascii="Arial"/>
                  </w:rPr>
                </w:pPr>
                <w:r>
                  <w:rPr>
                    <w:rFonts w:ascii="Arial"/>
                    <w:color w:val="0000FF"/>
                  </w:rPr>
                  <w:t>Pg ID 2829</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0.080002pt;margin-top:13.136719pt;width:358.4pt;height:15.45pt;mso-position-horizontal-relative:page;mso-position-vertical-relative:page;z-index:-19096" type="#_x0000_t202" filled="false" stroked="false">
          <v:textbox inset="0,0,0,0">
            <w:txbxContent>
              <w:p>
                <w:pPr>
                  <w:pStyle w:val="BodyText"/>
                  <w:spacing w:before="12"/>
                  <w:ind w:left="20"/>
                  <w:rPr>
                    <w:rFonts w:ascii="Arial"/>
                  </w:rPr>
                </w:pPr>
                <w:r>
                  <w:rPr>
                    <w:rFonts w:ascii="Arial"/>
                    <w:color w:val="0000FF"/>
                  </w:rPr>
                  <w:t>4:12-cr-20287-MAG-MJH Doc # 547 Filed 04/29/14 Pg 18 of 27</w:t>
                </w:r>
              </w:p>
            </w:txbxContent>
          </v:textbox>
          <w10:wrap type="none"/>
        </v:shape>
      </w:pict>
    </w:r>
    <w:r>
      <w:rPr/>
      <w:pict>
        <v:shape style="position:absolute;margin-left:459.770782pt;margin-top:13.136719pt;width:61.95pt;height:15.45pt;mso-position-horizontal-relative:page;mso-position-vertical-relative:page;z-index:-19072" type="#_x0000_t202" filled="false" stroked="false">
          <v:textbox inset="0,0,0,0">
            <w:txbxContent>
              <w:p>
                <w:pPr>
                  <w:pStyle w:val="BodyText"/>
                  <w:spacing w:before="12"/>
                  <w:ind w:left="20"/>
                  <w:rPr>
                    <w:rFonts w:ascii="Arial"/>
                  </w:rPr>
                </w:pPr>
                <w:r>
                  <w:rPr>
                    <w:rFonts w:ascii="Arial"/>
                    <w:color w:val="0000FF"/>
                  </w:rPr>
                  <w:t>Pg ID 2830</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0.080002pt;margin-top:13.136719pt;width:358.4pt;height:15.45pt;mso-position-horizontal-relative:page;mso-position-vertical-relative:page;z-index:-19048" type="#_x0000_t202" filled="false" stroked="false">
          <v:textbox inset="0,0,0,0">
            <w:txbxContent>
              <w:p>
                <w:pPr>
                  <w:pStyle w:val="BodyText"/>
                  <w:spacing w:before="12"/>
                  <w:ind w:left="20"/>
                  <w:rPr>
                    <w:rFonts w:ascii="Arial"/>
                  </w:rPr>
                </w:pPr>
                <w:r>
                  <w:rPr>
                    <w:rFonts w:ascii="Arial"/>
                    <w:color w:val="0000FF"/>
                  </w:rPr>
                  <w:t>4:12-cr-20287-MAG-MJH Doc # 547 Filed 04/29/14 Pg 19 of 27</w:t>
                </w:r>
              </w:p>
            </w:txbxContent>
          </v:textbox>
          <w10:wrap type="none"/>
        </v:shape>
      </w:pict>
    </w:r>
    <w:r>
      <w:rPr/>
      <w:pict>
        <v:shape style="position:absolute;margin-left:459.770782pt;margin-top:13.136719pt;width:61.95pt;height:15.45pt;mso-position-horizontal-relative:page;mso-position-vertical-relative:page;z-index:-19024" type="#_x0000_t202" filled="false" stroked="false">
          <v:textbox inset="0,0,0,0">
            <w:txbxContent>
              <w:p>
                <w:pPr>
                  <w:pStyle w:val="BodyText"/>
                  <w:spacing w:before="12"/>
                  <w:ind w:left="20"/>
                  <w:rPr>
                    <w:rFonts w:ascii="Arial"/>
                  </w:rPr>
                </w:pPr>
                <w:r>
                  <w:rPr>
                    <w:rFonts w:ascii="Arial"/>
                    <w:color w:val="0000FF"/>
                  </w:rPr>
                  <w:t>Pg ID 2831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3.419998pt;margin-top:13.136719pt;width:351.75pt;height:15.45pt;mso-position-horizontal-relative:page;mso-position-vertical-relative:page;z-index:-19888" type="#_x0000_t202" filled="false" stroked="false">
          <v:textbox inset="0,0,0,0">
            <w:txbxContent>
              <w:p>
                <w:pPr>
                  <w:pStyle w:val="BodyText"/>
                  <w:spacing w:before="12"/>
                  <w:ind w:left="20"/>
                  <w:rPr>
                    <w:rFonts w:ascii="Arial"/>
                  </w:rPr>
                </w:pPr>
                <w:r>
                  <w:rPr>
                    <w:rFonts w:ascii="Arial"/>
                    <w:color w:val="0000FF"/>
                  </w:rPr>
                  <w:t>4:12-cr-20287-MAG-MJH Doc # 547 Filed 04/29/14 Pg </w:t>
                </w:r>
                <w:r>
                  <w:rPr/>
                  <w:fldChar w:fldCharType="begin"/>
                </w:r>
                <w:r>
                  <w:rPr>
                    <w:rFonts w:ascii="Arial"/>
                    <w:color w:val="0000FF"/>
                  </w:rPr>
                  <w:instrText> PAGE </w:instrText>
                </w:r>
                <w:r>
                  <w:rPr/>
                  <w:fldChar w:fldCharType="separate"/>
                </w:r>
                <w:r>
                  <w:rPr/>
                  <w:t>2</w:t>
                </w:r>
                <w:r>
                  <w:rPr/>
                  <w:fldChar w:fldCharType="end"/>
                </w:r>
                <w:r>
                  <w:rPr>
                    <w:rFonts w:ascii="Arial"/>
                    <w:color w:val="0000FF"/>
                  </w:rPr>
                  <w:t> of 27</w:t>
                </w:r>
              </w:p>
            </w:txbxContent>
          </v:textbox>
          <w10:wrap type="none"/>
        </v:shape>
      </w:pict>
    </w:r>
    <w:r>
      <w:rPr/>
      <w:pict>
        <v:shape style="position:absolute;margin-left:456.440613pt;margin-top:13.136719pt;width:61.95pt;height:15.45pt;mso-position-horizontal-relative:page;mso-position-vertical-relative:page;z-index:-19864" type="#_x0000_t202" filled="false" stroked="false">
          <v:textbox inset="0,0,0,0">
            <w:txbxContent>
              <w:p>
                <w:pPr>
                  <w:pStyle w:val="BodyText"/>
                  <w:spacing w:before="12"/>
                  <w:ind w:left="20"/>
                  <w:rPr>
                    <w:rFonts w:ascii="Arial"/>
                  </w:rPr>
                </w:pPr>
                <w:r>
                  <w:rPr>
                    <w:rFonts w:ascii="Arial"/>
                    <w:color w:val="0000FF"/>
                  </w:rPr>
                  <w:t>Pg ID 2814</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0.080002pt;margin-top:13.136719pt;width:358.4pt;height:15.45pt;mso-position-horizontal-relative:page;mso-position-vertical-relative:page;z-index:-19000" type="#_x0000_t202" filled="false" stroked="false">
          <v:textbox inset="0,0,0,0">
            <w:txbxContent>
              <w:p>
                <w:pPr>
                  <w:pStyle w:val="BodyText"/>
                  <w:spacing w:before="12"/>
                  <w:ind w:left="20"/>
                  <w:rPr>
                    <w:rFonts w:ascii="Arial"/>
                  </w:rPr>
                </w:pPr>
                <w:r>
                  <w:rPr>
                    <w:rFonts w:ascii="Arial"/>
                    <w:color w:val="0000FF"/>
                  </w:rPr>
                  <w:t>4:12-cr-20287-MAG-MJH Doc # 547 Filed 04/29/14 Pg 20 of 27</w:t>
                </w:r>
              </w:p>
            </w:txbxContent>
          </v:textbox>
          <w10:wrap type="none"/>
        </v:shape>
      </w:pict>
    </w:r>
    <w:r>
      <w:rPr/>
      <w:pict>
        <v:shape style="position:absolute;margin-left:459.770782pt;margin-top:13.136719pt;width:61.95pt;height:15.45pt;mso-position-horizontal-relative:page;mso-position-vertical-relative:page;z-index:-18976" type="#_x0000_t202" filled="false" stroked="false">
          <v:textbox inset="0,0,0,0">
            <w:txbxContent>
              <w:p>
                <w:pPr>
                  <w:pStyle w:val="BodyText"/>
                  <w:spacing w:before="12"/>
                  <w:ind w:left="20"/>
                  <w:rPr>
                    <w:rFonts w:ascii="Arial"/>
                  </w:rPr>
                </w:pPr>
                <w:r>
                  <w:rPr>
                    <w:rFonts w:ascii="Arial"/>
                    <w:color w:val="0000FF"/>
                  </w:rPr>
                  <w:t>Pg ID 2832</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0.080002pt;margin-top:13.136719pt;width:358.4pt;height:15.45pt;mso-position-horizontal-relative:page;mso-position-vertical-relative:page;z-index:-18952" type="#_x0000_t202" filled="false" stroked="false">
          <v:textbox inset="0,0,0,0">
            <w:txbxContent>
              <w:p>
                <w:pPr>
                  <w:pStyle w:val="BodyText"/>
                  <w:spacing w:before="12"/>
                  <w:ind w:left="20"/>
                  <w:rPr>
                    <w:rFonts w:ascii="Arial"/>
                  </w:rPr>
                </w:pPr>
                <w:r>
                  <w:rPr>
                    <w:rFonts w:ascii="Arial"/>
                    <w:color w:val="0000FF"/>
                  </w:rPr>
                  <w:t>4:12-cr-20287-MAG-MJH Doc # 547 Filed 04/29/14 Pg 21 of 27</w:t>
                </w:r>
              </w:p>
            </w:txbxContent>
          </v:textbox>
          <w10:wrap type="none"/>
        </v:shape>
      </w:pict>
    </w:r>
    <w:r>
      <w:rPr/>
      <w:pict>
        <v:shape style="position:absolute;margin-left:459.770782pt;margin-top:13.136719pt;width:61.95pt;height:15.45pt;mso-position-horizontal-relative:page;mso-position-vertical-relative:page;z-index:-18928" type="#_x0000_t202" filled="false" stroked="false">
          <v:textbox inset="0,0,0,0">
            <w:txbxContent>
              <w:p>
                <w:pPr>
                  <w:pStyle w:val="BodyText"/>
                  <w:spacing w:before="12"/>
                  <w:ind w:left="20"/>
                  <w:rPr>
                    <w:rFonts w:ascii="Arial"/>
                  </w:rPr>
                </w:pPr>
                <w:r>
                  <w:rPr>
                    <w:rFonts w:ascii="Arial"/>
                    <w:color w:val="0000FF"/>
                  </w:rPr>
                  <w:t>Pg ID 2833</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0.080002pt;margin-top:13.136719pt;width:358.4pt;height:15.45pt;mso-position-horizontal-relative:page;mso-position-vertical-relative:page;z-index:-18904" type="#_x0000_t202" filled="false" stroked="false">
          <v:textbox inset="0,0,0,0">
            <w:txbxContent>
              <w:p>
                <w:pPr>
                  <w:pStyle w:val="BodyText"/>
                  <w:spacing w:before="12"/>
                  <w:ind w:left="20"/>
                  <w:rPr>
                    <w:rFonts w:ascii="Arial"/>
                  </w:rPr>
                </w:pPr>
                <w:r>
                  <w:rPr>
                    <w:rFonts w:ascii="Arial"/>
                    <w:color w:val="0000FF"/>
                  </w:rPr>
                  <w:t>4:12-cr-20287-MAG-MJH Doc # 547 Filed 04/29/14 Pg 22 of 27</w:t>
                </w:r>
              </w:p>
            </w:txbxContent>
          </v:textbox>
          <w10:wrap type="none"/>
        </v:shape>
      </w:pict>
    </w:r>
    <w:r>
      <w:rPr/>
      <w:pict>
        <v:shape style="position:absolute;margin-left:459.770782pt;margin-top:13.136719pt;width:61.95pt;height:15.45pt;mso-position-horizontal-relative:page;mso-position-vertical-relative:page;z-index:-18880" type="#_x0000_t202" filled="false" stroked="false">
          <v:textbox inset="0,0,0,0">
            <w:txbxContent>
              <w:p>
                <w:pPr>
                  <w:pStyle w:val="BodyText"/>
                  <w:spacing w:before="12"/>
                  <w:ind w:left="20"/>
                  <w:rPr>
                    <w:rFonts w:ascii="Arial"/>
                  </w:rPr>
                </w:pPr>
                <w:r>
                  <w:rPr>
                    <w:rFonts w:ascii="Arial"/>
                    <w:color w:val="0000FF"/>
                  </w:rPr>
                  <w:t>Pg ID 2834</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0.080002pt;margin-top:13.136719pt;width:358.4pt;height:15.45pt;mso-position-horizontal-relative:page;mso-position-vertical-relative:page;z-index:-18856" type="#_x0000_t202" filled="false" stroked="false">
          <v:textbox inset="0,0,0,0">
            <w:txbxContent>
              <w:p>
                <w:pPr>
                  <w:pStyle w:val="BodyText"/>
                  <w:spacing w:before="12"/>
                  <w:ind w:left="20"/>
                  <w:rPr>
                    <w:rFonts w:ascii="Arial"/>
                  </w:rPr>
                </w:pPr>
                <w:r>
                  <w:rPr>
                    <w:rFonts w:ascii="Arial"/>
                    <w:color w:val="0000FF"/>
                  </w:rPr>
                  <w:t>4:12-cr-20287-MAG-MJH Doc # 547 Filed 04/29/14 Pg 23 of 27</w:t>
                </w:r>
              </w:p>
            </w:txbxContent>
          </v:textbox>
          <w10:wrap type="none"/>
        </v:shape>
      </w:pict>
    </w:r>
    <w:r>
      <w:rPr/>
      <w:pict>
        <v:shape style="position:absolute;margin-left:459.770782pt;margin-top:13.136719pt;width:61.95pt;height:15.45pt;mso-position-horizontal-relative:page;mso-position-vertical-relative:page;z-index:-18832" type="#_x0000_t202" filled="false" stroked="false">
          <v:textbox inset="0,0,0,0">
            <w:txbxContent>
              <w:p>
                <w:pPr>
                  <w:pStyle w:val="BodyText"/>
                  <w:spacing w:before="12"/>
                  <w:ind w:left="20"/>
                  <w:rPr>
                    <w:rFonts w:ascii="Arial"/>
                  </w:rPr>
                </w:pPr>
                <w:r>
                  <w:rPr>
                    <w:rFonts w:ascii="Arial"/>
                    <w:color w:val="0000FF"/>
                  </w:rPr>
                  <w:t>Pg ID 2835</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0.080002pt;margin-top:13.136719pt;width:358.4pt;height:15.45pt;mso-position-horizontal-relative:page;mso-position-vertical-relative:page;z-index:-18808" type="#_x0000_t202" filled="false" stroked="false">
          <v:textbox inset="0,0,0,0">
            <w:txbxContent>
              <w:p>
                <w:pPr>
                  <w:pStyle w:val="BodyText"/>
                  <w:spacing w:before="12"/>
                  <w:ind w:left="20"/>
                  <w:rPr>
                    <w:rFonts w:ascii="Arial"/>
                  </w:rPr>
                </w:pPr>
                <w:r>
                  <w:rPr>
                    <w:rFonts w:ascii="Arial"/>
                    <w:color w:val="0000FF"/>
                  </w:rPr>
                  <w:t>4:12-cr-20287-MAG-MJH Doc # 547 Filed 04/29/14 Pg 24 of 27</w:t>
                </w:r>
              </w:p>
            </w:txbxContent>
          </v:textbox>
          <w10:wrap type="none"/>
        </v:shape>
      </w:pict>
    </w:r>
    <w:r>
      <w:rPr/>
      <w:pict>
        <v:shape style="position:absolute;margin-left:459.770782pt;margin-top:13.136719pt;width:61.95pt;height:15.45pt;mso-position-horizontal-relative:page;mso-position-vertical-relative:page;z-index:-18784" type="#_x0000_t202" filled="false" stroked="false">
          <v:textbox inset="0,0,0,0">
            <w:txbxContent>
              <w:p>
                <w:pPr>
                  <w:pStyle w:val="BodyText"/>
                  <w:spacing w:before="12"/>
                  <w:ind w:left="20"/>
                  <w:rPr>
                    <w:rFonts w:ascii="Arial"/>
                  </w:rPr>
                </w:pPr>
                <w:r>
                  <w:rPr>
                    <w:rFonts w:ascii="Arial"/>
                    <w:color w:val="0000FF"/>
                  </w:rPr>
                  <w:t>Pg ID 2836</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0.080002pt;margin-top:13.136719pt;width:358.4pt;height:15.45pt;mso-position-horizontal-relative:page;mso-position-vertical-relative:page;z-index:-18760" type="#_x0000_t202" filled="false" stroked="false">
          <v:textbox inset="0,0,0,0">
            <w:txbxContent>
              <w:p>
                <w:pPr>
                  <w:pStyle w:val="BodyText"/>
                  <w:spacing w:before="12"/>
                  <w:ind w:left="20"/>
                  <w:rPr>
                    <w:rFonts w:ascii="Arial"/>
                  </w:rPr>
                </w:pPr>
                <w:r>
                  <w:rPr>
                    <w:rFonts w:ascii="Arial"/>
                    <w:color w:val="0000FF"/>
                  </w:rPr>
                  <w:t>4:12-cr-20287-MAG-MJH Doc # 547 Filed 04/29/14 Pg 25 of 27</w:t>
                </w:r>
              </w:p>
            </w:txbxContent>
          </v:textbox>
          <w10:wrap type="none"/>
        </v:shape>
      </w:pict>
    </w:r>
    <w:r>
      <w:rPr/>
      <w:pict>
        <v:shape style="position:absolute;margin-left:459.770782pt;margin-top:13.136719pt;width:61.95pt;height:15.45pt;mso-position-horizontal-relative:page;mso-position-vertical-relative:page;z-index:-18736" type="#_x0000_t202" filled="false" stroked="false">
          <v:textbox inset="0,0,0,0">
            <w:txbxContent>
              <w:p>
                <w:pPr>
                  <w:pStyle w:val="BodyText"/>
                  <w:spacing w:before="12"/>
                  <w:ind w:left="20"/>
                  <w:rPr>
                    <w:rFonts w:ascii="Arial"/>
                  </w:rPr>
                </w:pPr>
                <w:r>
                  <w:rPr>
                    <w:rFonts w:ascii="Arial"/>
                    <w:color w:val="0000FF"/>
                  </w:rPr>
                  <w:t>Pg ID 2837</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0.080002pt;margin-top:13.136719pt;width:358.4pt;height:15.45pt;mso-position-horizontal-relative:page;mso-position-vertical-relative:page;z-index:-18712" type="#_x0000_t202" filled="false" stroked="false">
          <v:textbox inset="0,0,0,0">
            <w:txbxContent>
              <w:p>
                <w:pPr>
                  <w:pStyle w:val="BodyText"/>
                  <w:spacing w:before="12"/>
                  <w:ind w:left="20"/>
                  <w:rPr>
                    <w:rFonts w:ascii="Arial"/>
                  </w:rPr>
                </w:pPr>
                <w:r>
                  <w:rPr>
                    <w:rFonts w:ascii="Arial"/>
                    <w:color w:val="0000FF"/>
                  </w:rPr>
                  <w:t>4:12-cr-20287-MAG-MJH Doc # 547 Filed 04/29/14 Pg 26 of 27</w:t>
                </w:r>
              </w:p>
            </w:txbxContent>
          </v:textbox>
          <w10:wrap type="none"/>
        </v:shape>
      </w:pict>
    </w:r>
    <w:r>
      <w:rPr/>
      <w:pict>
        <v:shape style="position:absolute;margin-left:459.770782pt;margin-top:13.136719pt;width:61.95pt;height:15.45pt;mso-position-horizontal-relative:page;mso-position-vertical-relative:page;z-index:-18688" type="#_x0000_t202" filled="false" stroked="false">
          <v:textbox inset="0,0,0,0">
            <w:txbxContent>
              <w:p>
                <w:pPr>
                  <w:pStyle w:val="BodyText"/>
                  <w:spacing w:before="12"/>
                  <w:ind w:left="20"/>
                  <w:rPr>
                    <w:rFonts w:ascii="Arial"/>
                  </w:rPr>
                </w:pPr>
                <w:r>
                  <w:rPr>
                    <w:rFonts w:ascii="Arial"/>
                    <w:color w:val="0000FF"/>
                  </w:rPr>
                  <w:t>Pg ID 2838</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0.080002pt;margin-top:13.136719pt;width:358.4pt;height:15.45pt;mso-position-horizontal-relative:page;mso-position-vertical-relative:page;z-index:-18664" type="#_x0000_t202" filled="false" stroked="false">
          <v:textbox inset="0,0,0,0">
            <w:txbxContent>
              <w:p>
                <w:pPr>
                  <w:pStyle w:val="BodyText"/>
                  <w:spacing w:before="12"/>
                  <w:ind w:left="20"/>
                  <w:rPr>
                    <w:rFonts w:ascii="Arial"/>
                  </w:rPr>
                </w:pPr>
                <w:r>
                  <w:rPr>
                    <w:rFonts w:ascii="Arial"/>
                    <w:color w:val="0000FF"/>
                  </w:rPr>
                  <w:t>4:12-cr-20287-MAG-MJH Doc # 547 Filed 04/29/14 Pg 27 of 27</w:t>
                </w:r>
              </w:p>
            </w:txbxContent>
          </v:textbox>
          <w10:wrap type="none"/>
        </v:shape>
      </w:pict>
    </w:r>
    <w:r>
      <w:rPr/>
      <w:pict>
        <v:shape style="position:absolute;margin-left:459.770782pt;margin-top:13.136719pt;width:61.95pt;height:15.45pt;mso-position-horizontal-relative:page;mso-position-vertical-relative:page;z-index:-18640" type="#_x0000_t202" filled="false" stroked="false">
          <v:textbox inset="0,0,0,0">
            <w:txbxContent>
              <w:p>
                <w:pPr>
                  <w:pStyle w:val="BodyText"/>
                  <w:spacing w:before="12"/>
                  <w:ind w:left="20"/>
                  <w:rPr>
                    <w:rFonts w:ascii="Arial"/>
                  </w:rPr>
                </w:pPr>
                <w:r>
                  <w:rPr>
                    <w:rFonts w:ascii="Arial"/>
                    <w:color w:val="0000FF"/>
                  </w:rPr>
                  <w:t>Pg ID 2839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3.419998pt;margin-top:13.136719pt;width:351.75pt;height:15.45pt;mso-position-horizontal-relative:page;mso-position-vertical-relative:page;z-index:-19816" type="#_x0000_t202" filled="false" stroked="false">
          <v:textbox inset="0,0,0,0">
            <w:txbxContent>
              <w:p>
                <w:pPr>
                  <w:pStyle w:val="BodyText"/>
                  <w:spacing w:before="12"/>
                  <w:ind w:left="20"/>
                  <w:rPr>
                    <w:rFonts w:ascii="Arial"/>
                  </w:rPr>
                </w:pPr>
                <w:r>
                  <w:rPr>
                    <w:rFonts w:ascii="Arial"/>
                    <w:color w:val="0000FF"/>
                  </w:rPr>
                  <w:t>4:12-cr-20287-MAG-MJH Doc # 547 Filed 04/29/14 Pg </w:t>
                </w:r>
                <w:r>
                  <w:rPr/>
                  <w:fldChar w:fldCharType="begin"/>
                </w:r>
                <w:r>
                  <w:rPr>
                    <w:rFonts w:ascii="Arial"/>
                    <w:color w:val="0000FF"/>
                  </w:rPr>
                  <w:instrText> PAGE </w:instrText>
                </w:r>
                <w:r>
                  <w:rPr/>
                  <w:fldChar w:fldCharType="separate"/>
                </w:r>
                <w:r>
                  <w:rPr/>
                  <w:t>3</w:t>
                </w:r>
                <w:r>
                  <w:rPr/>
                  <w:fldChar w:fldCharType="end"/>
                </w:r>
                <w:r>
                  <w:rPr>
                    <w:rFonts w:ascii="Arial"/>
                    <w:color w:val="0000FF"/>
                  </w:rPr>
                  <w:t> of 27</w:t>
                </w:r>
              </w:p>
            </w:txbxContent>
          </v:textbox>
          <w10:wrap type="none"/>
        </v:shape>
      </w:pict>
    </w:r>
    <w:r>
      <w:rPr/>
      <w:pict>
        <v:shape style="position:absolute;margin-left:456.440613pt;margin-top:13.136719pt;width:61.95pt;height:15.45pt;mso-position-horizontal-relative:page;mso-position-vertical-relative:page;z-index:-19792" type="#_x0000_t202" filled="false" stroked="false">
          <v:textbox inset="0,0,0,0">
            <w:txbxContent>
              <w:p>
                <w:pPr>
                  <w:pStyle w:val="BodyText"/>
                  <w:spacing w:before="12"/>
                  <w:ind w:left="20"/>
                  <w:rPr>
                    <w:rFonts w:ascii="Arial"/>
                  </w:rPr>
                </w:pPr>
                <w:r>
                  <w:rPr>
                    <w:rFonts w:ascii="Arial"/>
                    <w:color w:val="0000FF"/>
                  </w:rPr>
                  <w:t>Pg ID 2815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3.419998pt;margin-top:13.136719pt;width:351.75pt;height:15.45pt;mso-position-horizontal-relative:page;mso-position-vertical-relative:page;z-index:-19768" type="#_x0000_t202" filled="false" stroked="false">
          <v:textbox inset="0,0,0,0">
            <w:txbxContent>
              <w:p>
                <w:pPr>
                  <w:pStyle w:val="BodyText"/>
                  <w:spacing w:before="12"/>
                  <w:ind w:left="20"/>
                  <w:rPr>
                    <w:rFonts w:ascii="Arial"/>
                  </w:rPr>
                </w:pPr>
                <w:r>
                  <w:rPr>
                    <w:rFonts w:ascii="Arial"/>
                    <w:color w:val="0000FF"/>
                  </w:rPr>
                  <w:t>4:12-cr-20287-MAG-MJH Doc # 547 Filed 04/29/14 Pg 4 of 27</w:t>
                </w:r>
              </w:p>
            </w:txbxContent>
          </v:textbox>
          <w10:wrap type="none"/>
        </v:shape>
      </w:pict>
    </w:r>
    <w:r>
      <w:rPr/>
      <w:pict>
        <v:shape style="position:absolute;margin-left:456.440613pt;margin-top:13.136719pt;width:61.95pt;height:15.45pt;mso-position-horizontal-relative:page;mso-position-vertical-relative:page;z-index:-19744" type="#_x0000_t202" filled="false" stroked="false">
          <v:textbox inset="0,0,0,0">
            <w:txbxContent>
              <w:p>
                <w:pPr>
                  <w:pStyle w:val="BodyText"/>
                  <w:spacing w:before="12"/>
                  <w:ind w:left="20"/>
                  <w:rPr>
                    <w:rFonts w:ascii="Arial"/>
                  </w:rPr>
                </w:pPr>
                <w:r>
                  <w:rPr>
                    <w:rFonts w:ascii="Arial"/>
                    <w:color w:val="0000FF"/>
                  </w:rPr>
                  <w:t>Pg ID 2816</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3.419998pt;margin-top:13.136719pt;width:351.75pt;height:15.45pt;mso-position-horizontal-relative:page;mso-position-vertical-relative:page;z-index:-19720" type="#_x0000_t202" filled="false" stroked="false">
          <v:textbox inset="0,0,0,0">
            <w:txbxContent>
              <w:p>
                <w:pPr>
                  <w:pStyle w:val="BodyText"/>
                  <w:spacing w:before="12"/>
                  <w:ind w:left="20"/>
                  <w:rPr>
                    <w:rFonts w:ascii="Arial"/>
                  </w:rPr>
                </w:pPr>
                <w:r>
                  <w:rPr>
                    <w:rFonts w:ascii="Arial"/>
                    <w:color w:val="0000FF"/>
                  </w:rPr>
                  <w:t>4:12-cr-20287-MAG-MJH Doc # 547 Filed 04/29/14 Pg 5 of 27</w:t>
                </w:r>
              </w:p>
            </w:txbxContent>
          </v:textbox>
          <w10:wrap type="none"/>
        </v:shape>
      </w:pict>
    </w:r>
    <w:r>
      <w:rPr/>
      <w:pict>
        <v:shape style="position:absolute;margin-left:456.440613pt;margin-top:13.136719pt;width:61.95pt;height:15.45pt;mso-position-horizontal-relative:page;mso-position-vertical-relative:page;z-index:-19696" type="#_x0000_t202" filled="false" stroked="false">
          <v:textbox inset="0,0,0,0">
            <w:txbxContent>
              <w:p>
                <w:pPr>
                  <w:pStyle w:val="BodyText"/>
                  <w:spacing w:before="12"/>
                  <w:ind w:left="20"/>
                  <w:rPr>
                    <w:rFonts w:ascii="Arial"/>
                  </w:rPr>
                </w:pPr>
                <w:r>
                  <w:rPr>
                    <w:rFonts w:ascii="Arial"/>
                    <w:color w:val="0000FF"/>
                  </w:rPr>
                  <w:t>Pg ID 2817</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3.419998pt;margin-top:13.136719pt;width:351.75pt;height:15.45pt;mso-position-horizontal-relative:page;mso-position-vertical-relative:page;z-index:-19672" type="#_x0000_t202" filled="false" stroked="false">
          <v:textbox inset="0,0,0,0">
            <w:txbxContent>
              <w:p>
                <w:pPr>
                  <w:pStyle w:val="BodyText"/>
                  <w:spacing w:before="12"/>
                  <w:ind w:left="20"/>
                  <w:rPr>
                    <w:rFonts w:ascii="Arial"/>
                  </w:rPr>
                </w:pPr>
                <w:r>
                  <w:rPr>
                    <w:rFonts w:ascii="Arial"/>
                    <w:color w:val="0000FF"/>
                  </w:rPr>
                  <w:t>4:12-cr-20287-MAG-MJH Doc # 547 Filed 04/29/14 Pg 6 of 27</w:t>
                </w:r>
              </w:p>
            </w:txbxContent>
          </v:textbox>
          <w10:wrap type="none"/>
        </v:shape>
      </w:pict>
    </w:r>
    <w:r>
      <w:rPr/>
      <w:pict>
        <v:shape style="position:absolute;margin-left:456.440613pt;margin-top:13.136719pt;width:61.95pt;height:15.45pt;mso-position-horizontal-relative:page;mso-position-vertical-relative:page;z-index:-19648" type="#_x0000_t202" filled="false" stroked="false">
          <v:textbox inset="0,0,0,0">
            <w:txbxContent>
              <w:p>
                <w:pPr>
                  <w:pStyle w:val="BodyText"/>
                  <w:spacing w:before="12"/>
                  <w:ind w:left="20"/>
                  <w:rPr>
                    <w:rFonts w:ascii="Arial"/>
                  </w:rPr>
                </w:pPr>
                <w:r>
                  <w:rPr>
                    <w:rFonts w:ascii="Arial"/>
                    <w:color w:val="0000FF"/>
                  </w:rPr>
                  <w:t>Pg ID 2818</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3.419998pt;margin-top:13.136719pt;width:351.75pt;height:15.45pt;mso-position-horizontal-relative:page;mso-position-vertical-relative:page;z-index:-19624" type="#_x0000_t202" filled="false" stroked="false">
          <v:textbox inset="0,0,0,0">
            <w:txbxContent>
              <w:p>
                <w:pPr>
                  <w:pStyle w:val="BodyText"/>
                  <w:spacing w:before="12"/>
                  <w:ind w:left="20"/>
                  <w:rPr>
                    <w:rFonts w:ascii="Arial"/>
                  </w:rPr>
                </w:pPr>
                <w:r>
                  <w:rPr>
                    <w:rFonts w:ascii="Arial"/>
                    <w:color w:val="0000FF"/>
                  </w:rPr>
                  <w:t>4:12-cr-20287-MAG-MJH Doc # 547 Filed 04/29/14 Pg 7 of 27</w:t>
                </w:r>
              </w:p>
            </w:txbxContent>
          </v:textbox>
          <w10:wrap type="none"/>
        </v:shape>
      </w:pict>
    </w:r>
    <w:r>
      <w:rPr/>
      <w:pict>
        <v:shape style="position:absolute;margin-left:456.440613pt;margin-top:13.136719pt;width:61.95pt;height:15.45pt;mso-position-horizontal-relative:page;mso-position-vertical-relative:page;z-index:-19600" type="#_x0000_t202" filled="false" stroked="false">
          <v:textbox inset="0,0,0,0">
            <w:txbxContent>
              <w:p>
                <w:pPr>
                  <w:pStyle w:val="BodyText"/>
                  <w:spacing w:before="12"/>
                  <w:ind w:left="20"/>
                  <w:rPr>
                    <w:rFonts w:ascii="Arial"/>
                  </w:rPr>
                </w:pPr>
                <w:r>
                  <w:rPr>
                    <w:rFonts w:ascii="Arial"/>
                    <w:color w:val="0000FF"/>
                  </w:rPr>
                  <w:t>Pg ID 2819</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3.419998pt;margin-top:13.136719pt;width:351.75pt;height:15.45pt;mso-position-horizontal-relative:page;mso-position-vertical-relative:page;z-index:-19576" type="#_x0000_t202" filled="false" stroked="false">
          <v:textbox inset="0,0,0,0">
            <w:txbxContent>
              <w:p>
                <w:pPr>
                  <w:pStyle w:val="BodyText"/>
                  <w:spacing w:before="12"/>
                  <w:ind w:left="20"/>
                  <w:rPr>
                    <w:rFonts w:ascii="Arial"/>
                  </w:rPr>
                </w:pPr>
                <w:r>
                  <w:rPr>
                    <w:rFonts w:ascii="Arial"/>
                    <w:color w:val="0000FF"/>
                  </w:rPr>
                  <w:t>4:12-cr-20287-MAG-MJH Doc # 547 Filed 04/29/14 Pg 8 of 27</w:t>
                </w:r>
              </w:p>
            </w:txbxContent>
          </v:textbox>
          <w10:wrap type="none"/>
        </v:shape>
      </w:pict>
    </w:r>
    <w:r>
      <w:rPr/>
      <w:pict>
        <v:shape style="position:absolute;margin-left:456.440613pt;margin-top:13.136719pt;width:61.95pt;height:15.45pt;mso-position-horizontal-relative:page;mso-position-vertical-relative:page;z-index:-19552" type="#_x0000_t202" filled="false" stroked="false">
          <v:textbox inset="0,0,0,0">
            <w:txbxContent>
              <w:p>
                <w:pPr>
                  <w:pStyle w:val="BodyText"/>
                  <w:spacing w:before="12"/>
                  <w:ind w:left="20"/>
                  <w:rPr>
                    <w:rFonts w:ascii="Arial"/>
                  </w:rPr>
                </w:pPr>
                <w:r>
                  <w:rPr>
                    <w:rFonts w:ascii="Arial"/>
                    <w:color w:val="0000FF"/>
                  </w:rPr>
                  <w:t>Pg ID 2820</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3.419998pt;margin-top:13.136719pt;width:351.75pt;height:15.45pt;mso-position-horizontal-relative:page;mso-position-vertical-relative:page;z-index:-19528" type="#_x0000_t202" filled="false" stroked="false">
          <v:textbox inset="0,0,0,0">
            <w:txbxContent>
              <w:p>
                <w:pPr>
                  <w:pStyle w:val="BodyText"/>
                  <w:spacing w:before="12"/>
                  <w:ind w:left="20"/>
                  <w:rPr>
                    <w:rFonts w:ascii="Arial"/>
                  </w:rPr>
                </w:pPr>
                <w:r>
                  <w:rPr>
                    <w:rFonts w:ascii="Arial"/>
                    <w:color w:val="0000FF"/>
                  </w:rPr>
                  <w:t>4:12-cr-20287-MAG-MJH Doc # 547 Filed 04/29/14 Pg 9 of 27</w:t>
                </w:r>
              </w:p>
            </w:txbxContent>
          </v:textbox>
          <w10:wrap type="none"/>
        </v:shape>
      </w:pict>
    </w:r>
    <w:r>
      <w:rPr/>
      <w:pict>
        <v:shape style="position:absolute;margin-left:456.440613pt;margin-top:13.136719pt;width:61.95pt;height:15.45pt;mso-position-horizontal-relative:page;mso-position-vertical-relative:page;z-index:-19504" type="#_x0000_t202" filled="false" stroked="false">
          <v:textbox inset="0,0,0,0">
            <w:txbxContent>
              <w:p>
                <w:pPr>
                  <w:pStyle w:val="BodyText"/>
                  <w:spacing w:before="12"/>
                  <w:ind w:left="20"/>
                  <w:rPr>
                    <w:rFonts w:ascii="Arial"/>
                  </w:rPr>
                </w:pPr>
                <w:r>
                  <w:rPr>
                    <w:rFonts w:ascii="Arial"/>
                    <w:color w:val="0000FF"/>
                  </w:rPr>
                  <w:t>Pg ID 2821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0"/>
      <w:numFmt w:val="decimal"/>
      <w:lvlText w:val="%1."/>
      <w:lvlJc w:val="left"/>
      <w:pPr>
        <w:ind w:left="120" w:hanging="456"/>
        <w:jc w:val="left"/>
      </w:pPr>
      <w:rPr>
        <w:rFonts w:hint="default" w:ascii="Times New Roman" w:hAnsi="Times New Roman" w:eastAsia="Times New Roman" w:cs="Times New Roman"/>
        <w:spacing w:val="-25"/>
        <w:w w:val="99"/>
        <w:sz w:val="24"/>
        <w:szCs w:val="24"/>
      </w:rPr>
    </w:lvl>
    <w:lvl w:ilvl="1">
      <w:start w:val="1"/>
      <w:numFmt w:val="decimal"/>
      <w:lvlText w:val="(%2)"/>
      <w:lvlJc w:val="left"/>
      <w:pPr>
        <w:ind w:left="1560" w:hanging="415"/>
        <w:jc w:val="left"/>
      </w:pPr>
      <w:rPr>
        <w:rFonts w:hint="default" w:ascii="Times New Roman" w:hAnsi="Times New Roman" w:eastAsia="Times New Roman" w:cs="Times New Roman"/>
        <w:spacing w:val="-21"/>
        <w:w w:val="99"/>
        <w:sz w:val="24"/>
        <w:szCs w:val="24"/>
      </w:rPr>
    </w:lvl>
    <w:lvl w:ilvl="2">
      <w:start w:val="0"/>
      <w:numFmt w:val="bullet"/>
      <w:lvlText w:val="•"/>
      <w:lvlJc w:val="left"/>
      <w:pPr>
        <w:ind w:left="2280" w:hanging="415"/>
      </w:pPr>
      <w:rPr>
        <w:rFonts w:hint="default"/>
      </w:rPr>
    </w:lvl>
    <w:lvl w:ilvl="3">
      <w:start w:val="0"/>
      <w:numFmt w:val="bullet"/>
      <w:lvlText w:val="•"/>
      <w:lvlJc w:val="left"/>
      <w:pPr>
        <w:ind w:left="3195" w:hanging="415"/>
      </w:pPr>
      <w:rPr>
        <w:rFonts w:hint="default"/>
      </w:rPr>
    </w:lvl>
    <w:lvl w:ilvl="4">
      <w:start w:val="0"/>
      <w:numFmt w:val="bullet"/>
      <w:lvlText w:val="•"/>
      <w:lvlJc w:val="left"/>
      <w:pPr>
        <w:ind w:left="4110" w:hanging="415"/>
      </w:pPr>
      <w:rPr>
        <w:rFonts w:hint="default"/>
      </w:rPr>
    </w:lvl>
    <w:lvl w:ilvl="5">
      <w:start w:val="0"/>
      <w:numFmt w:val="bullet"/>
      <w:lvlText w:val="•"/>
      <w:lvlJc w:val="left"/>
      <w:pPr>
        <w:ind w:left="5025" w:hanging="415"/>
      </w:pPr>
      <w:rPr>
        <w:rFonts w:hint="default"/>
      </w:rPr>
    </w:lvl>
    <w:lvl w:ilvl="6">
      <w:start w:val="0"/>
      <w:numFmt w:val="bullet"/>
      <w:lvlText w:val="•"/>
      <w:lvlJc w:val="left"/>
      <w:pPr>
        <w:ind w:left="5940" w:hanging="415"/>
      </w:pPr>
      <w:rPr>
        <w:rFonts w:hint="default"/>
      </w:rPr>
    </w:lvl>
    <w:lvl w:ilvl="7">
      <w:start w:val="0"/>
      <w:numFmt w:val="bullet"/>
      <w:lvlText w:val="•"/>
      <w:lvlJc w:val="left"/>
      <w:pPr>
        <w:ind w:left="6855" w:hanging="415"/>
      </w:pPr>
      <w:rPr>
        <w:rFonts w:hint="default"/>
      </w:rPr>
    </w:lvl>
    <w:lvl w:ilvl="8">
      <w:start w:val="0"/>
      <w:numFmt w:val="bullet"/>
      <w:lvlText w:val="•"/>
      <w:lvlJc w:val="left"/>
      <w:pPr>
        <w:ind w:left="7770" w:hanging="415"/>
      </w:pPr>
      <w:rPr>
        <w:rFonts w:hint="default"/>
      </w:rPr>
    </w:lvl>
  </w:abstractNum>
  <w:abstractNum w:abstractNumId="6">
    <w:multiLevelType w:val="hybridMultilevel"/>
    <w:lvl w:ilvl="0">
      <w:start w:val="2"/>
      <w:numFmt w:val="decimal"/>
      <w:lvlText w:val="%1."/>
      <w:lvlJc w:val="left"/>
      <w:pPr>
        <w:ind w:left="2280" w:hanging="360"/>
        <w:jc w:val="left"/>
      </w:pPr>
      <w:rPr>
        <w:rFonts w:hint="default" w:ascii="Times New Roman" w:hAnsi="Times New Roman" w:eastAsia="Times New Roman" w:cs="Times New Roman"/>
        <w:b/>
        <w:bCs/>
        <w:spacing w:val="-1"/>
        <w:w w:val="99"/>
        <w:sz w:val="24"/>
        <w:szCs w:val="24"/>
      </w:rPr>
    </w:lvl>
    <w:lvl w:ilvl="1">
      <w:start w:val="1"/>
      <w:numFmt w:val="lowerLetter"/>
      <w:lvlText w:val="%2."/>
      <w:lvlJc w:val="left"/>
      <w:pPr>
        <w:ind w:left="3000" w:hanging="360"/>
        <w:jc w:val="left"/>
      </w:pPr>
      <w:rPr>
        <w:rFonts w:hint="default" w:ascii="Times New Roman" w:hAnsi="Times New Roman" w:eastAsia="Times New Roman" w:cs="Times New Roman"/>
        <w:b/>
        <w:bCs/>
        <w:w w:val="99"/>
        <w:sz w:val="24"/>
        <w:szCs w:val="24"/>
      </w:rPr>
    </w:lvl>
    <w:lvl w:ilvl="2">
      <w:start w:val="0"/>
      <w:numFmt w:val="bullet"/>
      <w:lvlText w:val="•"/>
      <w:lvlJc w:val="left"/>
      <w:pPr>
        <w:ind w:left="3733" w:hanging="360"/>
      </w:pPr>
      <w:rPr>
        <w:rFonts w:hint="default"/>
      </w:rPr>
    </w:lvl>
    <w:lvl w:ilvl="3">
      <w:start w:val="0"/>
      <w:numFmt w:val="bullet"/>
      <w:lvlText w:val="•"/>
      <w:lvlJc w:val="left"/>
      <w:pPr>
        <w:ind w:left="4466" w:hanging="360"/>
      </w:pPr>
      <w:rPr>
        <w:rFonts w:hint="default"/>
      </w:rPr>
    </w:lvl>
    <w:lvl w:ilvl="4">
      <w:start w:val="0"/>
      <w:numFmt w:val="bullet"/>
      <w:lvlText w:val="•"/>
      <w:lvlJc w:val="left"/>
      <w:pPr>
        <w:ind w:left="5200" w:hanging="360"/>
      </w:pPr>
      <w:rPr>
        <w:rFonts w:hint="default"/>
      </w:rPr>
    </w:lvl>
    <w:lvl w:ilvl="5">
      <w:start w:val="0"/>
      <w:numFmt w:val="bullet"/>
      <w:lvlText w:val="•"/>
      <w:lvlJc w:val="left"/>
      <w:pPr>
        <w:ind w:left="5933" w:hanging="360"/>
      </w:pPr>
      <w:rPr>
        <w:rFonts w:hint="default"/>
      </w:rPr>
    </w:lvl>
    <w:lvl w:ilvl="6">
      <w:start w:val="0"/>
      <w:numFmt w:val="bullet"/>
      <w:lvlText w:val="•"/>
      <w:lvlJc w:val="left"/>
      <w:pPr>
        <w:ind w:left="6666" w:hanging="360"/>
      </w:pPr>
      <w:rPr>
        <w:rFonts w:hint="default"/>
      </w:rPr>
    </w:lvl>
    <w:lvl w:ilvl="7">
      <w:start w:val="0"/>
      <w:numFmt w:val="bullet"/>
      <w:lvlText w:val="•"/>
      <w:lvlJc w:val="left"/>
      <w:pPr>
        <w:ind w:left="7400" w:hanging="360"/>
      </w:pPr>
      <w:rPr>
        <w:rFonts w:hint="default"/>
      </w:rPr>
    </w:lvl>
    <w:lvl w:ilvl="8">
      <w:start w:val="0"/>
      <w:numFmt w:val="bullet"/>
      <w:lvlText w:val="•"/>
      <w:lvlJc w:val="left"/>
      <w:pPr>
        <w:ind w:left="8133" w:hanging="360"/>
      </w:pPr>
      <w:rPr>
        <w:rFonts w:hint="default"/>
      </w:rPr>
    </w:lvl>
  </w:abstractNum>
  <w:abstractNum w:abstractNumId="5">
    <w:multiLevelType w:val="hybridMultilevel"/>
    <w:lvl w:ilvl="0">
      <w:start w:val="3"/>
      <w:numFmt w:val="decimal"/>
      <w:lvlText w:val="%1."/>
      <w:lvlJc w:val="left"/>
      <w:pPr>
        <w:ind w:left="491" w:hanging="372"/>
        <w:jc w:val="left"/>
      </w:pPr>
      <w:rPr>
        <w:rFonts w:hint="default" w:ascii="Times New Roman" w:hAnsi="Times New Roman" w:eastAsia="Times New Roman" w:cs="Times New Roman"/>
        <w:spacing w:val="-26"/>
        <w:w w:val="99"/>
        <w:sz w:val="24"/>
        <w:szCs w:val="24"/>
      </w:rPr>
    </w:lvl>
    <w:lvl w:ilvl="1">
      <w:start w:val="0"/>
      <w:numFmt w:val="bullet"/>
      <w:lvlText w:val=""/>
      <w:lvlJc w:val="left"/>
      <w:pPr>
        <w:ind w:left="1560" w:hanging="360"/>
      </w:pPr>
      <w:rPr>
        <w:rFonts w:hint="default" w:ascii="Symbol" w:hAnsi="Symbol" w:eastAsia="Symbol" w:cs="Symbol"/>
        <w:w w:val="100"/>
        <w:sz w:val="24"/>
        <w:szCs w:val="24"/>
      </w:rPr>
    </w:lvl>
    <w:lvl w:ilvl="2">
      <w:start w:val="0"/>
      <w:numFmt w:val="bullet"/>
      <w:lvlText w:val="•"/>
      <w:lvlJc w:val="left"/>
      <w:pPr>
        <w:ind w:left="2453" w:hanging="360"/>
      </w:pPr>
      <w:rPr>
        <w:rFonts w:hint="default"/>
      </w:rPr>
    </w:lvl>
    <w:lvl w:ilvl="3">
      <w:start w:val="0"/>
      <w:numFmt w:val="bullet"/>
      <w:lvlText w:val="•"/>
      <w:lvlJc w:val="left"/>
      <w:pPr>
        <w:ind w:left="3346" w:hanging="360"/>
      </w:pPr>
      <w:rPr>
        <w:rFonts w:hint="default"/>
      </w:rPr>
    </w:lvl>
    <w:lvl w:ilvl="4">
      <w:start w:val="0"/>
      <w:numFmt w:val="bullet"/>
      <w:lvlText w:val="•"/>
      <w:lvlJc w:val="left"/>
      <w:pPr>
        <w:ind w:left="4240" w:hanging="360"/>
      </w:pPr>
      <w:rPr>
        <w:rFonts w:hint="default"/>
      </w:rPr>
    </w:lvl>
    <w:lvl w:ilvl="5">
      <w:start w:val="0"/>
      <w:numFmt w:val="bullet"/>
      <w:lvlText w:val="•"/>
      <w:lvlJc w:val="left"/>
      <w:pPr>
        <w:ind w:left="5133" w:hanging="360"/>
      </w:pPr>
      <w:rPr>
        <w:rFonts w:hint="default"/>
      </w:rPr>
    </w:lvl>
    <w:lvl w:ilvl="6">
      <w:start w:val="0"/>
      <w:numFmt w:val="bullet"/>
      <w:lvlText w:val="•"/>
      <w:lvlJc w:val="left"/>
      <w:pPr>
        <w:ind w:left="6026" w:hanging="360"/>
      </w:pPr>
      <w:rPr>
        <w:rFonts w:hint="default"/>
      </w:rPr>
    </w:lvl>
    <w:lvl w:ilvl="7">
      <w:start w:val="0"/>
      <w:numFmt w:val="bullet"/>
      <w:lvlText w:val="•"/>
      <w:lvlJc w:val="left"/>
      <w:pPr>
        <w:ind w:left="6920" w:hanging="360"/>
      </w:pPr>
      <w:rPr>
        <w:rFonts w:hint="default"/>
      </w:rPr>
    </w:lvl>
    <w:lvl w:ilvl="8">
      <w:start w:val="0"/>
      <w:numFmt w:val="bullet"/>
      <w:lvlText w:val="•"/>
      <w:lvlJc w:val="left"/>
      <w:pPr>
        <w:ind w:left="7813" w:hanging="360"/>
      </w:pPr>
      <w:rPr>
        <w:rFonts w:hint="default"/>
      </w:rPr>
    </w:lvl>
  </w:abstractNum>
  <w:abstractNum w:abstractNumId="4">
    <w:multiLevelType w:val="hybridMultilevel"/>
    <w:lvl w:ilvl="0">
      <w:start w:val="6"/>
      <w:numFmt w:val="decimal"/>
      <w:lvlText w:val="%1."/>
      <w:lvlJc w:val="left"/>
      <w:pPr>
        <w:ind w:left="419" w:hanging="300"/>
        <w:jc w:val="left"/>
      </w:pPr>
      <w:rPr>
        <w:rFonts w:hint="default" w:ascii="Times New Roman" w:hAnsi="Times New Roman" w:eastAsia="Times New Roman" w:cs="Times New Roman"/>
        <w:spacing w:val="-2"/>
        <w:w w:val="99"/>
        <w:sz w:val="24"/>
        <w:szCs w:val="24"/>
      </w:rPr>
    </w:lvl>
    <w:lvl w:ilvl="1">
      <w:start w:val="2"/>
      <w:numFmt w:val="decimal"/>
      <w:lvlText w:val="%2."/>
      <w:lvlJc w:val="left"/>
      <w:pPr>
        <w:ind w:left="1920" w:hanging="360"/>
        <w:jc w:val="left"/>
      </w:pPr>
      <w:rPr>
        <w:rFonts w:hint="default" w:ascii="Times New Roman" w:hAnsi="Times New Roman" w:eastAsia="Times New Roman" w:cs="Times New Roman"/>
        <w:b/>
        <w:bCs/>
        <w:spacing w:val="-1"/>
        <w:w w:val="99"/>
        <w:sz w:val="24"/>
        <w:szCs w:val="24"/>
      </w:rPr>
    </w:lvl>
    <w:lvl w:ilvl="2">
      <w:start w:val="0"/>
      <w:numFmt w:val="bullet"/>
      <w:lvlText w:val="•"/>
      <w:lvlJc w:val="left"/>
      <w:pPr>
        <w:ind w:left="2773" w:hanging="360"/>
      </w:pPr>
      <w:rPr>
        <w:rFonts w:hint="default"/>
      </w:rPr>
    </w:lvl>
    <w:lvl w:ilvl="3">
      <w:start w:val="0"/>
      <w:numFmt w:val="bullet"/>
      <w:lvlText w:val="•"/>
      <w:lvlJc w:val="left"/>
      <w:pPr>
        <w:ind w:left="3626" w:hanging="360"/>
      </w:pPr>
      <w:rPr>
        <w:rFonts w:hint="default"/>
      </w:rPr>
    </w:lvl>
    <w:lvl w:ilvl="4">
      <w:start w:val="0"/>
      <w:numFmt w:val="bullet"/>
      <w:lvlText w:val="•"/>
      <w:lvlJc w:val="left"/>
      <w:pPr>
        <w:ind w:left="4480" w:hanging="360"/>
      </w:pPr>
      <w:rPr>
        <w:rFonts w:hint="default"/>
      </w:rPr>
    </w:lvl>
    <w:lvl w:ilvl="5">
      <w:start w:val="0"/>
      <w:numFmt w:val="bullet"/>
      <w:lvlText w:val="•"/>
      <w:lvlJc w:val="left"/>
      <w:pPr>
        <w:ind w:left="5333" w:hanging="360"/>
      </w:pPr>
      <w:rPr>
        <w:rFonts w:hint="default"/>
      </w:rPr>
    </w:lvl>
    <w:lvl w:ilvl="6">
      <w:start w:val="0"/>
      <w:numFmt w:val="bullet"/>
      <w:lvlText w:val="•"/>
      <w:lvlJc w:val="left"/>
      <w:pPr>
        <w:ind w:left="6186" w:hanging="360"/>
      </w:pPr>
      <w:rPr>
        <w:rFonts w:hint="default"/>
      </w:rPr>
    </w:lvl>
    <w:lvl w:ilvl="7">
      <w:start w:val="0"/>
      <w:numFmt w:val="bullet"/>
      <w:lvlText w:val="•"/>
      <w:lvlJc w:val="left"/>
      <w:pPr>
        <w:ind w:left="7040" w:hanging="360"/>
      </w:pPr>
      <w:rPr>
        <w:rFonts w:hint="default"/>
      </w:rPr>
    </w:lvl>
    <w:lvl w:ilvl="8">
      <w:start w:val="0"/>
      <w:numFmt w:val="bullet"/>
      <w:lvlText w:val="•"/>
      <w:lvlJc w:val="left"/>
      <w:pPr>
        <w:ind w:left="7893" w:hanging="360"/>
      </w:pPr>
      <w:rPr>
        <w:rFonts w:hint="default"/>
      </w:rPr>
    </w:lvl>
  </w:abstractNum>
  <w:abstractNum w:abstractNumId="3">
    <w:multiLevelType w:val="hybridMultilevel"/>
    <w:lvl w:ilvl="0">
      <w:start w:val="0"/>
      <w:numFmt w:val="bullet"/>
      <w:lvlText w:val=""/>
      <w:lvlJc w:val="left"/>
      <w:pPr>
        <w:ind w:left="1560" w:hanging="360"/>
      </w:pPr>
      <w:rPr>
        <w:rFonts w:hint="default" w:ascii="Symbol" w:hAnsi="Symbol" w:eastAsia="Symbol" w:cs="Symbol"/>
        <w:w w:val="100"/>
        <w:sz w:val="24"/>
        <w:szCs w:val="24"/>
      </w:rPr>
    </w:lvl>
    <w:lvl w:ilvl="1">
      <w:start w:val="0"/>
      <w:numFmt w:val="bullet"/>
      <w:lvlText w:val="•"/>
      <w:lvlJc w:val="left"/>
      <w:pPr>
        <w:ind w:left="2364" w:hanging="360"/>
      </w:pPr>
      <w:rPr>
        <w:rFonts w:hint="default"/>
      </w:rPr>
    </w:lvl>
    <w:lvl w:ilvl="2">
      <w:start w:val="0"/>
      <w:numFmt w:val="bullet"/>
      <w:lvlText w:val="•"/>
      <w:lvlJc w:val="left"/>
      <w:pPr>
        <w:ind w:left="3168" w:hanging="360"/>
      </w:pPr>
      <w:rPr>
        <w:rFonts w:hint="default"/>
      </w:rPr>
    </w:lvl>
    <w:lvl w:ilvl="3">
      <w:start w:val="0"/>
      <w:numFmt w:val="bullet"/>
      <w:lvlText w:val="•"/>
      <w:lvlJc w:val="left"/>
      <w:pPr>
        <w:ind w:left="3972" w:hanging="360"/>
      </w:pPr>
      <w:rPr>
        <w:rFonts w:hint="default"/>
      </w:rPr>
    </w:lvl>
    <w:lvl w:ilvl="4">
      <w:start w:val="0"/>
      <w:numFmt w:val="bullet"/>
      <w:lvlText w:val="•"/>
      <w:lvlJc w:val="left"/>
      <w:pPr>
        <w:ind w:left="4776" w:hanging="360"/>
      </w:pPr>
      <w:rPr>
        <w:rFonts w:hint="default"/>
      </w:rPr>
    </w:lvl>
    <w:lvl w:ilvl="5">
      <w:start w:val="0"/>
      <w:numFmt w:val="bullet"/>
      <w:lvlText w:val="•"/>
      <w:lvlJc w:val="left"/>
      <w:pPr>
        <w:ind w:left="5580" w:hanging="360"/>
      </w:pPr>
      <w:rPr>
        <w:rFonts w:hint="default"/>
      </w:rPr>
    </w:lvl>
    <w:lvl w:ilvl="6">
      <w:start w:val="0"/>
      <w:numFmt w:val="bullet"/>
      <w:lvlText w:val="•"/>
      <w:lvlJc w:val="left"/>
      <w:pPr>
        <w:ind w:left="6384" w:hanging="360"/>
      </w:pPr>
      <w:rPr>
        <w:rFonts w:hint="default"/>
      </w:rPr>
    </w:lvl>
    <w:lvl w:ilvl="7">
      <w:start w:val="0"/>
      <w:numFmt w:val="bullet"/>
      <w:lvlText w:val="•"/>
      <w:lvlJc w:val="left"/>
      <w:pPr>
        <w:ind w:left="7188" w:hanging="360"/>
      </w:pPr>
      <w:rPr>
        <w:rFonts w:hint="default"/>
      </w:rPr>
    </w:lvl>
    <w:lvl w:ilvl="8">
      <w:start w:val="0"/>
      <w:numFmt w:val="bullet"/>
      <w:lvlText w:val="•"/>
      <w:lvlJc w:val="left"/>
      <w:pPr>
        <w:ind w:left="7992" w:hanging="360"/>
      </w:pPr>
      <w:rPr>
        <w:rFonts w:hint="default"/>
      </w:rPr>
    </w:lvl>
  </w:abstractNum>
  <w:abstractNum w:abstractNumId="2">
    <w:multiLevelType w:val="hybridMultilevel"/>
    <w:lvl w:ilvl="0">
      <w:start w:val="5"/>
      <w:numFmt w:val="lowerRoman"/>
      <w:lvlText w:val="%1."/>
      <w:lvlJc w:val="left"/>
      <w:pPr>
        <w:ind w:left="400" w:hanging="281"/>
        <w:jc w:val="left"/>
      </w:pPr>
      <w:rPr>
        <w:rFonts w:hint="default"/>
        <w:spacing w:val="-20"/>
        <w:w w:val="99"/>
        <w:u w:val="single" w:color="000000"/>
      </w:rPr>
    </w:lvl>
    <w:lvl w:ilvl="1">
      <w:start w:val="1"/>
      <w:numFmt w:val="upperLetter"/>
      <w:lvlText w:val="%2."/>
      <w:lvlJc w:val="left"/>
      <w:pPr>
        <w:ind w:left="1200" w:hanging="360"/>
        <w:jc w:val="left"/>
      </w:pPr>
      <w:rPr>
        <w:rFonts w:hint="default" w:ascii="Times New Roman" w:hAnsi="Times New Roman" w:eastAsia="Times New Roman" w:cs="Times New Roman"/>
        <w:b/>
        <w:bCs/>
        <w:spacing w:val="-1"/>
        <w:w w:val="99"/>
        <w:sz w:val="24"/>
        <w:szCs w:val="24"/>
      </w:rPr>
    </w:lvl>
    <w:lvl w:ilvl="2">
      <w:start w:val="1"/>
      <w:numFmt w:val="decimal"/>
      <w:lvlText w:val="%3."/>
      <w:lvlJc w:val="left"/>
      <w:pPr>
        <w:ind w:left="1920" w:hanging="360"/>
        <w:jc w:val="left"/>
      </w:pPr>
      <w:rPr>
        <w:rFonts w:hint="default" w:ascii="Times New Roman" w:hAnsi="Times New Roman" w:eastAsia="Times New Roman" w:cs="Times New Roman"/>
        <w:b/>
        <w:bCs/>
        <w:w w:val="99"/>
        <w:sz w:val="24"/>
        <w:szCs w:val="24"/>
      </w:rPr>
    </w:lvl>
    <w:lvl w:ilvl="3">
      <w:start w:val="0"/>
      <w:numFmt w:val="bullet"/>
      <w:lvlText w:val="•"/>
      <w:lvlJc w:val="left"/>
      <w:pPr>
        <w:ind w:left="2280" w:hanging="360"/>
      </w:pPr>
      <w:rPr>
        <w:rFonts w:hint="default"/>
      </w:rPr>
    </w:lvl>
    <w:lvl w:ilvl="4">
      <w:start w:val="0"/>
      <w:numFmt w:val="bullet"/>
      <w:lvlText w:val="•"/>
      <w:lvlJc w:val="left"/>
      <w:pPr>
        <w:ind w:left="3325" w:hanging="360"/>
      </w:pPr>
      <w:rPr>
        <w:rFonts w:hint="default"/>
      </w:rPr>
    </w:lvl>
    <w:lvl w:ilvl="5">
      <w:start w:val="0"/>
      <w:numFmt w:val="bullet"/>
      <w:lvlText w:val="•"/>
      <w:lvlJc w:val="left"/>
      <w:pPr>
        <w:ind w:left="4371" w:hanging="360"/>
      </w:pPr>
      <w:rPr>
        <w:rFonts w:hint="default"/>
      </w:rPr>
    </w:lvl>
    <w:lvl w:ilvl="6">
      <w:start w:val="0"/>
      <w:numFmt w:val="bullet"/>
      <w:lvlText w:val="•"/>
      <w:lvlJc w:val="left"/>
      <w:pPr>
        <w:ind w:left="5417" w:hanging="360"/>
      </w:pPr>
      <w:rPr>
        <w:rFonts w:hint="default"/>
      </w:rPr>
    </w:lvl>
    <w:lvl w:ilvl="7">
      <w:start w:val="0"/>
      <w:numFmt w:val="bullet"/>
      <w:lvlText w:val="•"/>
      <w:lvlJc w:val="left"/>
      <w:pPr>
        <w:ind w:left="6462" w:hanging="360"/>
      </w:pPr>
      <w:rPr>
        <w:rFonts w:hint="default"/>
      </w:rPr>
    </w:lvl>
    <w:lvl w:ilvl="8">
      <w:start w:val="0"/>
      <w:numFmt w:val="bullet"/>
      <w:lvlText w:val="•"/>
      <w:lvlJc w:val="left"/>
      <w:pPr>
        <w:ind w:left="7508" w:hanging="360"/>
      </w:pPr>
      <w:rPr>
        <w:rFonts w:hint="default"/>
      </w:rPr>
    </w:lvl>
  </w:abstractNum>
  <w:abstractNum w:abstractNumId="1">
    <w:multiLevelType w:val="hybridMultilevel"/>
    <w:lvl w:ilvl="0">
      <w:start w:val="1"/>
      <w:numFmt w:val="lowerLetter"/>
      <w:lvlText w:val="(%1)"/>
      <w:lvlJc w:val="left"/>
      <w:pPr>
        <w:ind w:left="1560" w:hanging="358"/>
        <w:jc w:val="left"/>
      </w:pPr>
      <w:rPr>
        <w:rFonts w:hint="default" w:ascii="Times New Roman" w:hAnsi="Times New Roman" w:eastAsia="Times New Roman" w:cs="Times New Roman"/>
        <w:spacing w:val="-30"/>
        <w:w w:val="99"/>
        <w:sz w:val="24"/>
        <w:szCs w:val="24"/>
      </w:rPr>
    </w:lvl>
    <w:lvl w:ilvl="1">
      <w:start w:val="0"/>
      <w:numFmt w:val="bullet"/>
      <w:lvlText w:val="•"/>
      <w:lvlJc w:val="left"/>
      <w:pPr>
        <w:ind w:left="2364" w:hanging="358"/>
      </w:pPr>
      <w:rPr>
        <w:rFonts w:hint="default"/>
      </w:rPr>
    </w:lvl>
    <w:lvl w:ilvl="2">
      <w:start w:val="0"/>
      <w:numFmt w:val="bullet"/>
      <w:lvlText w:val="•"/>
      <w:lvlJc w:val="left"/>
      <w:pPr>
        <w:ind w:left="3168" w:hanging="358"/>
      </w:pPr>
      <w:rPr>
        <w:rFonts w:hint="default"/>
      </w:rPr>
    </w:lvl>
    <w:lvl w:ilvl="3">
      <w:start w:val="0"/>
      <w:numFmt w:val="bullet"/>
      <w:lvlText w:val="•"/>
      <w:lvlJc w:val="left"/>
      <w:pPr>
        <w:ind w:left="3972" w:hanging="358"/>
      </w:pPr>
      <w:rPr>
        <w:rFonts w:hint="default"/>
      </w:rPr>
    </w:lvl>
    <w:lvl w:ilvl="4">
      <w:start w:val="0"/>
      <w:numFmt w:val="bullet"/>
      <w:lvlText w:val="•"/>
      <w:lvlJc w:val="left"/>
      <w:pPr>
        <w:ind w:left="4776" w:hanging="358"/>
      </w:pPr>
      <w:rPr>
        <w:rFonts w:hint="default"/>
      </w:rPr>
    </w:lvl>
    <w:lvl w:ilvl="5">
      <w:start w:val="0"/>
      <w:numFmt w:val="bullet"/>
      <w:lvlText w:val="•"/>
      <w:lvlJc w:val="left"/>
      <w:pPr>
        <w:ind w:left="5580" w:hanging="358"/>
      </w:pPr>
      <w:rPr>
        <w:rFonts w:hint="default"/>
      </w:rPr>
    </w:lvl>
    <w:lvl w:ilvl="6">
      <w:start w:val="0"/>
      <w:numFmt w:val="bullet"/>
      <w:lvlText w:val="•"/>
      <w:lvlJc w:val="left"/>
      <w:pPr>
        <w:ind w:left="6384" w:hanging="358"/>
      </w:pPr>
      <w:rPr>
        <w:rFonts w:hint="default"/>
      </w:rPr>
    </w:lvl>
    <w:lvl w:ilvl="7">
      <w:start w:val="0"/>
      <w:numFmt w:val="bullet"/>
      <w:lvlText w:val="•"/>
      <w:lvlJc w:val="left"/>
      <w:pPr>
        <w:ind w:left="7188" w:hanging="358"/>
      </w:pPr>
      <w:rPr>
        <w:rFonts w:hint="default"/>
      </w:rPr>
    </w:lvl>
    <w:lvl w:ilvl="8">
      <w:start w:val="0"/>
      <w:numFmt w:val="bullet"/>
      <w:lvlText w:val="•"/>
      <w:lvlJc w:val="left"/>
      <w:pPr>
        <w:ind w:left="7992" w:hanging="358"/>
      </w:pPr>
      <w:rPr>
        <w:rFonts w:hint="default"/>
      </w:rPr>
    </w:lvl>
  </w:abstractNum>
  <w:abstractNum w:abstractNumId="0">
    <w:multiLevelType w:val="hybridMultilevel"/>
    <w:lvl w:ilvl="0">
      <w:start w:val="1"/>
      <w:numFmt w:val="upperRoman"/>
      <w:lvlText w:val="%1."/>
      <w:lvlJc w:val="left"/>
      <w:pPr>
        <w:ind w:left="3976" w:hanging="274"/>
        <w:jc w:val="right"/>
      </w:pPr>
      <w:rPr>
        <w:rFonts w:hint="default" w:ascii="Times New Roman" w:hAnsi="Times New Roman" w:eastAsia="Times New Roman" w:cs="Times New Roman"/>
        <w:b/>
        <w:bCs/>
        <w:spacing w:val="-1"/>
        <w:w w:val="99"/>
        <w:sz w:val="24"/>
        <w:szCs w:val="24"/>
      </w:rPr>
    </w:lvl>
    <w:lvl w:ilvl="1">
      <w:start w:val="0"/>
      <w:numFmt w:val="bullet"/>
      <w:lvlText w:val="•"/>
      <w:lvlJc w:val="left"/>
      <w:pPr>
        <w:ind w:left="4542" w:hanging="274"/>
      </w:pPr>
      <w:rPr>
        <w:rFonts w:hint="default"/>
      </w:rPr>
    </w:lvl>
    <w:lvl w:ilvl="2">
      <w:start w:val="0"/>
      <w:numFmt w:val="bullet"/>
      <w:lvlText w:val="•"/>
      <w:lvlJc w:val="left"/>
      <w:pPr>
        <w:ind w:left="5104" w:hanging="274"/>
      </w:pPr>
      <w:rPr>
        <w:rFonts w:hint="default"/>
      </w:rPr>
    </w:lvl>
    <w:lvl w:ilvl="3">
      <w:start w:val="0"/>
      <w:numFmt w:val="bullet"/>
      <w:lvlText w:val="•"/>
      <w:lvlJc w:val="left"/>
      <w:pPr>
        <w:ind w:left="5666" w:hanging="274"/>
      </w:pPr>
      <w:rPr>
        <w:rFonts w:hint="default"/>
      </w:rPr>
    </w:lvl>
    <w:lvl w:ilvl="4">
      <w:start w:val="0"/>
      <w:numFmt w:val="bullet"/>
      <w:lvlText w:val="•"/>
      <w:lvlJc w:val="left"/>
      <w:pPr>
        <w:ind w:left="6228" w:hanging="274"/>
      </w:pPr>
      <w:rPr>
        <w:rFonts w:hint="default"/>
      </w:rPr>
    </w:lvl>
    <w:lvl w:ilvl="5">
      <w:start w:val="0"/>
      <w:numFmt w:val="bullet"/>
      <w:lvlText w:val="•"/>
      <w:lvlJc w:val="left"/>
      <w:pPr>
        <w:ind w:left="6790" w:hanging="274"/>
      </w:pPr>
      <w:rPr>
        <w:rFonts w:hint="default"/>
      </w:rPr>
    </w:lvl>
    <w:lvl w:ilvl="6">
      <w:start w:val="0"/>
      <w:numFmt w:val="bullet"/>
      <w:lvlText w:val="•"/>
      <w:lvlJc w:val="left"/>
      <w:pPr>
        <w:ind w:left="7352" w:hanging="274"/>
      </w:pPr>
      <w:rPr>
        <w:rFonts w:hint="default"/>
      </w:rPr>
    </w:lvl>
    <w:lvl w:ilvl="7">
      <w:start w:val="0"/>
      <w:numFmt w:val="bullet"/>
      <w:lvlText w:val="•"/>
      <w:lvlJc w:val="left"/>
      <w:pPr>
        <w:ind w:left="7914" w:hanging="274"/>
      </w:pPr>
      <w:rPr>
        <w:rFonts w:hint="default"/>
      </w:rPr>
    </w:lvl>
    <w:lvl w:ilvl="8">
      <w:start w:val="0"/>
      <w:numFmt w:val="bullet"/>
      <w:lvlText w:val="•"/>
      <w:lvlJc w:val="left"/>
      <w:pPr>
        <w:ind w:left="8476" w:hanging="274"/>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20"/>
    </w:pPr>
    <w:rPr>
      <w:rFonts w:ascii="Times New Roman" w:hAnsi="Times New Roman" w:eastAsia="Times New Roman" w:cs="Times New Roman"/>
      <w:sz w:val="24"/>
      <w:szCs w:val="24"/>
    </w:rPr>
  </w:style>
  <w:style w:styleId="Heading1" w:type="paragraph">
    <w:name w:val="Heading 1"/>
    <w:basedOn w:val="Normal"/>
    <w:uiPriority w:val="1"/>
    <w:qFormat/>
    <w:pPr>
      <w:ind w:left="1920" w:hanging="36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56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yperlink" Target="http://www.justice.gov/criminal/ocgs/gangs/" TargetMode="External"/><Relationship Id="rId23" Type="http://schemas.openxmlformats.org/officeDocument/2006/relationships/header" Target="header17.xml"/><Relationship Id="rId24" Type="http://schemas.openxmlformats.org/officeDocument/2006/relationships/header" Target="header18.xml"/><Relationship Id="rId25" Type="http://schemas.openxmlformats.org/officeDocument/2006/relationships/header" Target="header19.xml"/><Relationship Id="rId26" Type="http://schemas.openxmlformats.org/officeDocument/2006/relationships/header" Target="header20.xml"/><Relationship Id="rId27" Type="http://schemas.openxmlformats.org/officeDocument/2006/relationships/header" Target="header21.xml"/><Relationship Id="rId28" Type="http://schemas.openxmlformats.org/officeDocument/2006/relationships/header" Target="header22.xml"/><Relationship Id="rId29" Type="http://schemas.openxmlformats.org/officeDocument/2006/relationships/header" Target="header23.xml"/><Relationship Id="rId30" Type="http://schemas.openxmlformats.org/officeDocument/2006/relationships/header" Target="header24.xml"/><Relationship Id="rId31" Type="http://schemas.openxmlformats.org/officeDocument/2006/relationships/header" Target="header25.xml"/><Relationship Id="rId32" Type="http://schemas.openxmlformats.org/officeDocument/2006/relationships/header" Target="header26.xml"/><Relationship Id="rId33" Type="http://schemas.openxmlformats.org/officeDocument/2006/relationships/header" Target="header27.xml"/><Relationship Id="rId3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goltz</dc:creator>
  <dc:title>Microsoft Word - 12-20287 US v. Norwood (op re Daubert) v9.docx</dc:title>
  <dcterms:created xsi:type="dcterms:W3CDTF">2019-02-19T17:15:24Z</dcterms:created>
  <dcterms:modified xsi:type="dcterms:W3CDTF">2019-02-19T17:15:24Z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2014-04-29T00:00:00Z</vt:filetime>
  </property>
  <property fmtid="{D5CDD505-2E9C-101B-9397-08002B2CF9AE}" pid="3" name="Creator">
    <vt:lpwstr>PScript5.dll Version 5.2.2</vt:lpwstr>
  </property>
  <property fmtid="{D5CDD505-2E9C-101B-9397-08002B2CF9AE}" pid="4" name="LastSaved">
    <vt:filetime>2019-02-19T00:00:00Z</vt:filetime>
  </property>
</Properties>
</file>