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861" w:firstLine="0"/>
        <w:rPr>
          <w:rFonts w:ascii="Arial"/>
        </w:rPr>
      </w:pPr>
      <w:r>
        <w:rPr>
          <w:rFonts w:ascii="Arial"/>
          <w:color w:val="0000FF"/>
        </w:rPr>
        <w:t>Case 3:17-cv-00939-WHA Document 202 Filed 04/10/17 Page 1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2240" w:h="15840"/>
          <w:pgMar w:top="200" w:bottom="0" w:left="1340" w:right="800"/>
        </w:sectPr>
      </w:pPr>
    </w:p>
    <w:p>
      <w:pPr>
        <w:pStyle w:val="BodyText"/>
        <w:spacing w:before="90"/>
        <w:ind w:left="278" w:firstLine="0"/>
      </w:pPr>
      <w:r>
        <w:rPr/>
        <w:t>1</w:t>
      </w:r>
    </w:p>
    <w:p>
      <w:pPr>
        <w:pStyle w:val="BodyText"/>
        <w:ind w:left="278" w:firstLine="0"/>
      </w:pPr>
      <w:r>
        <w:rPr/>
        <w:t>2</w:t>
      </w:r>
    </w:p>
    <w:p>
      <w:pPr>
        <w:pStyle w:val="BodyText"/>
        <w:ind w:left="278" w:firstLine="0"/>
      </w:pPr>
      <w:r>
        <w:rPr/>
        <w:t>3</w:t>
      </w:r>
    </w:p>
    <w:p>
      <w:pPr>
        <w:pStyle w:val="BodyText"/>
        <w:ind w:left="278" w:firstLine="0"/>
      </w:pPr>
      <w:r>
        <w:rPr/>
        <w:t>4</w:t>
      </w:r>
    </w:p>
    <w:p>
      <w:pPr>
        <w:pStyle w:val="BodyText"/>
        <w:spacing w:before="193"/>
        <w:ind w:left="278" w:firstLine="0"/>
      </w:pPr>
      <w:r>
        <w:rPr/>
        <w:t>5</w:t>
      </w:r>
    </w:p>
    <w:p>
      <w:pPr>
        <w:pStyle w:val="BodyText"/>
        <w:ind w:left="278" w:firstLine="0"/>
      </w:pPr>
      <w:r>
        <w:rPr/>
        <w:t>6</w:t>
      </w:r>
    </w:p>
    <w:p>
      <w:pPr>
        <w:pStyle w:val="BodyText"/>
        <w:ind w:left="278" w:firstLine="0"/>
      </w:pPr>
      <w:r>
        <w:rPr/>
        <w:t>7</w:t>
      </w:r>
    </w:p>
    <w:p>
      <w:pPr>
        <w:pStyle w:val="BodyText"/>
        <w:ind w:left="278" w:firstLine="0"/>
      </w:pPr>
      <w:r>
        <w:rPr/>
        <w:t>8</w:t>
      </w:r>
    </w:p>
    <w:p>
      <w:pPr>
        <w:pStyle w:val="BodyText"/>
        <w:tabs>
          <w:tab w:pos="729" w:val="left" w:leader="none"/>
        </w:tabs>
        <w:spacing w:before="187"/>
        <w:ind w:left="278" w:firstLine="0"/>
      </w:pPr>
      <w:r>
        <w:rPr>
          <w:position w:val="12"/>
        </w:rPr>
        <w:t>9</w:t>
        <w:tab/>
      </w:r>
      <w:r>
        <w:rPr/>
        <w:t>WAYMO</w:t>
      </w:r>
      <w:r>
        <w:rPr>
          <w:spacing w:val="-7"/>
        </w:rPr>
        <w:t> </w:t>
      </w:r>
      <w:r>
        <w:rPr/>
        <w:t>LLC,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line="609" w:lineRule="auto" w:before="169"/>
        <w:ind w:left="278" w:right="1941" w:firstLine="345"/>
      </w:pPr>
      <w:r>
        <w:rPr/>
        <w:t>IN THE UNITED STATES DISTRICT COURT FOR THE NORTHERN DISTRICT OF CALIFORNIA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10"/>
        <w:ind w:left="0" w:firstLine="0"/>
      </w:pPr>
    </w:p>
    <w:p>
      <w:pPr>
        <w:pStyle w:val="BodyText"/>
        <w:spacing w:before="0"/>
        <w:ind w:left="4088" w:firstLine="0"/>
      </w:pPr>
      <w:r>
        <w:rPr/>
        <w:t>No. C 17-00939 WHA</w:t>
      </w:r>
    </w:p>
    <w:p>
      <w:pPr>
        <w:spacing w:after="0"/>
        <w:sectPr>
          <w:type w:val="continuous"/>
          <w:pgSz w:w="12240" w:h="15840"/>
          <w:pgMar w:top="200" w:bottom="0" w:left="1340" w:right="800"/>
          <w:cols w:num="2" w:equalWidth="0">
            <w:col w:w="2299" w:space="103"/>
            <w:col w:w="7698"/>
          </w:cols>
        </w:sectPr>
      </w:pPr>
    </w:p>
    <w:p>
      <w:pPr>
        <w:pStyle w:val="BodyText"/>
        <w:spacing w:before="77"/>
        <w:ind w:left="158" w:firstLine="0"/>
      </w:pPr>
      <w:r>
        <w:rPr/>
        <w:t>10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187" w:lineRule="auto" w:before="214" w:after="0"/>
        <w:ind w:left="970" w:right="0" w:hanging="812"/>
        <w:jc w:val="left"/>
        <w:rPr>
          <w:sz w:val="24"/>
        </w:rPr>
      </w:pPr>
      <w:r>
        <w:rPr>
          <w:position w:val="-11"/>
          <w:sz w:val="24"/>
        </w:rPr>
        <w:t>v.</w:t>
      </w:r>
    </w:p>
    <w:p>
      <w:pPr>
        <w:pStyle w:val="BodyText"/>
        <w:ind w:left="158" w:firstLine="0"/>
      </w:pPr>
      <w:r>
        <w:rPr/>
        <w:br w:type="column"/>
      </w:r>
      <w:r>
        <w:rPr/>
        <w:t>Plaintiff,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ind w:left="0" w:firstLine="0"/>
        <w:rPr>
          <w:sz w:val="31"/>
        </w:rPr>
      </w:pPr>
    </w:p>
    <w:p>
      <w:pPr>
        <w:pStyle w:val="Heading1"/>
        <w:spacing w:line="244" w:lineRule="exact"/>
      </w:pPr>
      <w:r>
        <w:rPr/>
        <w:t>ORDER DENYING MOTION</w:t>
      </w:r>
    </w:p>
    <w:p>
      <w:pPr>
        <w:spacing w:after="0" w:line="244" w:lineRule="exact"/>
        <w:sectPr>
          <w:type w:val="continuous"/>
          <w:pgSz w:w="12240" w:h="15840"/>
          <w:pgMar w:top="200" w:bottom="0" w:left="1340" w:right="800"/>
          <w:cols w:num="3" w:equalWidth="0">
            <w:col w:w="1191" w:space="821"/>
            <w:col w:w="1046" w:space="3273"/>
            <w:col w:w="3769"/>
          </w:cols>
        </w:sectPr>
      </w:pP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03" w:after="0"/>
        <w:ind w:left="730" w:right="0" w:hanging="572"/>
        <w:jc w:val="left"/>
        <w:rPr>
          <w:sz w:val="24"/>
        </w:rPr>
      </w:pPr>
      <w:r>
        <w:rPr>
          <w:sz w:val="24"/>
        </w:rPr>
        <w:t>UBER TECHNOLOGIES, INC., </w:t>
      </w:r>
      <w:r>
        <w:rPr>
          <w:i/>
          <w:sz w:val="24"/>
        </w:rPr>
        <w:t>et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al.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2169" w:val="left" w:leader="none"/>
          <w:tab w:pos="2170" w:val="left" w:leader="none"/>
        </w:tabs>
        <w:spacing w:line="374" w:lineRule="exact" w:before="72" w:after="0"/>
        <w:ind w:left="2170" w:right="0" w:hanging="2012"/>
        <w:jc w:val="left"/>
        <w:rPr>
          <w:sz w:val="24"/>
        </w:rPr>
      </w:pPr>
      <w:r>
        <w:rPr>
          <w:sz w:val="24"/>
        </w:rPr>
        <w:t>Defendants.</w:t>
      </w:r>
    </w:p>
    <w:p>
      <w:pPr>
        <w:pStyle w:val="BodyText"/>
        <w:tabs>
          <w:tab w:pos="4869" w:val="left" w:leader="none"/>
        </w:tabs>
        <w:spacing w:line="374" w:lineRule="exact" w:before="0"/>
        <w:ind w:left="158" w:firstLine="0"/>
      </w:pPr>
      <w:r>
        <w:rPr/>
        <w:pict>
          <v:line style="position:absolute;mso-position-horizontal-relative:page;mso-position-vertical-relative:paragraph;z-index:-18856" from="103.5pt,11.623712pt" to="310.5pt,11.623712pt" stroked="true" strokeweight=".72pt" strokecolor="#000000">
            <v:stroke dashstyle="solid"/>
            <w10:wrap type="none"/>
          </v:line>
        </w:pict>
      </w:r>
      <w:r>
        <w:rPr/>
        <w:t>14</w:t>
        <w:tab/>
      </w:r>
      <w:r>
        <w:rPr>
          <w:position w:val="12"/>
        </w:rPr>
        <w:t>/</w:t>
      </w:r>
    </w:p>
    <w:p>
      <w:pPr>
        <w:pStyle w:val="Heading1"/>
        <w:spacing w:line="204" w:lineRule="auto" w:before="22"/>
        <w:ind w:right="184"/>
      </w:pPr>
      <w:r>
        <w:rPr>
          <w:b w:val="0"/>
        </w:rPr>
        <w:br w:type="column"/>
      </w:r>
      <w:r>
        <w:rPr/>
        <w:t>TO MODIFY PRIVILEGE LOG REQUIREMENTS BASED ON FIFTH AMENDMENT</w:t>
      </w:r>
    </w:p>
    <w:p>
      <w:pPr>
        <w:spacing w:after="0" w:line="204" w:lineRule="auto"/>
        <w:sectPr>
          <w:type w:val="continuous"/>
          <w:pgSz w:w="12240" w:h="15840"/>
          <w:pgMar w:top="200" w:bottom="0" w:left="1340" w:right="800"/>
          <w:cols w:num="2" w:equalWidth="0">
            <w:col w:w="4977" w:space="1354"/>
            <w:col w:w="3769"/>
          </w:cols>
        </w:sectPr>
      </w:pPr>
    </w:p>
    <w:p>
      <w:pPr>
        <w:pStyle w:val="BodyText"/>
        <w:spacing w:before="10"/>
        <w:ind w:left="0" w:firstLine="0"/>
        <w:rPr>
          <w:b/>
          <w:sz w:val="8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90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4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262238pt;margin-top:306.568481pt;width:29.45pt;height:169.5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2"/>
        </w:numPr>
        <w:tabs>
          <w:tab w:pos="4405" w:val="left" w:leader="none"/>
          <w:tab w:pos="4406" w:val="left" w:leader="none"/>
        </w:tabs>
        <w:spacing w:line="240" w:lineRule="auto" w:before="85" w:after="0"/>
        <w:ind w:left="4405" w:right="0" w:hanging="4247"/>
        <w:jc w:val="left"/>
        <w:rPr>
          <w:b/>
          <w:sz w:val="24"/>
        </w:rPr>
      </w:pPr>
      <w:r>
        <w:rPr>
          <w:b/>
          <w:sz w:val="24"/>
        </w:rPr>
        <w:t>INTRODUCTION</w:t>
      </w:r>
    </w:p>
    <w:p>
      <w:pPr>
        <w:pStyle w:val="ListParagraph"/>
        <w:numPr>
          <w:ilvl w:val="0"/>
          <w:numId w:val="2"/>
        </w:numPr>
        <w:tabs>
          <w:tab w:pos="1449" w:val="left" w:leader="none"/>
          <w:tab w:pos="1450" w:val="left" w:leader="none"/>
        </w:tabs>
        <w:spacing w:line="240" w:lineRule="auto" w:before="72" w:after="0"/>
        <w:ind w:left="1450" w:right="0" w:hanging="1292"/>
        <w:jc w:val="left"/>
        <w:rPr>
          <w:sz w:val="24"/>
        </w:rPr>
      </w:pPr>
      <w:r>
        <w:rPr>
          <w:sz w:val="24"/>
        </w:rPr>
        <w:t>In this action for trade secret misappropriation, patent infringement, and</w:t>
      </w:r>
      <w:r>
        <w:rPr>
          <w:spacing w:val="-2"/>
          <w:sz w:val="24"/>
        </w:rPr>
        <w:t> </w:t>
      </w:r>
      <w:r>
        <w:rPr>
          <w:sz w:val="24"/>
        </w:rPr>
        <w:t>unfair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competition, a non-party moves to prevent defendants from providing a conventional</w:t>
      </w:r>
      <w:r>
        <w:rPr>
          <w:spacing w:val="-5"/>
          <w:sz w:val="24"/>
        </w:rPr>
        <w:t> </w:t>
      </w:r>
      <w:r>
        <w:rPr>
          <w:sz w:val="24"/>
        </w:rPr>
        <w:t>privilege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log based on Fifth Amendment and attorney-client grounds. The motion is</w:t>
      </w:r>
      <w:r>
        <w:rPr>
          <w:spacing w:val="-1"/>
          <w:sz w:val="24"/>
        </w:rPr>
        <w:t> </w:t>
      </w:r>
      <w:r>
        <w:rPr>
          <w:b/>
          <w:sz w:val="24"/>
        </w:rPr>
        <w:t>D</w:t>
      </w:r>
      <w:r>
        <w:rPr>
          <w:b/>
          <w:sz w:val="19"/>
        </w:rPr>
        <w:t>ENIED</w:t>
      </w:r>
      <w:r>
        <w:rPr>
          <w:sz w:val="24"/>
        </w:rPr>
        <w:t>.</w:t>
      </w:r>
    </w:p>
    <w:p>
      <w:pPr>
        <w:pStyle w:val="Heading1"/>
        <w:numPr>
          <w:ilvl w:val="0"/>
          <w:numId w:val="2"/>
        </w:numPr>
        <w:tabs>
          <w:tab w:pos="4613" w:val="left" w:leader="none"/>
          <w:tab w:pos="4614" w:val="left" w:leader="none"/>
        </w:tabs>
        <w:spacing w:line="240" w:lineRule="auto" w:before="72" w:after="0"/>
        <w:ind w:left="4613" w:right="0" w:hanging="4455"/>
        <w:jc w:val="left"/>
      </w:pPr>
      <w:r>
        <w:rPr/>
        <w:t>STATEMENT</w:t>
      </w:r>
    </w:p>
    <w:p>
      <w:pPr>
        <w:pStyle w:val="ListParagraph"/>
        <w:numPr>
          <w:ilvl w:val="0"/>
          <w:numId w:val="2"/>
        </w:numPr>
        <w:tabs>
          <w:tab w:pos="1449" w:val="left" w:leader="none"/>
          <w:tab w:pos="1450" w:val="left" w:leader="none"/>
        </w:tabs>
        <w:spacing w:line="240" w:lineRule="auto" w:before="72" w:after="0"/>
        <w:ind w:left="1450" w:right="0" w:hanging="1292"/>
        <w:jc w:val="left"/>
        <w:rPr>
          <w:sz w:val="24"/>
        </w:rPr>
      </w:pPr>
      <w:r>
        <w:rPr>
          <w:sz w:val="24"/>
        </w:rPr>
        <w:t>A cornerstone of the case by Waymo LLC is its evidence that non-party</w:t>
      </w:r>
      <w:r>
        <w:rPr>
          <w:spacing w:val="-3"/>
          <w:sz w:val="24"/>
        </w:rPr>
        <w:t> </w:t>
      </w:r>
      <w:r>
        <w:rPr>
          <w:sz w:val="24"/>
        </w:rPr>
        <w:t>Anthony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Levandowski downloaded over 14,000 files containing its trade secrets and</w:t>
      </w:r>
      <w:r>
        <w:rPr>
          <w:spacing w:val="-1"/>
          <w:sz w:val="24"/>
        </w:rPr>
        <w:t> </w:t>
      </w:r>
      <w:r>
        <w:rPr>
          <w:sz w:val="24"/>
        </w:rPr>
        <w:t>proprietary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information pertaining to self-driving cars to his company-issued laptop, transferred them to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portable storage device, wiped the laptop clean, then promptly left his position at Waymo</w:t>
      </w:r>
      <w:r>
        <w:rPr>
          <w:spacing w:val="-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the downloads to start his own competing autonomous-vehicle ventures, defendants</w:t>
      </w:r>
      <w:r>
        <w:rPr>
          <w:spacing w:val="-5"/>
          <w:sz w:val="24"/>
        </w:rPr>
        <w:t> </w:t>
      </w:r>
      <w:r>
        <w:rPr>
          <w:sz w:val="24"/>
        </w:rPr>
        <w:t>Ottomotto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LLC and Otto Trucking LLC. Shortly thereafter, defendant Uber Technologies, Inc.,</w:t>
      </w:r>
      <w:r>
        <w:rPr>
          <w:spacing w:val="-1"/>
          <w:sz w:val="24"/>
        </w:rPr>
        <w:t> </w:t>
      </w:r>
      <w:r>
        <w:rPr>
          <w:sz w:val="24"/>
        </w:rPr>
        <w:t>acquired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the new ventures for $680 million. Uber then quickly progressed in its own development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competing self-driving vehicles. This, Waymo contends, is how Uber accomplished in</w:t>
      </w:r>
      <w:r>
        <w:rPr>
          <w:spacing w:val="-6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72" w:after="0"/>
        <w:ind w:left="730" w:right="0" w:hanging="572"/>
        <w:jc w:val="left"/>
        <w:rPr>
          <w:sz w:val="24"/>
        </w:rPr>
      </w:pPr>
      <w:r>
        <w:rPr>
          <w:sz w:val="24"/>
        </w:rPr>
        <w:t>nine months what it took Waymo seven years to</w:t>
      </w:r>
      <w:r>
        <w:rPr>
          <w:spacing w:val="-1"/>
          <w:sz w:val="24"/>
        </w:rPr>
        <w:t> </w:t>
      </w:r>
      <w:r>
        <w:rPr>
          <w:sz w:val="24"/>
        </w:rPr>
        <w:t>do.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00" w:bottom="0" w:left="1340" w:right="800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80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4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2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449" w:val="left" w:leader="none"/>
          <w:tab w:pos="1450" w:val="left" w:leader="none"/>
        </w:tabs>
        <w:spacing w:line="240" w:lineRule="auto" w:before="90" w:after="0"/>
        <w:ind w:left="1450" w:right="0" w:hanging="1172"/>
        <w:jc w:val="left"/>
        <w:rPr>
          <w:sz w:val="24"/>
        </w:rPr>
      </w:pPr>
      <w:r>
        <w:rPr>
          <w:sz w:val="24"/>
        </w:rPr>
        <w:t>Waymo has moved for provisional relief against defendants. A hearing on that</w:t>
      </w:r>
      <w:r>
        <w:rPr>
          <w:spacing w:val="-7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remains scheduled for May 3. On March 16, after a case management conference, an</w:t>
      </w:r>
      <w:r>
        <w:rPr>
          <w:spacing w:val="-4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approved a plan for expedited discovery (Dkt. No. 61). That order required, among</w:t>
      </w:r>
      <w:r>
        <w:rPr>
          <w:spacing w:val="-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things, that defendants produce by March 31 “all files and documents downloaded by</w:t>
      </w:r>
      <w:r>
        <w:rPr>
          <w:spacing w:val="-2"/>
          <w:sz w:val="24"/>
        </w:rPr>
        <w:t> </w:t>
      </w:r>
      <w:r>
        <w:rPr>
          <w:sz w:val="24"/>
        </w:rPr>
        <w:t>Anthony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Levandowski . . . before leaving plaintiff’s payroll and thereafter taken by [him],” and “the</w:t>
      </w:r>
      <w:r>
        <w:rPr>
          <w:spacing w:val="-2"/>
          <w:sz w:val="24"/>
        </w:rPr>
        <w:t> </w:t>
      </w:r>
      <w:r>
        <w:rPr>
          <w:sz w:val="24"/>
        </w:rPr>
        <w:t>card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reader, thumb drive, or other media used for the downloads, as well as all subsequent</w:t>
      </w:r>
      <w:r>
        <w:rPr>
          <w:spacing w:val="-5"/>
          <w:sz w:val="24"/>
        </w:rPr>
        <w:t> </w:t>
      </w:r>
      <w:r>
        <w:rPr>
          <w:sz w:val="24"/>
        </w:rPr>
        <w:t>emails,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memoranda, PowerPoints, text messages, or notes that have forwarded, used, or referred to</w:t>
      </w:r>
      <w:r>
        <w:rPr>
          <w:spacing w:val="-5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part of said downloaded material” (</w:t>
      </w:r>
      <w:r>
        <w:rPr>
          <w:i/>
          <w:sz w:val="24"/>
        </w:rPr>
        <w:t>id. </w:t>
      </w:r>
      <w:r>
        <w:rPr>
          <w:sz w:val="24"/>
        </w:rPr>
        <w:t>at ¶</w:t>
      </w:r>
      <w:r>
        <w:rPr>
          <w:spacing w:val="-2"/>
          <w:sz w:val="24"/>
        </w:rPr>
        <w:t> </w:t>
      </w:r>
      <w:r>
        <w:rPr>
          <w:sz w:val="24"/>
        </w:rPr>
        <w:t>4).</w:t>
      </w:r>
    </w:p>
    <w:p>
      <w:pPr>
        <w:pStyle w:val="ListParagraph"/>
        <w:numPr>
          <w:ilvl w:val="1"/>
          <w:numId w:val="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On March 28, defendants requested a non-public conference to address a</w:t>
      </w:r>
      <w:r>
        <w:rPr>
          <w:spacing w:val="-1"/>
          <w:sz w:val="24"/>
        </w:rPr>
        <w:t> </w:t>
      </w:r>
      <w:r>
        <w:rPr>
          <w:sz w:val="24"/>
        </w:rPr>
        <w:t>“confidential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matter . . . to protect legitimate privacy concerns” (Dkt. No. 122 at 2). Defendants did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disclose the subject of the requested conference in advance to either Waymo or the</w:t>
      </w:r>
      <w:r>
        <w:rPr>
          <w:spacing w:val="-3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Nevertheless, the Court convened the conference provisionally under seal with the caveat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transcript might be made public afterwards. Counsel for both sides appeared but</w:t>
      </w:r>
      <w:r>
        <w:rPr>
          <w:spacing w:val="-3"/>
          <w:sz w:val="24"/>
        </w:rPr>
        <w:t> </w:t>
      </w:r>
      <w:r>
        <w:rPr>
          <w:sz w:val="24"/>
        </w:rPr>
        <w:t>new,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separate counsel appeared for non-party Levandowski. (The transcript from the</w:t>
      </w:r>
      <w:r>
        <w:rPr>
          <w:spacing w:val="-4"/>
          <w:sz w:val="24"/>
        </w:rPr>
        <w:t> </w:t>
      </w:r>
      <w:r>
        <w:rPr>
          <w:sz w:val="24"/>
        </w:rPr>
        <w:t>conference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became public soon</w:t>
      </w:r>
      <w:r>
        <w:rPr>
          <w:spacing w:val="-1"/>
          <w:sz w:val="24"/>
        </w:rPr>
        <w:t> </w:t>
      </w:r>
      <w:r>
        <w:rPr>
          <w:sz w:val="24"/>
        </w:rPr>
        <w:t>thereafter.)</w:t>
      </w:r>
    </w:p>
    <w:p>
      <w:pPr>
        <w:pStyle w:val="ListParagraph"/>
        <w:numPr>
          <w:ilvl w:val="1"/>
          <w:numId w:val="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During the conference, defense counsel indicated that, in the process of</w:t>
      </w:r>
      <w:r>
        <w:rPr>
          <w:spacing w:val="-1"/>
          <w:sz w:val="24"/>
        </w:rPr>
        <w:t> </w:t>
      </w:r>
      <w:r>
        <w:rPr>
          <w:sz w:val="24"/>
        </w:rPr>
        <w:t>acquiring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Levandowski’s companies, Uber obtained a “due diligence” report prepared by a “third</w:t>
      </w:r>
      <w:r>
        <w:rPr>
          <w:spacing w:val="-2"/>
          <w:sz w:val="24"/>
        </w:rPr>
        <w:t> </w:t>
      </w:r>
      <w:r>
        <w:rPr>
          <w:sz w:val="24"/>
        </w:rPr>
        <w:t>party”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that may have referenced allegedly downloaded documents. To facilitate access to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held by Levandowski, both sides of the transaction and, this order assumes for the sake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argument, the third party entered into a joint defense agreement, in an effort to cloak the</w:t>
      </w:r>
      <w:r>
        <w:rPr>
          <w:spacing w:val="-3"/>
          <w:sz w:val="24"/>
        </w:rPr>
        <w:t> </w:t>
      </w:r>
      <w:r>
        <w:rPr>
          <w:sz w:val="24"/>
        </w:rPr>
        <w:t>due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diligence review by the third party under a claim of privilege. Evidently, some or all of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14,000-plus files downloaded from Waymo were then disclosed to the third party or to</w:t>
      </w:r>
      <w:r>
        <w:rPr>
          <w:spacing w:val="-6"/>
          <w:sz w:val="24"/>
        </w:rPr>
        <w:t> </w:t>
      </w:r>
      <w:r>
        <w:rPr>
          <w:sz w:val="24"/>
        </w:rPr>
        <w:t>Uber,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although that is an interpretation of the circumstances and not a direct</w:t>
      </w:r>
      <w:r>
        <w:rPr>
          <w:spacing w:val="-2"/>
          <w:sz w:val="24"/>
        </w:rPr>
        <w:t> </w:t>
      </w:r>
      <w:r>
        <w:rPr>
          <w:sz w:val="24"/>
        </w:rPr>
        <w:t>admission.</w:t>
      </w:r>
    </w:p>
    <w:p>
      <w:pPr>
        <w:pStyle w:val="ListParagraph"/>
        <w:numPr>
          <w:ilvl w:val="1"/>
          <w:numId w:val="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At the conference, counsel for defendants further indicated that they intended to put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report on a privilege log. Pursuant to a standing order, privilege logs must identify, with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to each communication for which a claim of privilege is made (Judge Alsup’s</w:t>
      </w:r>
      <w:r>
        <w:rPr>
          <w:spacing w:val="-7"/>
          <w:sz w:val="24"/>
        </w:rPr>
        <w:t> </w:t>
      </w:r>
      <w:r>
        <w:rPr>
          <w:sz w:val="24"/>
        </w:rPr>
        <w:t>Supplemental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Order to Order Setting Initial CMC in Civil Cases (effective Mar. 17,</w:t>
      </w:r>
      <w:r>
        <w:rPr>
          <w:spacing w:val="-1"/>
          <w:sz w:val="24"/>
        </w:rPr>
        <w:t> </w:t>
      </w:r>
      <w:r>
        <w:rPr>
          <w:sz w:val="24"/>
        </w:rPr>
        <w:t>2016),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hyperlink r:id="rId6">
        <w:r>
          <w:rPr>
            <w:color w:val="0000FF"/>
            <w:sz w:val="24"/>
            <w:u w:val="single" w:color="0000FF"/>
          </w:rPr>
          <w:t>http://www.cand.uscourts.gov/whaorders</w:t>
        </w:r>
        <w:r>
          <w:rPr>
            <w:sz w:val="24"/>
          </w:rPr>
          <w:t>):</w:t>
        </w:r>
      </w:hyperlink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2240" w:h="15840"/>
          <w:pgMar w:footer="788" w:header="0" w:top="200" w:bottom="980" w:left="1340" w:right="800"/>
          <w:pgNumType w:start="2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73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1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3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449" w:val="left" w:leader="none"/>
          <w:tab w:pos="1450" w:val="left" w:leader="none"/>
          <w:tab w:pos="2169" w:val="left" w:leader="none"/>
        </w:tabs>
        <w:spacing w:line="240" w:lineRule="auto" w:before="90" w:after="0"/>
        <w:ind w:left="1450" w:right="0" w:hanging="1172"/>
        <w:jc w:val="left"/>
        <w:rPr>
          <w:sz w:val="24"/>
        </w:rPr>
      </w:pPr>
      <w:r>
        <w:rPr>
          <w:sz w:val="24"/>
        </w:rPr>
        <w:t>(a)</w:t>
        <w:tab/>
        <w:t>all persons making or receiving the privileged or</w:t>
      </w:r>
      <w:r>
        <w:rPr>
          <w:spacing w:val="-1"/>
          <w:sz w:val="24"/>
        </w:rPr>
        <w:t> </w:t>
      </w:r>
      <w:r>
        <w:rPr>
          <w:sz w:val="24"/>
        </w:rPr>
        <w:t>protected</w:t>
      </w:r>
    </w:p>
    <w:p>
      <w:pPr>
        <w:pStyle w:val="ListParagraph"/>
        <w:numPr>
          <w:ilvl w:val="2"/>
          <w:numId w:val="2"/>
        </w:numPr>
        <w:tabs>
          <w:tab w:pos="2169" w:val="left" w:leader="none"/>
          <w:tab w:pos="2170" w:val="left" w:leader="none"/>
        </w:tabs>
        <w:spacing w:line="240" w:lineRule="auto" w:before="192" w:after="0"/>
        <w:ind w:left="2170" w:right="0" w:hanging="1892"/>
        <w:jc w:val="left"/>
        <w:rPr>
          <w:sz w:val="24"/>
        </w:rPr>
      </w:pPr>
      <w:r>
        <w:rPr>
          <w:sz w:val="24"/>
        </w:rPr>
        <w:t>communication;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  <w:tab w:pos="1450" w:val="left" w:leader="none"/>
          <w:tab w:pos="2169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(b)</w:t>
        <w:tab/>
        <w:t>the steps taken to ensure the confidentiality of the</w:t>
      </w:r>
      <w:r>
        <w:rPr>
          <w:spacing w:val="-3"/>
          <w:sz w:val="24"/>
        </w:rPr>
        <w:t> </w:t>
      </w:r>
      <w:r>
        <w:rPr>
          <w:sz w:val="24"/>
        </w:rPr>
        <w:t>communication,</w:t>
      </w:r>
    </w:p>
    <w:p>
      <w:pPr>
        <w:pStyle w:val="ListParagraph"/>
        <w:numPr>
          <w:ilvl w:val="2"/>
          <w:numId w:val="2"/>
        </w:numPr>
        <w:tabs>
          <w:tab w:pos="2169" w:val="left" w:leader="none"/>
          <w:tab w:pos="2170" w:val="left" w:leader="none"/>
        </w:tabs>
        <w:spacing w:line="240" w:lineRule="auto" w:before="192" w:after="0"/>
        <w:ind w:left="2170" w:right="0" w:hanging="1892"/>
        <w:jc w:val="left"/>
        <w:rPr>
          <w:sz w:val="24"/>
        </w:rPr>
      </w:pPr>
      <w:r>
        <w:rPr>
          <w:sz w:val="24"/>
        </w:rPr>
        <w:t>including affirmation that no unauthorized persons have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</w:p>
    <w:p>
      <w:pPr>
        <w:pStyle w:val="ListParagraph"/>
        <w:numPr>
          <w:ilvl w:val="2"/>
          <w:numId w:val="2"/>
        </w:numPr>
        <w:tabs>
          <w:tab w:pos="2169" w:val="left" w:leader="none"/>
          <w:tab w:pos="2170" w:val="left" w:leader="none"/>
        </w:tabs>
        <w:spacing w:line="240" w:lineRule="auto" w:before="193" w:after="0"/>
        <w:ind w:left="2170" w:right="0" w:hanging="1892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communication;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  <w:tab w:pos="1450" w:val="left" w:leader="none"/>
          <w:tab w:pos="2169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(c)</w:t>
        <w:tab/>
        <w:t>the date of the communication;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  <w:tab w:pos="1450" w:val="left" w:leader="none"/>
          <w:tab w:pos="2169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(d)</w:t>
        <w:tab/>
        <w:t>the subject matter of the</w:t>
      </w:r>
      <w:r>
        <w:rPr>
          <w:spacing w:val="-1"/>
          <w:sz w:val="24"/>
        </w:rPr>
        <w:t> </w:t>
      </w:r>
      <w:r>
        <w:rPr>
          <w:sz w:val="24"/>
        </w:rPr>
        <w:t>communication.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Additionally, privilege logs must be sufficiently detailed and informative to justify the</w:t>
      </w:r>
      <w:r>
        <w:rPr>
          <w:spacing w:val="-8"/>
          <w:sz w:val="24"/>
        </w:rPr>
        <w:t> </w:t>
      </w:r>
      <w:r>
        <w:rPr>
          <w:sz w:val="24"/>
        </w:rPr>
        <w:t>claimed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privilege(s), and indicate the locations where any purportedly privileged documents were</w:t>
      </w:r>
      <w:r>
        <w:rPr>
          <w:spacing w:val="-2"/>
          <w:sz w:val="24"/>
        </w:rPr>
        <w:t> </w:t>
      </w:r>
      <w:r>
        <w:rPr>
          <w:sz w:val="24"/>
        </w:rPr>
        <w:t>found.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Counsel for Levandowski, however, took the position that disclosing even the identity of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third party who had prepared the due diligence report on a privilege log would</w:t>
      </w:r>
      <w:r>
        <w:rPr>
          <w:spacing w:val="-4"/>
          <w:sz w:val="24"/>
        </w:rPr>
        <w:t> </w:t>
      </w:r>
      <w:r>
        <w:rPr>
          <w:sz w:val="24"/>
        </w:rPr>
        <w:t>compromise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Levandowski’s Fifth Amendment privilege against self-incrimination. Counsel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 therefore requested that defense counsel be prohibited from making any</w:t>
      </w:r>
      <w:r>
        <w:rPr>
          <w:spacing w:val="-4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disclosure. The undersigned judge declined to grant the requested relief during the conference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and indicated that Levandowski’s Fifth Amendment argument should be made via</w:t>
      </w:r>
      <w:r>
        <w:rPr>
          <w:spacing w:val="-5"/>
          <w:sz w:val="24"/>
        </w:rPr>
        <w:t> </w:t>
      </w:r>
      <w:r>
        <w:rPr>
          <w:sz w:val="24"/>
        </w:rPr>
        <w:t>formal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motion, if at</w:t>
      </w:r>
      <w:r>
        <w:rPr>
          <w:spacing w:val="-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Consequently, Levandowski now makes the instant motion based on claims of</w:t>
      </w:r>
      <w:r>
        <w:rPr>
          <w:spacing w:val="-4"/>
          <w:sz w:val="24"/>
        </w:rPr>
        <w:t> </w:t>
      </w:r>
      <w:r>
        <w:rPr>
          <w:sz w:val="24"/>
        </w:rPr>
        <w:t>Fifth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Amendment privilege and attorney-client privilege (Dkt. No. 147). The motion record is</w:t>
      </w:r>
      <w:r>
        <w:rPr>
          <w:spacing w:val="-5"/>
          <w:sz w:val="24"/>
        </w:rPr>
        <w:t> </w:t>
      </w:r>
      <w:r>
        <w:rPr>
          <w:sz w:val="24"/>
        </w:rPr>
        <w:t>thin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but includes a joint defense, common interest and confidentiality agreement (“joint</w:t>
      </w:r>
      <w:r>
        <w:rPr>
          <w:spacing w:val="-5"/>
          <w:sz w:val="24"/>
        </w:rPr>
        <w:t> </w:t>
      </w:r>
      <w:r>
        <w:rPr>
          <w:sz w:val="24"/>
        </w:rPr>
        <w:t>defense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agreement”), dated in April 2016, between the two sides in Uber’s acquisition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Levandowski’s companies (Dkt. No. 147-1). The joint defense agreement referred to</w:t>
      </w:r>
      <w:r>
        <w:rPr>
          <w:spacing w:val="-4"/>
          <w:sz w:val="24"/>
        </w:rPr>
        <w:t> </w:t>
      </w:r>
      <w:r>
        <w:rPr>
          <w:sz w:val="24"/>
        </w:rPr>
        <w:t>“potential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investigations, litigation, and/or other proceedings relating to the proposed transactions.” The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“litigation” or “other proceedings” under contemplation went unidentified. The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stated that the parties had a “common interest in opposing” such proceedings. It recited 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parties had already shared with each other “confidential and proprietary documents</w:t>
      </w:r>
      <w:r>
        <w:rPr>
          <w:spacing w:val="-2"/>
          <w:sz w:val="24"/>
        </w:rPr>
        <w:t> </w:t>
      </w:r>
      <w:r>
        <w:rPr>
          <w:sz w:val="24"/>
        </w:rPr>
        <w:t>containing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financial, operating and planning data.”  The agreement continued with classification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to maintain secrecy. It made no mention, however, of the Fifth Amendment or of how to</w:t>
      </w:r>
      <w:r>
        <w:rPr>
          <w:spacing w:val="-8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with privilege logs.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66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8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4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3"/>
          <w:numId w:val="2"/>
        </w:numPr>
        <w:tabs>
          <w:tab w:pos="1449" w:val="left" w:leader="none"/>
          <w:tab w:pos="1450" w:val="left" w:leader="none"/>
        </w:tabs>
        <w:spacing w:line="240" w:lineRule="auto" w:before="90" w:after="0"/>
        <w:ind w:left="1450" w:right="0" w:hanging="1172"/>
        <w:jc w:val="left"/>
        <w:rPr>
          <w:sz w:val="24"/>
        </w:rPr>
      </w:pPr>
      <w:r>
        <w:rPr>
          <w:sz w:val="24"/>
        </w:rPr>
        <w:t>Waymo opposes the motion. Defendants — despite defense counsel’s insistence that</w:t>
      </w:r>
      <w:r>
        <w:rPr>
          <w:spacing w:val="-6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“would love to put Mr. Levandowski on the stand” and asides that Levandowski’s silence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had an “adverse impact” on defendants (</w:t>
      </w:r>
      <w:r>
        <w:rPr>
          <w:i/>
          <w:sz w:val="24"/>
        </w:rPr>
        <w:t>e.g.</w:t>
      </w:r>
      <w:r>
        <w:rPr>
          <w:sz w:val="24"/>
        </w:rPr>
        <w:t>, Dkt. No. 131 at 16:3–16:11) — do not</w:t>
      </w:r>
      <w:r>
        <w:rPr>
          <w:spacing w:val="-2"/>
          <w:sz w:val="24"/>
        </w:rPr>
        <w:t> </w:t>
      </w:r>
      <w:r>
        <w:rPr>
          <w:sz w:val="24"/>
        </w:rPr>
        <w:t>oppose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Levandowski’s motion. This order follows briefing and oral</w:t>
      </w:r>
      <w:r>
        <w:rPr>
          <w:spacing w:val="-1"/>
          <w:sz w:val="24"/>
        </w:rPr>
        <w:t> </w:t>
      </w:r>
      <w:r>
        <w:rPr>
          <w:sz w:val="24"/>
        </w:rPr>
        <w:t>argument.</w:t>
      </w:r>
    </w:p>
    <w:p>
      <w:pPr>
        <w:pStyle w:val="Heading1"/>
        <w:numPr>
          <w:ilvl w:val="3"/>
          <w:numId w:val="2"/>
        </w:numPr>
        <w:tabs>
          <w:tab w:pos="4759" w:val="left" w:leader="none"/>
          <w:tab w:pos="4760" w:val="left" w:leader="none"/>
        </w:tabs>
        <w:spacing w:line="240" w:lineRule="auto" w:before="193" w:after="0"/>
        <w:ind w:left="4759" w:right="0" w:hanging="4481"/>
        <w:jc w:val="left"/>
      </w:pPr>
      <w:r>
        <w:rPr/>
        <w:t>ANALYSIS</w:t>
      </w:r>
    </w:p>
    <w:p>
      <w:pPr>
        <w:pStyle w:val="ListParagraph"/>
        <w:numPr>
          <w:ilvl w:val="3"/>
          <w:numId w:val="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It took considerable effort to pin down the actual relief sought by this motion.</w:t>
      </w:r>
      <w:r>
        <w:rPr>
          <w:spacing w:val="5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moving papers conveyed mixed messages. The notice of motion stated that the motion</w:t>
      </w:r>
      <w:r>
        <w:rPr>
          <w:spacing w:val="-8"/>
          <w:sz w:val="24"/>
        </w:rPr>
        <w:t> </w:t>
      </w:r>
      <w:r>
        <w:rPr>
          <w:sz w:val="24"/>
        </w:rPr>
        <w:t>sought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to prohibit Uber “from disclosing </w:t>
      </w:r>
      <w:r>
        <w:rPr>
          <w:i/>
          <w:sz w:val="24"/>
        </w:rPr>
        <w:t>any </w:t>
      </w:r>
      <w:r>
        <w:rPr>
          <w:sz w:val="24"/>
        </w:rPr>
        <w:t>information provided by Levandowski in the course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the [joint defense agreement], and specifically . . . information concerning the due</w:t>
      </w:r>
      <w:r>
        <w:rPr>
          <w:spacing w:val="-10"/>
          <w:sz w:val="24"/>
        </w:rPr>
        <w:t> </w:t>
      </w:r>
      <w:r>
        <w:rPr>
          <w:sz w:val="24"/>
        </w:rPr>
        <w:t>diligence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review conducted by a third party under that agreement, </w:t>
      </w:r>
      <w:r>
        <w:rPr>
          <w:i/>
          <w:sz w:val="24"/>
        </w:rPr>
        <w:t>including but not limited to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of the third party who conducted any such due diligence review, whether Mr.</w:t>
      </w:r>
      <w:r>
        <w:rPr>
          <w:spacing w:val="-1"/>
          <w:sz w:val="24"/>
        </w:rPr>
        <w:t> </w:t>
      </w:r>
      <w:r>
        <w:rPr>
          <w:sz w:val="24"/>
        </w:rPr>
        <w:t>Levandowski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possessed any documents that were reviewed by the third party, and the identity of any of</w:t>
      </w:r>
      <w:r>
        <w:rPr>
          <w:spacing w:val="-4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Levandowski’s possessions that may have been reviewed” (Dkt. No. 147 (emphasis</w:t>
      </w:r>
      <w:r>
        <w:rPr>
          <w:spacing w:val="-3"/>
          <w:sz w:val="24"/>
        </w:rPr>
        <w:t> </w:t>
      </w:r>
      <w:r>
        <w:rPr>
          <w:sz w:val="24"/>
        </w:rPr>
        <w:t>added)).</w:t>
      </w:r>
    </w:p>
    <w:p>
      <w:pPr>
        <w:pStyle w:val="ListParagraph"/>
        <w:numPr>
          <w:ilvl w:val="3"/>
          <w:numId w:val="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The memorandum of points and authorities, however, requested only “a modification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Court’s standing privilege log requirement” on the basis that it “would improperly</w:t>
      </w:r>
      <w:r>
        <w:rPr>
          <w:spacing w:val="-5"/>
          <w:sz w:val="24"/>
        </w:rPr>
        <w:t> </w:t>
      </w:r>
      <w:r>
        <w:rPr>
          <w:sz w:val="24"/>
        </w:rPr>
        <w:t>compel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Uber to disclose information protected by a common interest privilege and thereby</w:t>
      </w:r>
      <w:r>
        <w:rPr>
          <w:spacing w:val="-6"/>
          <w:sz w:val="24"/>
        </w:rPr>
        <w:t> </w:t>
      </w:r>
      <w:r>
        <w:rPr>
          <w:sz w:val="24"/>
        </w:rPr>
        <w:t>undermine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Mr. Levandowski’s Fifth Amendment right against compelled production as recognized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729" w:val="left" w:leader="none"/>
          <w:tab w:pos="730" w:val="left" w:leader="none"/>
        </w:tabs>
        <w:spacing w:line="408" w:lineRule="auto" w:before="192" w:after="0"/>
        <w:ind w:left="158" w:right="495" w:firstLine="0"/>
        <w:jc w:val="left"/>
        <w:rPr>
          <w:sz w:val="24"/>
        </w:rPr>
      </w:pPr>
      <w:r>
        <w:rPr>
          <w:sz w:val="24"/>
        </w:rPr>
        <w:t>Supreme Court in </w:t>
      </w:r>
      <w:r>
        <w:rPr>
          <w:i/>
          <w:sz w:val="24"/>
        </w:rPr>
        <w:t>United States v. Hubbell</w:t>
      </w:r>
      <w:r>
        <w:rPr>
          <w:sz w:val="24"/>
        </w:rPr>
        <w:t>, 530 U.S. 27 (2000), and </w:t>
      </w:r>
      <w:r>
        <w:rPr>
          <w:i/>
          <w:sz w:val="24"/>
        </w:rPr>
        <w:t>Fisher v. United States</w:t>
      </w:r>
      <w:r>
        <w:rPr>
          <w:sz w:val="24"/>
        </w:rPr>
        <w:t>, 19</w:t>
        <w:tab/>
        <w:t>425 U.S. 391 (1976)” (</w:t>
      </w:r>
      <w:r>
        <w:rPr>
          <w:i/>
          <w:sz w:val="24"/>
        </w:rPr>
        <w:t>id. </w:t>
      </w:r>
      <w:r>
        <w:rPr>
          <w:sz w:val="24"/>
        </w:rPr>
        <w:t>at 1). Specifically (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2):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04" w:lineRule="auto" w:before="31" w:after="0"/>
        <w:ind w:left="2260" w:right="1398" w:hanging="2102"/>
        <w:jc w:val="left"/>
        <w:rPr>
          <w:sz w:val="24"/>
        </w:rPr>
      </w:pPr>
      <w:r>
        <w:rPr>
          <w:sz w:val="24"/>
        </w:rPr>
        <w:t>Mr. Levandowski asks that Uber’s counsel . . . be relieved of any obligation to provide detail concerning (1) the identity of the</w:t>
      </w:r>
      <w:r>
        <w:rPr>
          <w:spacing w:val="-1"/>
          <w:sz w:val="24"/>
        </w:rPr>
        <w:t> </w:t>
      </w:r>
      <w:r>
        <w:rPr>
          <w:sz w:val="24"/>
        </w:rPr>
        <w:t>third-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04" w:lineRule="auto" w:before="0" w:after="0"/>
        <w:ind w:left="2260" w:right="1428" w:hanging="2102"/>
        <w:jc w:val="left"/>
        <w:rPr>
          <w:sz w:val="24"/>
        </w:rPr>
      </w:pPr>
      <w:r>
        <w:rPr>
          <w:sz w:val="24"/>
        </w:rPr>
        <w:t>party who conducted any such due diligence review, (2) whether Mr. Levandowski possessed any documents that were reviewed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by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04" w:lineRule="auto" w:before="0" w:after="0"/>
        <w:ind w:left="2260" w:right="1796" w:hanging="2102"/>
        <w:jc w:val="left"/>
        <w:rPr>
          <w:sz w:val="24"/>
        </w:rPr>
      </w:pPr>
      <w:r>
        <w:rPr>
          <w:sz w:val="24"/>
        </w:rPr>
        <w:t>the third party, or (3) the identity of any of Mr. Levandowski’s possessions that may have been</w:t>
      </w:r>
      <w:r>
        <w:rPr>
          <w:spacing w:val="-1"/>
          <w:sz w:val="24"/>
        </w:rPr>
        <w:t> </w:t>
      </w:r>
      <w:r>
        <w:rPr>
          <w:sz w:val="24"/>
        </w:rPr>
        <w:t>reviewed.</w:t>
      </w:r>
    </w:p>
    <w:p>
      <w:pPr>
        <w:pStyle w:val="BodyText"/>
        <w:spacing w:line="220" w:lineRule="exact" w:before="0"/>
        <w:ind w:left="158" w:firstLine="0"/>
      </w:pPr>
      <w:r>
        <w:rPr/>
        <w:t>23</w:t>
      </w:r>
    </w:p>
    <w:p>
      <w:pPr>
        <w:pStyle w:val="BodyText"/>
        <w:spacing w:line="234" w:lineRule="exact" w:before="0"/>
        <w:ind w:left="2260" w:firstLine="0"/>
      </w:pPr>
      <w:r>
        <w:rPr/>
        <w:t>This is necessary for two reasons. First, ordering public disclosure</w:t>
      </w:r>
    </w:p>
    <w:p>
      <w:pPr>
        <w:pStyle w:val="ListParagraph"/>
        <w:numPr>
          <w:ilvl w:val="0"/>
          <w:numId w:val="4"/>
        </w:numPr>
        <w:tabs>
          <w:tab w:pos="2259" w:val="left" w:leader="none"/>
          <w:tab w:pos="2260" w:val="left" w:leader="none"/>
        </w:tabs>
        <w:spacing w:line="204" w:lineRule="auto" w:before="10" w:after="0"/>
        <w:ind w:left="2260" w:right="1549" w:hanging="2102"/>
        <w:jc w:val="left"/>
        <w:rPr>
          <w:sz w:val="24"/>
        </w:rPr>
      </w:pPr>
      <w:r>
        <w:rPr>
          <w:sz w:val="24"/>
        </w:rPr>
        <w:t>of these facts on the privilege log would impair Mr. Levandowski’s attorney-client privilege because it would</w:t>
      </w:r>
      <w:r>
        <w:rPr>
          <w:spacing w:val="-3"/>
          <w:sz w:val="24"/>
        </w:rPr>
        <w:t> </w:t>
      </w:r>
      <w:r>
        <w:rPr>
          <w:sz w:val="24"/>
        </w:rPr>
        <w:t>compel</w:t>
      </w:r>
    </w:p>
    <w:p>
      <w:pPr>
        <w:pStyle w:val="ListParagraph"/>
        <w:numPr>
          <w:ilvl w:val="0"/>
          <w:numId w:val="4"/>
        </w:numPr>
        <w:tabs>
          <w:tab w:pos="2259" w:val="left" w:leader="none"/>
          <w:tab w:pos="2260" w:val="left" w:leader="none"/>
        </w:tabs>
        <w:spacing w:line="204" w:lineRule="auto" w:before="0" w:after="0"/>
        <w:ind w:left="2260" w:right="1626" w:hanging="2102"/>
        <w:jc w:val="left"/>
        <w:rPr>
          <w:sz w:val="24"/>
        </w:rPr>
      </w:pPr>
      <w:r>
        <w:rPr>
          <w:sz w:val="24"/>
        </w:rPr>
        <w:t>disclosures of confidences shared by Mr. Levandowski with his own counsel that were later communicated with other counsel</w:t>
      </w:r>
      <w:r>
        <w:rPr>
          <w:spacing w:val="-4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"/>
        </w:numPr>
        <w:tabs>
          <w:tab w:pos="2259" w:val="left" w:leader="none"/>
          <w:tab w:pos="2260" w:val="left" w:leader="none"/>
        </w:tabs>
        <w:spacing w:line="204" w:lineRule="auto" w:before="0" w:after="0"/>
        <w:ind w:left="2260" w:right="1453" w:hanging="2102"/>
        <w:jc w:val="left"/>
        <w:rPr>
          <w:sz w:val="24"/>
        </w:rPr>
      </w:pPr>
      <w:r>
        <w:rPr>
          <w:sz w:val="24"/>
        </w:rPr>
        <w:t>part of an enforceable joint defense and common interest privilege agreement. Second, requiring disclosure of these facts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"/>
        </w:numPr>
        <w:tabs>
          <w:tab w:pos="2259" w:val="left" w:leader="none"/>
          <w:tab w:pos="2260" w:val="left" w:leader="none"/>
        </w:tabs>
        <w:spacing w:line="241" w:lineRule="exact" w:before="0" w:after="0"/>
        <w:ind w:left="2260" w:right="0" w:hanging="2102"/>
        <w:jc w:val="left"/>
        <w:rPr>
          <w:sz w:val="24"/>
        </w:rPr>
      </w:pPr>
      <w:r>
        <w:rPr>
          <w:sz w:val="24"/>
        </w:rPr>
        <w:t>separately violate Mr. Levandowski’s Fifth Amendment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BodyText"/>
        <w:spacing w:before="190"/>
        <w:ind w:left="158" w:firstLine="0"/>
      </w:pPr>
      <w:r>
        <w:rPr/>
        <w:t>28</w:t>
      </w:r>
    </w:p>
    <w:p>
      <w:pPr>
        <w:spacing w:after="0"/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59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6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5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90" w:after="0"/>
        <w:ind w:left="730" w:right="0" w:hanging="452"/>
        <w:jc w:val="left"/>
        <w:rPr>
          <w:sz w:val="24"/>
        </w:rPr>
      </w:pPr>
      <w:r>
        <w:rPr>
          <w:sz w:val="24"/>
        </w:rPr>
        <w:t>Thus, from the papers, the scope of this motion remained unclear because the usual</w:t>
      </w:r>
      <w:r>
        <w:rPr>
          <w:spacing w:val="-7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accompanying a claim of privilege (namely, the particulars traditionally disclosed on a</w:t>
      </w:r>
      <w:r>
        <w:rPr>
          <w:spacing w:val="-6"/>
          <w:sz w:val="24"/>
        </w:rPr>
        <w:t> </w:t>
      </w:r>
      <w:r>
        <w:rPr>
          <w:sz w:val="24"/>
        </w:rPr>
        <w:t>privilege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log) turned out to be what Levandowski seeks to conceal. We were, as a result, uninformed</w:t>
      </w:r>
      <w:r>
        <w:rPr>
          <w:spacing w:val="-4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to who prepared the due diligence report and why; what it referenced; the extent, if any, to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which the author(s) of the due diligence report reviewed any or all of the downloads; to</w:t>
      </w:r>
      <w:r>
        <w:rPr>
          <w:spacing w:val="-2"/>
          <w:sz w:val="24"/>
        </w:rPr>
        <w:t> </w:t>
      </w:r>
      <w:r>
        <w:rPr>
          <w:sz w:val="24"/>
        </w:rPr>
        <w:t>whom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the report was disclosed; and for what purpose each recipient used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4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At the hearing, the judge raised these questions and counsel for Levandowski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turned over for in camera review a proposed privilege log containing 42 specific line items</w:t>
      </w:r>
      <w:r>
        <w:rPr>
          <w:spacing w:val="-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Levandowski would partially redact. All 42 items concern the due diligence report</w:t>
      </w:r>
      <w:r>
        <w:rPr>
          <w:spacing w:val="-2"/>
          <w:sz w:val="24"/>
        </w:rPr>
        <w:t> </w:t>
      </w:r>
      <w:r>
        <w:rPr>
          <w:sz w:val="24"/>
        </w:rPr>
        <w:t>(which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report was not supplied, even for in camera review). The proposed redactions would</w:t>
      </w:r>
      <w:r>
        <w:rPr>
          <w:spacing w:val="-2"/>
          <w:sz w:val="24"/>
        </w:rPr>
        <w:t> </w:t>
      </w:r>
      <w:r>
        <w:rPr>
          <w:sz w:val="24"/>
        </w:rPr>
        <w:t>conceal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identity of the third party that prepared the report, as well as descriptions of items</w:t>
      </w:r>
      <w:r>
        <w:rPr>
          <w:spacing w:val="-4"/>
          <w:sz w:val="24"/>
        </w:rPr>
        <w:t> </w:t>
      </w:r>
      <w:r>
        <w:rPr>
          <w:sz w:val="24"/>
        </w:rPr>
        <w:t>reviewed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during its preparation. Even in its unredacted form some questions would remain (such as</w:t>
      </w:r>
      <w:r>
        <w:rPr>
          <w:spacing w:val="-6"/>
          <w:sz w:val="24"/>
        </w:rPr>
        <w:t> </w:t>
      </w:r>
      <w:r>
        <w:rPr>
          <w:sz w:val="24"/>
        </w:rPr>
        <w:t>why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report was prepared, whether it referenced any of the downloaded files, and for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purpose each recipient used it). Counsel for Waymo then received a redacted version of the</w:t>
      </w:r>
      <w:r>
        <w:rPr>
          <w:spacing w:val="-5"/>
          <w:sz w:val="24"/>
        </w:rPr>
        <w:t> </w:t>
      </w:r>
      <w:r>
        <w:rPr>
          <w:sz w:val="24"/>
        </w:rPr>
        <w:t>log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and, as expected, objected to the redactions.</w:t>
      </w:r>
    </w:p>
    <w:p>
      <w:pPr>
        <w:pStyle w:val="BodyText"/>
        <w:tabs>
          <w:tab w:pos="3684" w:val="left" w:leader="none"/>
          <w:tab w:pos="5304" w:val="left" w:leader="none"/>
          <w:tab w:pos="6924" w:val="left" w:leader="none"/>
        </w:tabs>
        <w:ind w:left="158" w:firstLine="0"/>
      </w:pPr>
      <w:r>
        <w:rPr/>
        <w:t>16</w:t>
        <w:tab/>
        <w:t>*</w:t>
        <w:tab/>
        <w:t>*</w:t>
        <w:tab/>
        <w:t>*</w:t>
      </w:r>
    </w:p>
    <w:p>
      <w:pPr>
        <w:pStyle w:val="ListParagraph"/>
        <w:numPr>
          <w:ilvl w:val="0"/>
          <w:numId w:val="5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Turning to the merits, a very practical point deserves emphasis up front. The purpose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 privilege log in our federal system is to list the materials withheld under any claim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privilege and to specify certain time-honored particulars as to each item withheld. This is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first step in the process of adjudicating a claim of privilege. The second step is to</w:t>
      </w:r>
      <w:r>
        <w:rPr>
          <w:spacing w:val="-4"/>
          <w:sz w:val="24"/>
        </w:rPr>
        <w:t> </w:t>
      </w:r>
      <w:r>
        <w:rPr>
          <w:sz w:val="24"/>
        </w:rPr>
        <w:t>determine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whether the privilege actually applies and has not been waived. The system would</w:t>
      </w:r>
      <w:r>
        <w:rPr>
          <w:spacing w:val="-4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compromised and much abused if a party could simply omit privilege log disclosures</w:t>
      </w:r>
      <w:r>
        <w:rPr>
          <w:spacing w:val="-6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informed that the information disclosed might incriminate a</w:t>
      </w:r>
      <w:r>
        <w:rPr>
          <w:spacing w:val="-2"/>
          <w:sz w:val="24"/>
        </w:rPr>
        <w:t> </w:t>
      </w:r>
      <w:r>
        <w:rPr>
          <w:sz w:val="24"/>
        </w:rPr>
        <w:t>wrongdoer.</w:t>
      </w:r>
    </w:p>
    <w:p>
      <w:pPr>
        <w:pStyle w:val="ListParagraph"/>
        <w:numPr>
          <w:ilvl w:val="0"/>
          <w:numId w:val="5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The joint defense agreement in question provided that the parties would claim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privileges recognized by the agreement but surely contemplated that they would do so in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customary way — via a privilege log. Again, nothing in the agreement purported to muzzle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parties when it came to supplying a privilege log in order to claim a privilege (not to</w:t>
      </w:r>
      <w:r>
        <w:rPr>
          <w:spacing w:val="-6"/>
          <w:sz w:val="24"/>
        </w:rPr>
        <w:t> </w:t>
      </w:r>
      <w:r>
        <w:rPr>
          <w:sz w:val="24"/>
        </w:rPr>
        <w:t>mention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that any such provision might well be void as against public policy as an obstruction of</w:t>
      </w:r>
      <w:r>
        <w:rPr>
          <w:spacing w:val="-3"/>
          <w:sz w:val="24"/>
        </w:rPr>
        <w:t> </w:t>
      </w:r>
      <w:r>
        <w:rPr>
          <w:sz w:val="24"/>
        </w:rPr>
        <w:t>justice).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52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3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6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90" w:after="0"/>
        <w:ind w:left="730" w:right="0" w:hanging="452"/>
        <w:jc w:val="left"/>
        <w:rPr>
          <w:sz w:val="24"/>
        </w:rPr>
      </w:pPr>
      <w:r>
        <w:rPr>
          <w:sz w:val="24"/>
        </w:rPr>
        <w:t>Nothing in the agreement called out a privilege against self-incrimination or referred to the</w:t>
      </w:r>
      <w:r>
        <w:rPr>
          <w:spacing w:val="-4"/>
          <w:sz w:val="24"/>
        </w:rPr>
        <w:t> </w:t>
      </w:r>
      <w:r>
        <w:rPr>
          <w:sz w:val="24"/>
        </w:rPr>
        <w:t>Fifth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Amendment, much less purported to obligate a party to avoid incriminating the other</w:t>
      </w:r>
      <w:r>
        <w:rPr>
          <w:spacing w:val="-5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0"/>
          <w:numId w:val="6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Nevertheless, Levandowski’s motion insists that attorneys for Uber, a signatory 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joint defense agreement, became his personal lawyers, and that the Fifth Amendment</w:t>
      </w:r>
      <w:r>
        <w:rPr>
          <w:spacing w:val="-8"/>
          <w:sz w:val="24"/>
        </w:rPr>
        <w:t> </w:t>
      </w:r>
      <w:r>
        <w:rPr>
          <w:sz w:val="24"/>
        </w:rPr>
        <w:t>somehow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prohibits them from revealing any information, even on a privilege log, that would help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prosecutor connect the dots to</w:t>
      </w:r>
      <w:r>
        <w:rPr>
          <w:spacing w:val="-1"/>
          <w:sz w:val="24"/>
        </w:rPr>
        <w:t> </w:t>
      </w:r>
      <w:r>
        <w:rPr>
          <w:sz w:val="24"/>
        </w:rPr>
        <w:t>him.</w:t>
      </w:r>
    </w:p>
    <w:p>
      <w:pPr>
        <w:pStyle w:val="ListParagraph"/>
        <w:numPr>
          <w:ilvl w:val="0"/>
          <w:numId w:val="6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Much of Levandowski’s memorandum stresses uncontroversial premises. </w:t>
      </w:r>
      <w:r>
        <w:rPr>
          <w:i/>
          <w:sz w:val="24"/>
        </w:rPr>
        <w:t>First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Fifth Amendment privilege against self-incrimination can be asserted in a civil</w:t>
      </w:r>
      <w:r>
        <w:rPr>
          <w:spacing w:val="-3"/>
          <w:sz w:val="24"/>
        </w:rPr>
        <w:t> </w:t>
      </w:r>
      <w:r>
        <w:rPr>
          <w:sz w:val="24"/>
        </w:rPr>
        <w:t>proceeding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when “the person invoking the privilege reasonably believes that his disclosures could be</w:t>
      </w:r>
      <w:r>
        <w:rPr>
          <w:spacing w:val="-1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in a criminal prosecution, or could lead to other evidence that could be used in that</w:t>
      </w:r>
      <w:r>
        <w:rPr>
          <w:spacing w:val="-3"/>
          <w:sz w:val="24"/>
        </w:rPr>
        <w:t> </w:t>
      </w:r>
      <w:r>
        <w:rPr>
          <w:sz w:val="24"/>
        </w:rPr>
        <w:t>manner.”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Doe ex rel. Rudy-Glanzer v. Glanzer</w:t>
      </w:r>
      <w:r>
        <w:rPr>
          <w:sz w:val="24"/>
        </w:rPr>
        <w:t>, 232 F.3d 1258, 1263 (9th Cir. 2000). </w:t>
      </w:r>
      <w:r>
        <w:rPr>
          <w:i/>
          <w:sz w:val="24"/>
        </w:rPr>
        <w:t>Second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individual may invoke the Fifth Amendment to avoid producing documents on the basis that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i/>
          <w:sz w:val="24"/>
        </w:rPr>
      </w:pPr>
      <w:r>
        <w:rPr>
          <w:sz w:val="24"/>
        </w:rPr>
        <w:t>act of production “may have a compelled testimonial aspect” as to that individual.</w:t>
      </w:r>
      <w:r>
        <w:rPr>
          <w:spacing w:val="55"/>
          <w:sz w:val="24"/>
        </w:rPr>
        <w:t> </w:t>
      </w:r>
      <w:r>
        <w:rPr>
          <w:i/>
          <w:sz w:val="24"/>
        </w:rPr>
        <w:t>United</w:t>
      </w:r>
    </w:p>
    <w:p>
      <w:pPr>
        <w:tabs>
          <w:tab w:pos="729" w:val="left" w:leader="none"/>
        </w:tabs>
        <w:spacing w:before="192"/>
        <w:ind w:left="158" w:right="0" w:firstLine="0"/>
        <w:jc w:val="left"/>
        <w:rPr>
          <w:sz w:val="24"/>
        </w:rPr>
      </w:pPr>
      <w:r>
        <w:rPr>
          <w:sz w:val="24"/>
        </w:rPr>
        <w:t>14</w:t>
        <w:tab/>
      </w:r>
      <w:r>
        <w:rPr>
          <w:i/>
          <w:sz w:val="24"/>
        </w:rPr>
        <w:t>States v. Hubbell</w:t>
      </w:r>
      <w:r>
        <w:rPr>
          <w:sz w:val="24"/>
        </w:rPr>
        <w:t>, 530 U.S. 27, 36 (2000); </w:t>
      </w:r>
      <w:r>
        <w:rPr>
          <w:i/>
          <w:sz w:val="24"/>
        </w:rPr>
        <w:t>Fisher v. United States</w:t>
      </w:r>
      <w:r>
        <w:rPr>
          <w:sz w:val="24"/>
        </w:rPr>
        <w:t>, 425 U.S. 391, 410</w:t>
      </w:r>
      <w:r>
        <w:rPr>
          <w:spacing w:val="-2"/>
          <w:sz w:val="24"/>
        </w:rPr>
        <w:t> </w:t>
      </w:r>
      <w:r>
        <w:rPr>
          <w:sz w:val="24"/>
        </w:rPr>
        <w:t>(1976).</w:t>
      </w:r>
    </w:p>
    <w:p>
      <w:pPr>
        <w:pStyle w:val="ListParagraph"/>
        <w:numPr>
          <w:ilvl w:val="0"/>
          <w:numId w:val="7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Third</w:t>
      </w:r>
      <w:r>
        <w:rPr>
          <w:sz w:val="24"/>
        </w:rPr>
        <w:t>, the attorney-client privilege protects “[c]onfidential disclosures by a client to an</w:t>
      </w:r>
      <w:r>
        <w:rPr>
          <w:spacing w:val="-3"/>
          <w:sz w:val="24"/>
        </w:rPr>
        <w:t> </w:t>
      </w:r>
      <w:r>
        <w:rPr>
          <w:sz w:val="24"/>
        </w:rPr>
        <w:t>attorney</w:t>
      </w:r>
    </w:p>
    <w:p>
      <w:pPr>
        <w:pStyle w:val="ListParagraph"/>
        <w:numPr>
          <w:ilvl w:val="0"/>
          <w:numId w:val="7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made in order to obtain legal assistance,” so as to “encourage clients to make full disclosure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their attorneys.” </w:t>
      </w:r>
      <w:r>
        <w:rPr>
          <w:i/>
          <w:sz w:val="24"/>
        </w:rPr>
        <w:t>Fisher</w:t>
      </w:r>
      <w:r>
        <w:rPr>
          <w:sz w:val="24"/>
        </w:rPr>
        <w:t>, 425 U.S. at 403. </w:t>
      </w:r>
      <w:r>
        <w:rPr>
          <w:i/>
          <w:sz w:val="24"/>
        </w:rPr>
        <w:t>Fourth</w:t>
      </w:r>
      <w:r>
        <w:rPr>
          <w:sz w:val="24"/>
        </w:rPr>
        <w:t>, the joint-defense privilege or</w:t>
      </w:r>
      <w:r>
        <w:rPr>
          <w:spacing w:val="-4"/>
          <w:sz w:val="24"/>
        </w:rPr>
        <w:t> </w:t>
      </w:r>
      <w:r>
        <w:rPr>
          <w:sz w:val="24"/>
        </w:rPr>
        <w:t>“common</w:t>
      </w:r>
    </w:p>
    <w:p>
      <w:pPr>
        <w:pStyle w:val="ListParagraph"/>
        <w:numPr>
          <w:ilvl w:val="0"/>
          <w:numId w:val="7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interest” privilege can extend the attorney-client privilege such that it “protects not only the</w:t>
      </w:r>
    </w:p>
    <w:p>
      <w:pPr>
        <w:pStyle w:val="ListParagraph"/>
        <w:numPr>
          <w:ilvl w:val="0"/>
          <w:numId w:val="7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confidentiality of communications passing from a party to his or her attorney but also ‘from</w:t>
      </w:r>
      <w:r>
        <w:rPr>
          <w:spacing w:val="-12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7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party to the attorney for another party where a joint defense effort or strategy has been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</w:p>
    <w:p>
      <w:pPr>
        <w:pStyle w:val="ListParagraph"/>
        <w:numPr>
          <w:ilvl w:val="0"/>
          <w:numId w:val="7"/>
        </w:numPr>
        <w:tabs>
          <w:tab w:pos="729" w:val="left" w:leader="none"/>
          <w:tab w:pos="730" w:val="left" w:leader="none"/>
        </w:tabs>
        <w:spacing w:line="408" w:lineRule="auto" w:before="192" w:after="0"/>
        <w:ind w:left="158" w:right="363" w:firstLine="0"/>
        <w:jc w:val="left"/>
        <w:rPr>
          <w:sz w:val="24"/>
        </w:rPr>
      </w:pPr>
      <w:r>
        <w:rPr>
          <w:sz w:val="24"/>
        </w:rPr>
        <w:t>upon and undertaken by the parties and their respective counsel.’” </w:t>
      </w:r>
      <w:r>
        <w:rPr>
          <w:i/>
          <w:sz w:val="24"/>
        </w:rPr>
        <w:t>United States v. Gonzalez</w:t>
      </w:r>
      <w:r>
        <w:rPr>
          <w:sz w:val="24"/>
        </w:rPr>
        <w:t>, 22</w:t>
        <w:tab/>
        <w:t>669 F.3d 974, 978 (9th Cir. 2012) (quoting </w:t>
      </w:r>
      <w:r>
        <w:rPr>
          <w:i/>
          <w:sz w:val="24"/>
        </w:rPr>
        <w:t>United States v. Austin</w:t>
      </w:r>
      <w:r>
        <w:rPr>
          <w:sz w:val="24"/>
        </w:rPr>
        <w:t>, 416 F.3d 1016, 1021</w:t>
      </w:r>
      <w:r>
        <w:rPr>
          <w:spacing w:val="-1"/>
          <w:sz w:val="24"/>
        </w:rPr>
        <w:t> </w:t>
      </w:r>
      <w:r>
        <w:rPr>
          <w:sz w:val="24"/>
        </w:rPr>
        <w:t>(9th</w:t>
      </w:r>
    </w:p>
    <w:p>
      <w:pPr>
        <w:pStyle w:val="ListParagraph"/>
        <w:numPr>
          <w:ilvl w:val="0"/>
          <w:numId w:val="8"/>
        </w:numPr>
        <w:tabs>
          <w:tab w:pos="729" w:val="left" w:leader="none"/>
          <w:tab w:pos="730" w:val="left" w:leader="none"/>
        </w:tabs>
        <w:spacing w:line="274" w:lineRule="exact" w:before="0" w:after="0"/>
        <w:ind w:left="730" w:right="0" w:hanging="572"/>
        <w:jc w:val="left"/>
        <w:rPr>
          <w:sz w:val="24"/>
        </w:rPr>
      </w:pPr>
      <w:r>
        <w:rPr>
          <w:sz w:val="24"/>
        </w:rPr>
        <w:t>Cir. 2005), and </w:t>
      </w:r>
      <w:r>
        <w:rPr>
          <w:i/>
          <w:sz w:val="24"/>
        </w:rPr>
        <w:t>United States v. Henke</w:t>
      </w:r>
      <w:r>
        <w:rPr>
          <w:sz w:val="24"/>
        </w:rPr>
        <w:t>, 222 F.3d 633, 637 (9th Cir. 2000)).</w:t>
      </w:r>
    </w:p>
    <w:p>
      <w:pPr>
        <w:pStyle w:val="ListParagraph"/>
        <w:numPr>
          <w:ilvl w:val="0"/>
          <w:numId w:val="8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It does not follow from the foregoing premises, however, that compelling </w:t>
      </w:r>
      <w:r>
        <w:rPr>
          <w:i/>
          <w:sz w:val="24"/>
        </w:rPr>
        <w:t>Uber</w:t>
      </w:r>
      <w:r>
        <w:rPr>
          <w:i/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complete a conventional privilege log would violate </w:t>
      </w:r>
      <w:r>
        <w:rPr>
          <w:i/>
          <w:sz w:val="24"/>
        </w:rPr>
        <w:t>Levandowski’s </w:t>
      </w:r>
      <w:r>
        <w:rPr>
          <w:sz w:val="24"/>
        </w:rPr>
        <w:t>Fifth Amendment</w:t>
      </w:r>
      <w:r>
        <w:rPr>
          <w:spacing w:val="-8"/>
          <w:sz w:val="24"/>
        </w:rPr>
        <w:t> </w:t>
      </w:r>
      <w:r>
        <w:rPr>
          <w:sz w:val="24"/>
        </w:rPr>
        <w:t>privilege.</w:t>
      </w:r>
    </w:p>
    <w:p>
      <w:pPr>
        <w:pStyle w:val="ListParagraph"/>
        <w:numPr>
          <w:ilvl w:val="0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Contrary to Levandowski’s position, neither </w:t>
      </w:r>
      <w:r>
        <w:rPr>
          <w:i/>
          <w:sz w:val="24"/>
        </w:rPr>
        <w:t>Hubbell </w:t>
      </w:r>
      <w:r>
        <w:rPr>
          <w:sz w:val="24"/>
        </w:rPr>
        <w:t>nor </w:t>
      </w:r>
      <w:r>
        <w:rPr>
          <w:i/>
          <w:sz w:val="24"/>
        </w:rPr>
        <w:t>Fisher </w:t>
      </w:r>
      <w:r>
        <w:rPr>
          <w:sz w:val="24"/>
        </w:rPr>
        <w:t>so held, and </w:t>
      </w:r>
      <w:r>
        <w:rPr>
          <w:i/>
          <w:sz w:val="24"/>
        </w:rPr>
        <w:t>Fisher</w:t>
      </w:r>
      <w:r>
        <w:rPr>
          <w:i/>
          <w:spacing w:val="-1"/>
          <w:sz w:val="24"/>
        </w:rPr>
        <w:t> </w:t>
      </w:r>
      <w:r>
        <w:rPr>
          <w:sz w:val="24"/>
        </w:rPr>
        <w:t>expressly</w:t>
      </w:r>
    </w:p>
    <w:p>
      <w:pPr>
        <w:pStyle w:val="ListParagraph"/>
        <w:numPr>
          <w:ilvl w:val="0"/>
          <w:numId w:val="8"/>
        </w:numPr>
        <w:tabs>
          <w:tab w:pos="729" w:val="left" w:leader="none"/>
          <w:tab w:pos="730" w:val="left" w:leader="none"/>
        </w:tabs>
        <w:spacing w:line="408" w:lineRule="auto" w:before="192" w:after="0"/>
        <w:ind w:left="158" w:right="7517" w:firstLine="0"/>
        <w:jc w:val="left"/>
        <w:rPr>
          <w:sz w:val="24"/>
        </w:rPr>
      </w:pPr>
      <w:r>
        <w:rPr>
          <w:sz w:val="24"/>
        </w:rPr>
        <w:t>rejected the theory. 28</w:t>
      </w:r>
    </w:p>
    <w:p>
      <w:pPr>
        <w:spacing w:after="0" w:line="408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44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0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7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8"/>
        </w:numPr>
        <w:tabs>
          <w:tab w:pos="1449" w:val="left" w:leader="none"/>
          <w:tab w:pos="1450" w:val="left" w:leader="none"/>
        </w:tabs>
        <w:spacing w:line="240" w:lineRule="auto" w:before="90" w:after="0"/>
        <w:ind w:left="1450" w:right="0" w:hanging="1172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Hubbell</w:t>
      </w:r>
      <w:r>
        <w:rPr>
          <w:sz w:val="24"/>
        </w:rPr>
        <w:t>, the Supreme Court held in relevant part that, for Fifth Amendment</w:t>
      </w:r>
      <w:r>
        <w:rPr>
          <w:spacing w:val="-6"/>
          <w:sz w:val="24"/>
        </w:rPr>
        <w:t> </w:t>
      </w:r>
      <w:r>
        <w:rPr>
          <w:sz w:val="24"/>
        </w:rPr>
        <w:t>purposes,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“the act of producing documents in response to a subpoena may have a compelled</w:t>
      </w:r>
      <w:r>
        <w:rPr>
          <w:spacing w:val="-6"/>
          <w:sz w:val="24"/>
        </w:rPr>
        <w:t> </w:t>
      </w:r>
      <w:r>
        <w:rPr>
          <w:sz w:val="24"/>
        </w:rPr>
        <w:t>testimonial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aspect,” since “‘the act of production’ itself may implicitly communicate ‘statements of</w:t>
      </w:r>
      <w:r>
        <w:rPr>
          <w:spacing w:val="-8"/>
          <w:sz w:val="24"/>
        </w:rPr>
        <w:t> </w:t>
      </w:r>
      <w:r>
        <w:rPr>
          <w:sz w:val="24"/>
        </w:rPr>
        <w:t>fact,’”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including admissions regarding the existence, possession or control, or authenticity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documents. 530 U.S. at 36. As stated, this is an uncontroversial premise</w:t>
      </w:r>
      <w:r>
        <w:rPr>
          <w:spacing w:val="-2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1"/>
          <w:numId w:val="8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Fisher</w:t>
      </w:r>
      <w:r>
        <w:rPr>
          <w:sz w:val="24"/>
        </w:rPr>
        <w:t>, taxpayers under investigation by the Internal Revenue Service</w:t>
      </w:r>
      <w:r>
        <w:rPr>
          <w:spacing w:val="-1"/>
          <w:sz w:val="24"/>
        </w:rPr>
        <w:t> </w:t>
      </w:r>
      <w:r>
        <w:rPr>
          <w:sz w:val="24"/>
        </w:rPr>
        <w:t>transferred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documents to their attorneys retained for the investigation. The IRS sought to compel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attorneys to produce those documents, and the attorneys refused based on, among other</w:t>
      </w:r>
      <w:r>
        <w:rPr>
          <w:spacing w:val="-4"/>
          <w:sz w:val="24"/>
        </w:rPr>
        <w:t> </w:t>
      </w:r>
      <w:r>
        <w:rPr>
          <w:sz w:val="24"/>
        </w:rPr>
        <w:t>things,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their clients’ Fifth Amendment privilege and the attorney-client privilege.  </w:t>
      </w:r>
      <w:r>
        <w:rPr>
          <w:i/>
          <w:sz w:val="24"/>
        </w:rPr>
        <w:t>Fisher</w:t>
      </w:r>
      <w:r>
        <w:rPr>
          <w:sz w:val="24"/>
        </w:rPr>
        <w:t>, 425 U.S.</w:t>
      </w:r>
      <w:r>
        <w:rPr>
          <w:spacing w:val="-1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i/>
          <w:sz w:val="24"/>
        </w:rPr>
      </w:pPr>
      <w:r>
        <w:rPr>
          <w:sz w:val="24"/>
        </w:rPr>
        <w:t>393–95. </w:t>
      </w:r>
      <w:r>
        <w:rPr>
          <w:i/>
          <w:sz w:val="24"/>
        </w:rPr>
        <w:t>Significantly, the Supreme Court held that “compelled production of documents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i/>
          <w:sz w:val="24"/>
        </w:rPr>
      </w:pPr>
      <w:r>
        <w:rPr>
          <w:i/>
          <w:sz w:val="24"/>
        </w:rPr>
        <w:t>an attorney does not implicate whatever Fifth Amendment privilege the taxpayer might have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enjoyed from being compelled to produce them himself.” Id. </w:t>
      </w:r>
      <w:r>
        <w:rPr>
          <w:sz w:val="24"/>
        </w:rPr>
        <w:t>at 402 (emphasis added).</w:t>
      </w:r>
      <w:r>
        <w:rPr>
          <w:spacing w:val="5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documents in question could be subpoenaed from the attorneys “without compulsion on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taxpayer</w:t>
      </w:r>
      <w:r>
        <w:rPr>
          <w:sz w:val="24"/>
        </w:rPr>
        <w:t>. The protection of the Fifth Amendment [was] therefore not available.” 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398–99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i/>
          <w:sz w:val="24"/>
        </w:rPr>
      </w:pPr>
      <w:r>
        <w:rPr>
          <w:sz w:val="24"/>
        </w:rPr>
        <w:t>(emphasis added). In other words, “The taxpayer’s privilege under this Amendment [was]</w:t>
      </w:r>
      <w:r>
        <w:rPr>
          <w:spacing w:val="-5"/>
          <w:sz w:val="24"/>
        </w:rPr>
        <w:t> </w:t>
      </w:r>
      <w:r>
        <w:rPr>
          <w:i/>
          <w:sz w:val="24"/>
        </w:rPr>
        <w:t>not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violated </w:t>
      </w:r>
      <w:r>
        <w:rPr>
          <w:sz w:val="24"/>
        </w:rPr>
        <w:t>. . . because enforcement against a taxpayer’s lawyer would not ‘compel’ the</w:t>
      </w:r>
      <w:r>
        <w:rPr>
          <w:spacing w:val="-4"/>
          <w:sz w:val="24"/>
        </w:rPr>
        <w:t> </w:t>
      </w:r>
      <w:r>
        <w:rPr>
          <w:sz w:val="24"/>
        </w:rPr>
        <w:t>taxpayer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to do anything and certainly would not compel him to be a ‘witness’ against himself.” </w:t>
      </w:r>
      <w:r>
        <w:rPr>
          <w:i/>
          <w:sz w:val="24"/>
        </w:rPr>
        <w:t>Id.</w:t>
      </w:r>
      <w:r>
        <w:rPr>
          <w:i/>
          <w:spacing w:val="-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397 (emphasis added).  In fact, </w:t>
      </w:r>
      <w:r>
        <w:rPr>
          <w:i/>
          <w:sz w:val="24"/>
        </w:rPr>
        <w:t>Fisher </w:t>
      </w:r>
      <w:r>
        <w:rPr>
          <w:sz w:val="24"/>
        </w:rPr>
        <w:t>vindicated two district court decisions permitting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government to compel attorneys to produce their clients’ documents, notwithstanding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85" w:after="0"/>
        <w:ind w:left="730" w:right="0" w:hanging="572"/>
        <w:jc w:val="left"/>
        <w:rPr>
          <w:sz w:val="14"/>
        </w:rPr>
      </w:pPr>
      <w:r>
        <w:rPr>
          <w:sz w:val="24"/>
        </w:rPr>
        <w:t>latter’s protests on Fifth Amendment</w:t>
      </w:r>
      <w:r>
        <w:rPr>
          <w:spacing w:val="-1"/>
          <w:sz w:val="24"/>
        </w:rPr>
        <w:t> </w:t>
      </w:r>
      <w:r>
        <w:rPr>
          <w:sz w:val="24"/>
        </w:rPr>
        <w:t>grounds.</w:t>
      </w:r>
      <w:r>
        <w:rPr>
          <w:position w:val="10"/>
          <w:sz w:val="14"/>
        </w:rPr>
        <w:t>*</w:t>
      </w:r>
    </w:p>
    <w:p>
      <w:pPr>
        <w:pStyle w:val="ListParagraph"/>
        <w:numPr>
          <w:ilvl w:val="1"/>
          <w:numId w:val="8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Counsel for Levandowski quote </w:t>
      </w:r>
      <w:r>
        <w:rPr>
          <w:i/>
          <w:sz w:val="24"/>
        </w:rPr>
        <w:t>Fisher </w:t>
      </w:r>
      <w:r>
        <w:rPr>
          <w:sz w:val="24"/>
        </w:rPr>
        <w:t>for the proposition that, “papers, if</w:t>
      </w:r>
      <w:r>
        <w:rPr>
          <w:spacing w:val="-3"/>
          <w:sz w:val="24"/>
        </w:rPr>
        <w:t> </w:t>
      </w:r>
      <w:r>
        <w:rPr>
          <w:sz w:val="24"/>
        </w:rPr>
        <w:t>unobtainable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by summons from the client, are unobtainable by summons directed to the attorney by reason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  <w:tab w:pos="730" w:val="left" w:leader="none"/>
        </w:tabs>
        <w:spacing w:line="408" w:lineRule="auto" w:before="192" w:after="0"/>
        <w:ind w:left="158" w:right="377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400" from="103.5pt,49.663132pt" to="247.38pt,49.663132pt" stroked="true" strokeweight=".95999pt" strokecolor="#000000">
            <v:stroke dashstyle="solid"/>
            <w10:wrap type="none"/>
          </v:line>
        </w:pict>
      </w:r>
      <w:r>
        <w:rPr>
          <w:sz w:val="24"/>
        </w:rPr>
        <w:t>the attorney-client privilege.” </w:t>
      </w:r>
      <w:r>
        <w:rPr>
          <w:i/>
          <w:sz w:val="24"/>
        </w:rPr>
        <w:t>Id. </w:t>
      </w:r>
      <w:r>
        <w:rPr>
          <w:sz w:val="24"/>
        </w:rPr>
        <w:t>at 405. Thus, “when the client himself would be privileged 24</w:t>
      </w:r>
    </w:p>
    <w:p>
      <w:pPr>
        <w:pStyle w:val="ListParagraph"/>
        <w:numPr>
          <w:ilvl w:val="0"/>
          <w:numId w:val="9"/>
        </w:numPr>
        <w:tabs>
          <w:tab w:pos="1367" w:val="left" w:leader="none"/>
          <w:tab w:pos="1368" w:val="left" w:leader="none"/>
        </w:tabs>
        <w:spacing w:line="321" w:lineRule="exact" w:before="0" w:after="0"/>
        <w:ind w:left="1367" w:right="0" w:hanging="1209"/>
        <w:jc w:val="left"/>
        <w:rPr>
          <w:sz w:val="20"/>
        </w:rPr>
      </w:pPr>
      <w:r>
        <w:rPr>
          <w:position w:val="8"/>
          <w:sz w:val="12"/>
        </w:rPr>
        <w:t>* </w:t>
      </w:r>
      <w:r>
        <w:rPr>
          <w:sz w:val="20"/>
        </w:rPr>
        <w:t>This order recognizes that in </w:t>
      </w:r>
      <w:r>
        <w:rPr>
          <w:i/>
          <w:sz w:val="20"/>
        </w:rPr>
        <w:t>United States v. Sideman &amp; Bancroft, LLP </w:t>
      </w:r>
      <w:r>
        <w:rPr>
          <w:sz w:val="20"/>
        </w:rPr>
        <w:t>(a decision neither</w:t>
      </w:r>
      <w:r>
        <w:rPr>
          <w:spacing w:val="-11"/>
          <w:sz w:val="20"/>
        </w:rPr>
        <w:t> </w:t>
      </w:r>
      <w:r>
        <w:rPr>
          <w:sz w:val="20"/>
        </w:rPr>
        <w:t>side</w:t>
      </w:r>
    </w:p>
    <w:p>
      <w:pPr>
        <w:spacing w:line="183" w:lineRule="exact" w:before="4"/>
        <w:ind w:left="647" w:right="0" w:firstLine="0"/>
        <w:jc w:val="left"/>
        <w:rPr>
          <w:sz w:val="20"/>
        </w:rPr>
      </w:pPr>
      <w:r>
        <w:rPr>
          <w:sz w:val="20"/>
        </w:rPr>
        <w:t>mentioned), our court of appeals stated that, under </w:t>
      </w:r>
      <w:r>
        <w:rPr>
          <w:i/>
          <w:sz w:val="20"/>
        </w:rPr>
        <w:t>Fisher</w:t>
      </w:r>
      <w:r>
        <w:rPr>
          <w:sz w:val="20"/>
        </w:rPr>
        <w:t>, “[an attorney] does not have to produce [documents]</w:t>
      </w:r>
    </w:p>
    <w:p>
      <w:pPr>
        <w:pStyle w:val="ListParagraph"/>
        <w:numPr>
          <w:ilvl w:val="0"/>
          <w:numId w:val="9"/>
        </w:numPr>
        <w:tabs>
          <w:tab w:pos="647" w:val="left" w:leader="none"/>
          <w:tab w:pos="648" w:val="left" w:leader="none"/>
        </w:tabs>
        <w:spacing w:line="281" w:lineRule="exact" w:before="0" w:after="0"/>
        <w:ind w:left="647" w:right="0" w:hanging="489"/>
        <w:jc w:val="left"/>
        <w:rPr>
          <w:sz w:val="20"/>
        </w:rPr>
      </w:pPr>
      <w:r>
        <w:rPr>
          <w:sz w:val="20"/>
        </w:rPr>
        <w:t>if doing so violates [a client’s] Fifth Amendment rights.” 704 F.3d 1197, 1201–02 (9th Cir. 2013). While</w:t>
      </w:r>
      <w:r>
        <w:rPr>
          <w:spacing w:val="-24"/>
          <w:sz w:val="20"/>
        </w:rPr>
        <w:t> </w:t>
      </w:r>
      <w:r>
        <w:rPr>
          <w:sz w:val="20"/>
        </w:rPr>
        <w:t>this</w:t>
      </w:r>
    </w:p>
    <w:p>
      <w:pPr>
        <w:spacing w:line="183" w:lineRule="exact" w:before="4"/>
        <w:ind w:left="647" w:right="0" w:firstLine="0"/>
        <w:jc w:val="left"/>
        <w:rPr>
          <w:sz w:val="20"/>
        </w:rPr>
      </w:pPr>
      <w:r>
        <w:rPr>
          <w:sz w:val="20"/>
        </w:rPr>
        <w:t>language superficially appears to support Levandowski’s position here, the Supreme Court in </w:t>
      </w:r>
      <w:r>
        <w:rPr>
          <w:i/>
          <w:sz w:val="20"/>
        </w:rPr>
        <w:t>Fisher </w:t>
      </w:r>
      <w:r>
        <w:rPr>
          <w:sz w:val="20"/>
        </w:rPr>
        <w:t>expressly</w:t>
      </w:r>
    </w:p>
    <w:p>
      <w:pPr>
        <w:pStyle w:val="ListParagraph"/>
        <w:numPr>
          <w:ilvl w:val="0"/>
          <w:numId w:val="9"/>
        </w:numPr>
        <w:tabs>
          <w:tab w:pos="647" w:val="left" w:leader="none"/>
          <w:tab w:pos="648" w:val="left" w:leader="none"/>
        </w:tabs>
        <w:spacing w:line="281" w:lineRule="exact" w:before="0" w:after="0"/>
        <w:ind w:left="647" w:right="0" w:hanging="489"/>
        <w:jc w:val="left"/>
        <w:rPr>
          <w:sz w:val="20"/>
        </w:rPr>
      </w:pPr>
      <w:r>
        <w:rPr>
          <w:sz w:val="20"/>
        </w:rPr>
        <w:t>held that a client’s “Fifth Amendment privilege is . . . </w:t>
      </w:r>
      <w:r>
        <w:rPr>
          <w:i/>
          <w:sz w:val="20"/>
        </w:rPr>
        <w:t>not violated by </w:t>
      </w:r>
      <w:r>
        <w:rPr>
          <w:sz w:val="20"/>
        </w:rPr>
        <w:t>enforcement of [document]</w:t>
      </w:r>
      <w:r>
        <w:rPr>
          <w:spacing w:val="-32"/>
          <w:sz w:val="20"/>
        </w:rPr>
        <w:t> </w:t>
      </w:r>
      <w:r>
        <w:rPr>
          <w:sz w:val="20"/>
        </w:rPr>
        <w:t>summonses</w:t>
      </w:r>
    </w:p>
    <w:p>
      <w:pPr>
        <w:spacing w:line="183" w:lineRule="exact" w:before="4"/>
        <w:ind w:left="647" w:right="0" w:firstLine="0"/>
        <w:jc w:val="left"/>
        <w:rPr>
          <w:sz w:val="20"/>
        </w:rPr>
      </w:pPr>
      <w:r>
        <w:rPr>
          <w:sz w:val="20"/>
        </w:rPr>
        <w:t>directed toward their attorneys.” </w:t>
      </w:r>
      <w:r>
        <w:rPr>
          <w:i/>
          <w:sz w:val="20"/>
        </w:rPr>
        <w:t>Fisher</w:t>
      </w:r>
      <w:r>
        <w:rPr>
          <w:sz w:val="20"/>
        </w:rPr>
        <w:t>, 425 U.S. at 397. Our court of appeals has recognized as much.</w:t>
      </w:r>
    </w:p>
    <w:p>
      <w:pPr>
        <w:pStyle w:val="ListParagraph"/>
        <w:numPr>
          <w:ilvl w:val="0"/>
          <w:numId w:val="9"/>
        </w:numPr>
        <w:tabs>
          <w:tab w:pos="647" w:val="left" w:leader="none"/>
          <w:tab w:pos="648" w:val="left" w:leader="none"/>
        </w:tabs>
        <w:spacing w:line="281" w:lineRule="exact" w:before="0" w:after="0"/>
        <w:ind w:left="647" w:right="0" w:hanging="489"/>
        <w:jc w:val="left"/>
        <w:rPr>
          <w:sz w:val="20"/>
        </w:rPr>
      </w:pPr>
      <w:r>
        <w:rPr>
          <w:i/>
          <w:sz w:val="20"/>
        </w:rPr>
        <w:t>Beckler v. Superior Court, Los Angeles Cty.</w:t>
      </w:r>
      <w:r>
        <w:rPr>
          <w:sz w:val="20"/>
        </w:rPr>
        <w:t>, 568 F.2d 661, 662 (9th Cir. 1978) (quoting the</w:t>
      </w:r>
      <w:r>
        <w:rPr>
          <w:spacing w:val="-20"/>
          <w:sz w:val="20"/>
        </w:rPr>
        <w:t> </w:t>
      </w:r>
      <w:r>
        <w:rPr>
          <w:sz w:val="20"/>
        </w:rPr>
        <w:t>aforementioned</w:t>
      </w:r>
    </w:p>
    <w:p>
      <w:pPr>
        <w:spacing w:before="4"/>
        <w:ind w:left="647" w:right="0" w:firstLine="0"/>
        <w:jc w:val="left"/>
        <w:rPr>
          <w:sz w:val="20"/>
        </w:rPr>
      </w:pPr>
      <w:r>
        <w:rPr>
          <w:sz w:val="20"/>
        </w:rPr>
        <w:t>holding as the “clear[] announce[ment]” of the Supreme Court). This order follows </w:t>
      </w:r>
      <w:r>
        <w:rPr>
          <w:i/>
          <w:sz w:val="20"/>
        </w:rPr>
        <w:t>Fisher</w:t>
      </w:r>
      <w:r>
        <w:rPr>
          <w:sz w:val="20"/>
        </w:rPr>
        <w:t>’s express holding.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35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0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8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90" w:after="0"/>
        <w:ind w:left="730" w:right="0" w:hanging="452"/>
        <w:jc w:val="left"/>
        <w:rPr>
          <w:sz w:val="24"/>
        </w:rPr>
      </w:pPr>
      <w:r>
        <w:rPr>
          <w:sz w:val="24"/>
        </w:rPr>
        <w:t>from production of [a] document . . . the attorney having possession of the document is</w:t>
      </w:r>
      <w:r>
        <w:rPr>
          <w:spacing w:val="-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bound to produce.” </w:t>
      </w:r>
      <w:r>
        <w:rPr>
          <w:i/>
          <w:sz w:val="24"/>
        </w:rPr>
        <w:t>Id. </w:t>
      </w:r>
      <w:r>
        <w:rPr>
          <w:sz w:val="24"/>
        </w:rPr>
        <w:t>at 404. Even though </w:t>
      </w:r>
      <w:r>
        <w:rPr>
          <w:i/>
          <w:sz w:val="24"/>
        </w:rPr>
        <w:t>Fisher </w:t>
      </w:r>
      <w:r>
        <w:rPr>
          <w:sz w:val="24"/>
        </w:rPr>
        <w:t>clearly explained that the attorneys</w:t>
      </w:r>
      <w:r>
        <w:rPr>
          <w:spacing w:val="-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immunized by reason of the </w:t>
      </w:r>
      <w:r>
        <w:rPr>
          <w:i/>
          <w:sz w:val="24"/>
        </w:rPr>
        <w:t>attorney-client </w:t>
      </w:r>
      <w:r>
        <w:rPr>
          <w:sz w:val="24"/>
        </w:rPr>
        <w:t>privilege, Levandowski misconstrues the</w:t>
      </w:r>
      <w:r>
        <w:rPr>
          <w:spacing w:val="-5"/>
          <w:sz w:val="24"/>
        </w:rPr>
        <w:t> </w:t>
      </w:r>
      <w:r>
        <w:rPr>
          <w:sz w:val="24"/>
        </w:rPr>
        <w:t>foregoing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snippets from </w:t>
      </w:r>
      <w:r>
        <w:rPr>
          <w:i/>
          <w:sz w:val="24"/>
        </w:rPr>
        <w:t>Fisher </w:t>
      </w:r>
      <w:r>
        <w:rPr>
          <w:sz w:val="24"/>
        </w:rPr>
        <w:t>as holding that “the lawyer stands in the shoes of his client when it</w:t>
      </w:r>
      <w:r>
        <w:rPr>
          <w:spacing w:val="-4"/>
          <w:sz w:val="24"/>
        </w:rPr>
        <w:t> </w:t>
      </w:r>
      <w:r>
        <w:rPr>
          <w:sz w:val="24"/>
        </w:rPr>
        <w:t>comes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to invoking the Fifth Amendment privilege” (</w:t>
      </w:r>
      <w:r>
        <w:rPr>
          <w:i/>
          <w:sz w:val="24"/>
        </w:rPr>
        <w:t>e.g.</w:t>
      </w:r>
      <w:r>
        <w:rPr>
          <w:sz w:val="24"/>
        </w:rPr>
        <w:t>, Dkt. No. 147 at</w:t>
      </w:r>
      <w:r>
        <w:rPr>
          <w:spacing w:val="-2"/>
          <w:sz w:val="24"/>
        </w:rPr>
        <w:t> </w:t>
      </w:r>
      <w:r>
        <w:rPr>
          <w:sz w:val="24"/>
        </w:rPr>
        <w:t>7–8).</w:t>
      </w:r>
    </w:p>
    <w:p>
      <w:pPr>
        <w:pStyle w:val="ListParagraph"/>
        <w:numPr>
          <w:ilvl w:val="1"/>
          <w:numId w:val="9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This misinterpretation of </w:t>
      </w:r>
      <w:r>
        <w:rPr>
          <w:i/>
          <w:sz w:val="24"/>
        </w:rPr>
        <w:t>Fisher </w:t>
      </w:r>
      <w:r>
        <w:rPr>
          <w:sz w:val="24"/>
        </w:rPr>
        <w:t>erroneously conflates the Fifth Amendment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attorney-client privileges. To repeat, “it is not the [client’s] Fifth Amendment privilege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i/>
          <w:sz w:val="24"/>
        </w:rPr>
      </w:pPr>
      <w:r>
        <w:rPr>
          <w:sz w:val="24"/>
        </w:rPr>
        <w:t>would excuse the Attorney from production.” </w:t>
      </w:r>
      <w:r>
        <w:rPr>
          <w:i/>
          <w:sz w:val="24"/>
        </w:rPr>
        <w:t>Fisher</w:t>
      </w:r>
      <w:r>
        <w:rPr>
          <w:sz w:val="24"/>
        </w:rPr>
        <w:t>, 425 U.S. at 396. Although</w:t>
      </w:r>
      <w:r>
        <w:rPr>
          <w:spacing w:val="-3"/>
          <w:sz w:val="24"/>
        </w:rPr>
        <w:t> </w:t>
      </w:r>
      <w:r>
        <w:rPr>
          <w:i/>
          <w:sz w:val="24"/>
        </w:rPr>
        <w:t>Fisher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referenced the Fifth Amendment privilege to determine the extent of the</w:t>
      </w:r>
      <w:r>
        <w:rPr>
          <w:spacing w:val="-5"/>
          <w:sz w:val="24"/>
        </w:rPr>
        <w:t> </w:t>
      </w:r>
      <w:r>
        <w:rPr>
          <w:sz w:val="24"/>
        </w:rPr>
        <w:t>attorney-client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privilege under certain circumstances, it did not lend “Constitutional dimensions” to the</w:t>
      </w:r>
      <w:r>
        <w:rPr>
          <w:spacing w:val="-3"/>
          <w:sz w:val="24"/>
        </w:rPr>
        <w:t> </w:t>
      </w:r>
      <w:r>
        <w:rPr>
          <w:sz w:val="24"/>
        </w:rPr>
        <w:t>latter.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i/>
          <w:sz w:val="24"/>
        </w:rPr>
      </w:pPr>
      <w:r>
        <w:rPr>
          <w:i/>
          <w:sz w:val="24"/>
        </w:rPr>
        <w:t>Beckler</w:t>
      </w:r>
      <w:r>
        <w:rPr>
          <w:sz w:val="24"/>
        </w:rPr>
        <w:t>, 568 F.2d at 662 &amp; n.2. Rather, it was the policy concern underlying the</w:t>
      </w:r>
      <w:r>
        <w:rPr>
          <w:spacing w:val="-1"/>
          <w:sz w:val="24"/>
        </w:rPr>
        <w:t> </w:t>
      </w:r>
      <w:r>
        <w:rPr>
          <w:i/>
          <w:sz w:val="24"/>
        </w:rPr>
        <w:t>attorney-client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privilege that drove the holding in </w:t>
      </w:r>
      <w:r>
        <w:rPr>
          <w:i/>
          <w:sz w:val="24"/>
        </w:rPr>
        <w:t>Fisher</w:t>
      </w:r>
      <w:r>
        <w:rPr>
          <w:sz w:val="24"/>
        </w:rPr>
        <w:t>. Specifically, a client with documents</w:t>
      </w:r>
      <w:r>
        <w:rPr>
          <w:spacing w:val="-2"/>
          <w:sz w:val="24"/>
        </w:rPr>
        <w:t> </w:t>
      </w:r>
      <w:r>
        <w:rPr>
          <w:sz w:val="24"/>
        </w:rPr>
        <w:t>privileged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against production by the Fifth Amendment “will then be reluctant to transfer possession to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lawyer unless the documents are also privileged in the latter’s hands.” </w:t>
      </w:r>
      <w:r>
        <w:rPr>
          <w:i/>
          <w:sz w:val="24"/>
        </w:rPr>
        <w:t>Fisher</w:t>
      </w:r>
      <w:r>
        <w:rPr>
          <w:sz w:val="24"/>
        </w:rPr>
        <w:t>, 425 U.S.</w:t>
      </w:r>
      <w:r>
        <w:rPr>
          <w:spacing w:val="-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403–04. Thus, the </w:t>
      </w:r>
      <w:r>
        <w:rPr>
          <w:i/>
          <w:sz w:val="24"/>
        </w:rPr>
        <w:t>attorney-client </w:t>
      </w:r>
      <w:r>
        <w:rPr>
          <w:sz w:val="24"/>
        </w:rPr>
        <w:t>privilege immunizes a lawyer against compelled</w:t>
      </w:r>
      <w:r>
        <w:rPr>
          <w:spacing w:val="-6"/>
          <w:sz w:val="24"/>
        </w:rPr>
        <w:t> </w:t>
      </w:r>
      <w:r>
        <w:rPr>
          <w:sz w:val="24"/>
        </w:rPr>
        <w:t>production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if two requirements are met. </w:t>
      </w:r>
      <w:r>
        <w:rPr>
          <w:i/>
          <w:sz w:val="24"/>
        </w:rPr>
        <w:t>First</w:t>
      </w:r>
      <w:r>
        <w:rPr>
          <w:sz w:val="24"/>
        </w:rPr>
        <w:t>, the </w:t>
      </w:r>
      <w:r>
        <w:rPr>
          <w:i/>
          <w:sz w:val="24"/>
        </w:rPr>
        <w:t>client </w:t>
      </w:r>
      <w:r>
        <w:rPr>
          <w:sz w:val="24"/>
        </w:rPr>
        <w:t>must be privileged against production of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document in question, “either as a party at common law” or under the Fifth</w:t>
      </w:r>
      <w:r>
        <w:rPr>
          <w:spacing w:val="-5"/>
          <w:sz w:val="24"/>
        </w:rPr>
        <w:t> </w:t>
      </w:r>
      <w:r>
        <w:rPr>
          <w:sz w:val="24"/>
        </w:rPr>
        <w:t>Amendment.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Second</w:t>
      </w:r>
      <w:r>
        <w:rPr>
          <w:sz w:val="24"/>
        </w:rPr>
        <w:t>, the client must have transferred the document in question to the attorney “for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purpose of obtaining legal advice.” 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404–05.</w:t>
      </w:r>
    </w:p>
    <w:p>
      <w:pPr>
        <w:pStyle w:val="ListParagraph"/>
        <w:numPr>
          <w:ilvl w:val="1"/>
          <w:numId w:val="9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Importantly, despite acknowledging that an act of production has</w:t>
      </w:r>
      <w:r>
        <w:rPr>
          <w:spacing w:val="-3"/>
          <w:sz w:val="24"/>
        </w:rPr>
        <w:t> </w:t>
      </w:r>
      <w:r>
        <w:rPr>
          <w:sz w:val="24"/>
        </w:rPr>
        <w:t>“communicative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aspects” like tacit concession of a document’s existence or location (a point counsel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 repeatedly emphasize here), </w:t>
      </w:r>
      <w:r>
        <w:rPr>
          <w:i/>
          <w:sz w:val="24"/>
        </w:rPr>
        <w:t>Fisher </w:t>
      </w:r>
      <w:r>
        <w:rPr>
          <w:sz w:val="24"/>
        </w:rPr>
        <w:t>never suggested that conventional</w:t>
      </w:r>
      <w:r>
        <w:rPr>
          <w:spacing w:val="-3"/>
          <w:sz w:val="24"/>
        </w:rPr>
        <w:t> </w:t>
      </w:r>
      <w:r>
        <w:rPr>
          <w:sz w:val="24"/>
        </w:rPr>
        <w:t>privilege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log requirements could be avoided on that basis. Our court of appeals, moreover,</w:t>
      </w:r>
      <w:r>
        <w:rPr>
          <w:spacing w:val="-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acknowledged that claims of privilege against the production of particular documents —</w:t>
      </w:r>
      <w:r>
        <w:rPr>
          <w:spacing w:val="-3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under the Fifth Amendment — may require “targeted support” precisely like a privilege log</w:t>
      </w:r>
      <w:r>
        <w:rPr>
          <w:spacing w:val="-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submission of the documents for in camera review. </w:t>
      </w:r>
      <w:r>
        <w:rPr>
          <w:i/>
          <w:sz w:val="24"/>
        </w:rPr>
        <w:t>United States v. Bright</w:t>
      </w:r>
      <w:r>
        <w:rPr>
          <w:sz w:val="24"/>
        </w:rPr>
        <w:t>, 596 F.3d</w:t>
      </w:r>
      <w:r>
        <w:rPr>
          <w:spacing w:val="-13"/>
          <w:sz w:val="24"/>
        </w:rPr>
        <w:t> </w:t>
      </w:r>
      <w:r>
        <w:rPr>
          <w:sz w:val="24"/>
        </w:rPr>
        <w:t>683,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691–92 (9th Cir. 2010). In short, Levandowski’s suggestion that mere invocation of the</w:t>
      </w:r>
      <w:r>
        <w:rPr>
          <w:spacing w:val="-2"/>
          <w:sz w:val="24"/>
        </w:rPr>
        <w:t> </w:t>
      </w:r>
      <w:r>
        <w:rPr>
          <w:sz w:val="24"/>
        </w:rPr>
        <w:t>Fifth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Amendment can automatically supplant privilege log requirements is</w:t>
      </w:r>
      <w:r>
        <w:rPr>
          <w:spacing w:val="-2"/>
          <w:sz w:val="24"/>
        </w:rPr>
        <w:t> </w:t>
      </w:r>
      <w:r>
        <w:rPr>
          <w:sz w:val="24"/>
        </w:rPr>
        <w:t>baseless.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861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28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7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9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2"/>
          <w:numId w:val="9"/>
        </w:numPr>
        <w:tabs>
          <w:tab w:pos="1449" w:val="left" w:leader="none"/>
          <w:tab w:pos="1450" w:val="left" w:leader="none"/>
        </w:tabs>
        <w:spacing w:line="240" w:lineRule="auto" w:before="90" w:after="0"/>
        <w:ind w:left="1450" w:right="0" w:hanging="1172"/>
        <w:jc w:val="left"/>
        <w:rPr>
          <w:sz w:val="24"/>
        </w:rPr>
      </w:pPr>
      <w:r>
        <w:rPr>
          <w:sz w:val="24"/>
        </w:rPr>
        <w:t>Levandowski’s motion cites three non-binding decisions for the proposition that</w:t>
      </w:r>
      <w:r>
        <w:rPr>
          <w:spacing w:val="-2"/>
          <w:sz w:val="24"/>
        </w:rPr>
        <w:t> </w:t>
      </w:r>
      <w:r>
        <w:rPr>
          <w:sz w:val="24"/>
        </w:rPr>
        <w:t>“the</w:t>
      </w:r>
    </w:p>
    <w:p>
      <w:pPr>
        <w:pStyle w:val="ListParagraph"/>
        <w:numPr>
          <w:ilvl w:val="2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requirement of a detailed privileged log must yield to the constitutional right to be free</w:t>
      </w:r>
      <w:r>
        <w:rPr>
          <w:spacing w:val="-5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2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forced self-incrimination” (Dkt. No. 147 at 2–3, 12). All three decisions, however, are</w:t>
      </w:r>
    </w:p>
    <w:p>
      <w:pPr>
        <w:pStyle w:val="ListParagraph"/>
        <w:numPr>
          <w:ilvl w:val="2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distinguishable from our case because they relieved only </w:t>
      </w:r>
      <w:r>
        <w:rPr>
          <w:i/>
          <w:sz w:val="24"/>
        </w:rPr>
        <w:t>individuals </w:t>
      </w:r>
      <w:r>
        <w:rPr>
          <w:sz w:val="24"/>
        </w:rPr>
        <w:t>asserting their</w:t>
      </w:r>
      <w:r>
        <w:rPr>
          <w:spacing w:val="-2"/>
          <w:sz w:val="24"/>
        </w:rPr>
        <w:t> </w:t>
      </w:r>
      <w:r>
        <w:rPr>
          <w:sz w:val="24"/>
        </w:rPr>
        <w:t>Fifth</w:t>
      </w:r>
    </w:p>
    <w:p>
      <w:pPr>
        <w:pStyle w:val="ListParagraph"/>
        <w:numPr>
          <w:ilvl w:val="2"/>
          <w:numId w:val="9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Amendment privilege from the requirement of a detailed privilege log under the</w:t>
      </w:r>
      <w:r>
        <w:rPr>
          <w:spacing w:val="-9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2"/>
          <w:numId w:val="9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circumstances of their respective cases. </w:t>
      </w:r>
      <w:r>
        <w:rPr>
          <w:i/>
          <w:sz w:val="24"/>
        </w:rPr>
        <w:t>See United States SEC v. Chin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No.</w:t>
      </w:r>
    </w:p>
    <w:p>
      <w:pPr>
        <w:pStyle w:val="BodyText"/>
        <w:tabs>
          <w:tab w:pos="729" w:val="left" w:leader="none"/>
        </w:tabs>
        <w:ind w:left="278" w:firstLine="0"/>
      </w:pPr>
      <w:r>
        <w:rPr/>
        <w:t>7</w:t>
        <w:tab/>
        <w:t>12-cv-01336-PAB-BNB, 2012 U.S. Dist. LEXIS 182252, at *26 (D. Colo. Nov. 29,</w:t>
      </w:r>
      <w:r>
        <w:rPr>
          <w:spacing w:val="-36"/>
        </w:rPr>
        <w:t> </w:t>
      </w:r>
      <w:r>
        <w:rPr/>
        <w:t>2012)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(Judge Boyd Boland); </w:t>
      </w:r>
      <w:r>
        <w:rPr>
          <w:i/>
          <w:sz w:val="24"/>
        </w:rPr>
        <w:t>In re Syncor ERISA Litig.</w:t>
      </w:r>
      <w:r>
        <w:rPr>
          <w:sz w:val="24"/>
        </w:rPr>
        <w:t>, 229 F.R.D. 636, 649 (C.D. Cal. 2005)</w:t>
      </w:r>
      <w:r>
        <w:rPr>
          <w:spacing w:val="-2"/>
          <w:sz w:val="24"/>
        </w:rPr>
        <w:t> </w:t>
      </w:r>
      <w:r>
        <w:rPr>
          <w:sz w:val="24"/>
        </w:rPr>
        <w:t>(Judge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Rosalyn Chapman); </w:t>
      </w:r>
      <w:r>
        <w:rPr>
          <w:i/>
          <w:sz w:val="24"/>
        </w:rPr>
        <w:t>In re Fustolo</w:t>
      </w:r>
      <w:r>
        <w:rPr>
          <w:sz w:val="24"/>
        </w:rPr>
        <w:t>, No. 13–12692–JNF, 2015 WL 9595421, at *5 (Bankr.</w:t>
      </w:r>
      <w:r>
        <w:rPr>
          <w:spacing w:val="-31"/>
          <w:sz w:val="24"/>
        </w:rPr>
        <w:t> </w:t>
      </w:r>
      <w:r>
        <w:rPr>
          <w:sz w:val="24"/>
        </w:rPr>
        <w:t>D.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Mass. Dec. 31, 2015) (Judge Joan Feeney). None support Levandowski’s position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requiring others with whom he did business, even if under a joint defense agreement, to</w:t>
      </w:r>
      <w:r>
        <w:rPr>
          <w:spacing w:val="-4"/>
          <w:sz w:val="24"/>
        </w:rPr>
        <w:t> </w:t>
      </w:r>
      <w:r>
        <w:rPr>
          <w:sz w:val="24"/>
        </w:rPr>
        <w:t>supply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typical privilege log information would be tantamount to compelling Levandowski to</w:t>
      </w:r>
      <w:r>
        <w:rPr>
          <w:spacing w:val="-3"/>
          <w:sz w:val="24"/>
        </w:rPr>
        <w:t> </w:t>
      </w:r>
      <w:r>
        <w:rPr>
          <w:sz w:val="24"/>
        </w:rPr>
        <w:t>self-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incriminate. Under the facts of </w:t>
      </w:r>
      <w:r>
        <w:rPr>
          <w:i/>
          <w:sz w:val="24"/>
        </w:rPr>
        <w:t>our </w:t>
      </w:r>
      <w:r>
        <w:rPr>
          <w:sz w:val="24"/>
        </w:rPr>
        <w:t>case, as stated, no binding authority</w:t>
      </w:r>
      <w:r>
        <w:rPr>
          <w:spacing w:val="-2"/>
          <w:sz w:val="24"/>
        </w:rPr>
        <w:t> </w:t>
      </w:r>
      <w:r>
        <w:rPr>
          <w:sz w:val="24"/>
        </w:rPr>
        <w:t>supports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Levandowski’s suggestion that his Fifth Amendment privilege necessarily supersedes</w:t>
      </w:r>
      <w:r>
        <w:rPr>
          <w:spacing w:val="-3"/>
          <w:sz w:val="24"/>
        </w:rPr>
        <w:t> </w:t>
      </w:r>
      <w:r>
        <w:rPr>
          <w:sz w:val="24"/>
        </w:rPr>
        <w:t>typical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privilege log</w:t>
      </w:r>
      <w:r>
        <w:rPr>
          <w:spacing w:val="-1"/>
          <w:sz w:val="24"/>
        </w:rPr>
        <w:t> </w:t>
      </w:r>
      <w:r>
        <w:rPr>
          <w:sz w:val="24"/>
        </w:rPr>
        <w:t>requirements.</w:t>
      </w:r>
    </w:p>
    <w:p>
      <w:pPr>
        <w:pStyle w:val="ListParagraph"/>
        <w:numPr>
          <w:ilvl w:val="0"/>
          <w:numId w:val="10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Levandowski’s arguments seem to suggest that, even though </w:t>
      </w:r>
      <w:r>
        <w:rPr>
          <w:i/>
          <w:sz w:val="24"/>
        </w:rPr>
        <w:t>Fisher </w:t>
      </w:r>
      <w:r>
        <w:rPr>
          <w:sz w:val="24"/>
        </w:rPr>
        <w:t>did not</w:t>
      </w:r>
      <w:r>
        <w:rPr>
          <w:spacing w:val="-5"/>
          <w:sz w:val="24"/>
        </w:rPr>
        <w:t> </w:t>
      </w:r>
      <w:r>
        <w:rPr>
          <w:sz w:val="24"/>
        </w:rPr>
        <w:t>consider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privilege logs, its holding should apply here because the privilege log disclosures at issue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“testimonial” in the same sense that actually producing the due diligence report would be.</w:t>
      </w:r>
      <w:r>
        <w:rPr>
          <w:spacing w:val="57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party asserting the attorney-client privilege, Levandowski “has the burden of establishing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relationship and privileged nature of the communication.” </w:t>
      </w:r>
      <w:r>
        <w:rPr>
          <w:i/>
          <w:sz w:val="24"/>
        </w:rPr>
        <w:t>United States v. Richey</w:t>
      </w:r>
      <w:r>
        <w:rPr>
          <w:sz w:val="24"/>
        </w:rPr>
        <w:t>, 632</w:t>
      </w:r>
      <w:r>
        <w:rPr>
          <w:spacing w:val="-10"/>
          <w:sz w:val="24"/>
        </w:rPr>
        <w:t> </w:t>
      </w:r>
      <w:r>
        <w:rPr>
          <w:sz w:val="24"/>
        </w:rPr>
        <w:t>F.3d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559, 566 (9th Cir. 2011). He has not carried that burden</w:t>
      </w:r>
      <w:r>
        <w:rPr>
          <w:spacing w:val="-1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0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i/>
          <w:sz w:val="24"/>
        </w:rPr>
        <w:t>First</w:t>
      </w:r>
      <w:r>
        <w:rPr>
          <w:sz w:val="24"/>
        </w:rPr>
        <w:t>, the identity of the third party that prepared the report is a </w:t>
      </w:r>
      <w:r>
        <w:rPr>
          <w:i/>
          <w:sz w:val="24"/>
        </w:rPr>
        <w:t>fact </w:t>
      </w:r>
      <w:r>
        <w:rPr>
          <w:sz w:val="24"/>
        </w:rPr>
        <w:t>known to Uber,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 communication between Levandowski and his attorney, much less a communication made</w:t>
      </w:r>
      <w:r>
        <w:rPr>
          <w:spacing w:val="-10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purpose of obtaining legal advice. As such, it cannot be concealed by any</w:t>
      </w:r>
      <w:r>
        <w:rPr>
          <w:spacing w:val="-1"/>
          <w:sz w:val="24"/>
        </w:rPr>
        <w:t> </w:t>
      </w:r>
      <w:r>
        <w:rPr>
          <w:sz w:val="24"/>
        </w:rPr>
        <w:t>attorney-client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privilege, including under </w:t>
      </w:r>
      <w:r>
        <w:rPr>
          <w:i/>
          <w:sz w:val="24"/>
        </w:rPr>
        <w:t>Fisher</w:t>
      </w:r>
      <w:r>
        <w:rPr>
          <w:sz w:val="24"/>
        </w:rPr>
        <w:t>.  </w:t>
      </w:r>
      <w:r>
        <w:rPr>
          <w:i/>
          <w:sz w:val="24"/>
        </w:rPr>
        <w:t>See Fisher</w:t>
      </w:r>
      <w:r>
        <w:rPr>
          <w:sz w:val="24"/>
        </w:rPr>
        <w:t>, 425 U.S. at 403 (the attorney-client</w:t>
      </w:r>
      <w:r>
        <w:rPr>
          <w:spacing w:val="-2"/>
          <w:sz w:val="24"/>
        </w:rPr>
        <w:t> </w:t>
      </w:r>
      <w:r>
        <w:rPr>
          <w:sz w:val="24"/>
        </w:rPr>
        <w:t>privilege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“protects only those disclosures necessary to obtain informed legal advice which might not</w:t>
      </w:r>
      <w:r>
        <w:rPr>
          <w:spacing w:val="-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been made absent the privilege”); </w:t>
      </w:r>
      <w:r>
        <w:rPr>
          <w:i/>
          <w:sz w:val="24"/>
        </w:rPr>
        <w:t>Upjohn Co. v. United States</w:t>
      </w:r>
      <w:r>
        <w:rPr>
          <w:sz w:val="24"/>
        </w:rPr>
        <w:t>, 449 U.S. 383, 395–96</w:t>
      </w:r>
      <w:r>
        <w:rPr>
          <w:spacing w:val="-3"/>
          <w:sz w:val="24"/>
        </w:rPr>
        <w:t> </w:t>
      </w:r>
      <w:r>
        <w:rPr>
          <w:sz w:val="24"/>
        </w:rPr>
        <w:t>(1981)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(“The [attorney-client] privilege only protects disclosure of communications; it does not</w:t>
      </w:r>
      <w:r>
        <w:rPr>
          <w:spacing w:val="-4"/>
          <w:sz w:val="24"/>
        </w:rPr>
        <w:t> </w:t>
      </w:r>
      <w:r>
        <w:rPr>
          <w:sz w:val="24"/>
        </w:rPr>
        <w:t>protect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794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20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74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10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90" w:after="0"/>
        <w:ind w:left="730" w:right="0" w:hanging="452"/>
        <w:jc w:val="left"/>
        <w:rPr>
          <w:sz w:val="24"/>
        </w:rPr>
      </w:pPr>
      <w:r>
        <w:rPr>
          <w:sz w:val="24"/>
        </w:rPr>
        <w:t>disclosure of the underlying facts by those who communicated with the attorney.”); </w:t>
      </w:r>
      <w:r>
        <w:rPr>
          <w:i/>
          <w:sz w:val="24"/>
        </w:rPr>
        <w:t>Richey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632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F.3d at 566 (“The attorney-client privilege protects confidential communications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attorneys and clients, which are made for the purpose of giving legal</w:t>
      </w:r>
      <w:r>
        <w:rPr>
          <w:spacing w:val="-1"/>
          <w:sz w:val="24"/>
        </w:rPr>
        <w:t> </w:t>
      </w:r>
      <w:r>
        <w:rPr>
          <w:sz w:val="24"/>
        </w:rPr>
        <w:t>advice.”).</w:t>
      </w:r>
    </w:p>
    <w:p>
      <w:pPr>
        <w:pStyle w:val="ListParagraph"/>
        <w:numPr>
          <w:ilvl w:val="0"/>
          <w:numId w:val="11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i/>
          <w:sz w:val="24"/>
        </w:rPr>
        <w:t>Second</w:t>
      </w:r>
      <w:r>
        <w:rPr>
          <w:sz w:val="24"/>
        </w:rPr>
        <w:t>, the motion record fails to show that Levandowski communicated to his</w:t>
      </w:r>
      <w:r>
        <w:rPr>
          <w:spacing w:val="-5"/>
          <w:sz w:val="24"/>
        </w:rPr>
        <w:t> </w:t>
      </w:r>
      <w:r>
        <w:rPr>
          <w:sz w:val="24"/>
        </w:rPr>
        <w:t>attorney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in confidence, and for the purpose of obtaining legal advice, either (1) whether the third party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reviewed documents in Levandowski’s possession, or (2) the identity of any other items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Levandowski’s possession reviewed by the third party. </w:t>
      </w:r>
      <w:r>
        <w:rPr>
          <w:i/>
          <w:sz w:val="24"/>
        </w:rPr>
        <w:t>Syncor</w:t>
      </w:r>
      <w:r>
        <w:rPr>
          <w:sz w:val="24"/>
        </w:rPr>
        <w:t>, a decision cited</w:t>
      </w:r>
      <w:r>
        <w:rPr>
          <w:spacing w:val="-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Levandowski, actually illustrates the error of his suggestion that the</w:t>
      </w:r>
      <w:r>
        <w:rPr>
          <w:spacing w:val="-1"/>
          <w:sz w:val="24"/>
        </w:rPr>
        <w:t> </w:t>
      </w:r>
      <w:r>
        <w:rPr>
          <w:sz w:val="24"/>
        </w:rPr>
        <w:t>aforementioned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information falls within the ambit of the attorney-client privilege. In </w:t>
      </w:r>
      <w:r>
        <w:rPr>
          <w:i/>
          <w:sz w:val="24"/>
        </w:rPr>
        <w:t>Syncor</w:t>
      </w:r>
      <w:r>
        <w:rPr>
          <w:sz w:val="24"/>
        </w:rPr>
        <w:t>, a</w:t>
      </w:r>
      <w:r>
        <w:rPr>
          <w:spacing w:val="-5"/>
          <w:sz w:val="24"/>
        </w:rPr>
        <w:t> </w:t>
      </w:r>
      <w:r>
        <w:rPr>
          <w:sz w:val="24"/>
        </w:rPr>
        <w:t>defendant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attempted to claim attorney-client and joint-defense privileges over documents prepared</w:t>
      </w:r>
      <w:r>
        <w:rPr>
          <w:spacing w:val="-5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due diligence “solely for the business purpose of a potential merger.” Judge Rosalyn</w:t>
      </w:r>
      <w:r>
        <w:rPr>
          <w:spacing w:val="-4"/>
          <w:sz w:val="24"/>
        </w:rPr>
        <w:t> </w:t>
      </w:r>
      <w:r>
        <w:rPr>
          <w:sz w:val="24"/>
        </w:rPr>
        <w:t>Chapman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rejected the claim, concluding that such documents “cannot fall within the ambit of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attorney-client privilege, which protects only communications between a lawyer and</w:t>
      </w:r>
      <w:r>
        <w:rPr>
          <w:spacing w:val="-3"/>
          <w:sz w:val="24"/>
        </w:rPr>
        <w:t> </w:t>
      </w:r>
      <w:r>
        <w:rPr>
          <w:sz w:val="24"/>
        </w:rPr>
        <w:t>client.”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Syncor</w:t>
      </w:r>
      <w:r>
        <w:rPr>
          <w:sz w:val="24"/>
        </w:rPr>
        <w:t>, 229 F.R.D. at 644–45 (quotation omitted). So too</w:t>
      </w:r>
      <w:r>
        <w:rPr>
          <w:spacing w:val="-1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1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On appeal, Levandowski may argue that he transferred incriminating documents via</w:t>
      </w:r>
      <w:r>
        <w:rPr>
          <w:spacing w:val="-5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attorney to the third party, not for the preparation of any ordinary due diligence report,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specifically so that counsel for Uber could evaluate the extent to which Levandowski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arrive with attendant liabilities. Thus, Levandowski may contend, both the transfer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report itself were “for the purpose of obtaining legal advice.” Although that proposition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not advanced here in the district court, given our expedited schedule, this order anticipates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possibility and explains why it, too, would fail. As stated, its factual predicates are not</w:t>
      </w:r>
      <w:r>
        <w:rPr>
          <w:spacing w:val="-1"/>
          <w:sz w:val="24"/>
        </w:rPr>
        <w:t> </w:t>
      </w:r>
      <w:r>
        <w:rPr>
          <w:sz w:val="24"/>
        </w:rPr>
        <w:t>proven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up with a sworn record. For example, nothing under oath provides any specific information</w:t>
      </w:r>
      <w:r>
        <w:rPr>
          <w:spacing w:val="-4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to the purpose or subject of the due diligence report (other than, of course, the mere fact that</w:t>
      </w:r>
      <w:r>
        <w:rPr>
          <w:spacing w:val="-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is described as a “due diligence report”).  This alone should be dispositive.  Moreover,</w:t>
      </w:r>
      <w:r>
        <w:rPr>
          <w:spacing w:val="-1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 umbrella of this argument, a litigant could abuse the attorney-client privilege to</w:t>
      </w:r>
      <w:r>
        <w:rPr>
          <w:spacing w:val="-3"/>
          <w:sz w:val="24"/>
        </w:rPr>
        <w:t> </w:t>
      </w:r>
      <w:r>
        <w:rPr>
          <w:sz w:val="24"/>
        </w:rPr>
        <w:t>conceal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wrongdoing (like the theft and sale of trade secrets) so long as they cleverly passed it on as</w:t>
      </w:r>
      <w:r>
        <w:rPr>
          <w:spacing w:val="-1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11"/>
        </w:numPr>
        <w:tabs>
          <w:tab w:pos="729" w:val="left" w:leader="none"/>
          <w:tab w:pos="730" w:val="left" w:leader="none"/>
        </w:tabs>
        <w:spacing w:line="408" w:lineRule="auto" w:before="192" w:after="0"/>
        <w:ind w:left="158" w:right="1737" w:firstLine="0"/>
        <w:jc w:val="left"/>
        <w:rPr>
          <w:sz w:val="24"/>
        </w:rPr>
      </w:pPr>
      <w:r>
        <w:rPr>
          <w:sz w:val="24"/>
        </w:rPr>
        <w:t>of “due diligence.” No binding authority supports such an extraordinary result. 28</w:t>
      </w:r>
    </w:p>
    <w:p>
      <w:pPr>
        <w:spacing w:after="0" w:line="408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794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13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1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84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11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1449" w:val="left" w:leader="none"/>
          <w:tab w:pos="1450" w:val="left" w:leader="none"/>
        </w:tabs>
        <w:spacing w:line="240" w:lineRule="auto" w:before="90" w:after="0"/>
        <w:ind w:left="1450" w:right="0" w:hanging="1172"/>
        <w:jc w:val="left"/>
        <w:rPr>
          <w:sz w:val="24"/>
        </w:rPr>
      </w:pPr>
      <w:r>
        <w:rPr>
          <w:i/>
          <w:sz w:val="24"/>
        </w:rPr>
        <w:t>Third</w:t>
      </w:r>
      <w:r>
        <w:rPr>
          <w:sz w:val="24"/>
        </w:rPr>
        <w:t>, even if the specific information Levandowski seeks to redact could be</w:t>
      </w:r>
      <w:r>
        <w:rPr>
          <w:spacing w:val="-2"/>
          <w:sz w:val="24"/>
        </w:rPr>
        <w:t> </w:t>
      </w:r>
      <w:r>
        <w:rPr>
          <w:sz w:val="24"/>
        </w:rPr>
        <w:t>construed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as confidential attorney-client communications, it is not testimonial within the meaning of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Fifth Amendment. </w:t>
      </w:r>
      <w:r>
        <w:rPr>
          <w:i/>
          <w:sz w:val="24"/>
        </w:rPr>
        <w:t>See Fisher</w:t>
      </w:r>
      <w:r>
        <w:rPr>
          <w:sz w:val="24"/>
        </w:rPr>
        <w:t>, 425 U.S. at 410 (whether “tacit averments . . . are</w:t>
      </w:r>
      <w:r>
        <w:rPr>
          <w:spacing w:val="-3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‘testimonial’ and ‘incriminating’ for purposes of applying the Fifth Amendment . . .</w:t>
      </w:r>
      <w:r>
        <w:rPr>
          <w:spacing w:val="-7"/>
          <w:sz w:val="24"/>
        </w:rPr>
        <w:t> </w:t>
      </w:r>
      <w:r>
        <w:rPr>
          <w:sz w:val="24"/>
        </w:rPr>
        <w:t>depend[s]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on the facts and circumstances of particular cases”). As stated, this Court reviewed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requested redactions in camera and concluded that none of the information at issue</w:t>
      </w:r>
      <w:r>
        <w:rPr>
          <w:spacing w:val="-3"/>
          <w:sz w:val="24"/>
        </w:rPr>
        <w:t> </w:t>
      </w:r>
      <w:r>
        <w:rPr>
          <w:sz w:val="24"/>
        </w:rPr>
        <w:t>constitutes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self-incriminating testimony, implicit or otherwise, from </w:t>
      </w:r>
      <w:r>
        <w:rPr>
          <w:i/>
          <w:sz w:val="24"/>
        </w:rPr>
        <w:t>Levandowski</w:t>
      </w:r>
      <w:r>
        <w:rPr>
          <w:sz w:val="24"/>
        </w:rPr>
        <w:t>. To the extent that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information is arguably testimonial, it is clear that </w:t>
      </w:r>
      <w:r>
        <w:rPr>
          <w:i/>
          <w:sz w:val="24"/>
        </w:rPr>
        <w:t>Uber</w:t>
      </w:r>
      <w:r>
        <w:rPr>
          <w:sz w:val="24"/>
        </w:rPr>
        <w:t>, not Levandowski, would be the</w:t>
      </w:r>
      <w:r>
        <w:rPr>
          <w:spacing w:val="-5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testifying on the privilege log in question.</w:t>
      </w:r>
    </w:p>
    <w:p>
      <w:pPr>
        <w:pStyle w:val="ListParagraph"/>
        <w:numPr>
          <w:ilvl w:val="1"/>
          <w:numId w:val="11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i/>
          <w:sz w:val="24"/>
        </w:rPr>
        <w:t>Fourth</w:t>
      </w:r>
      <w:r>
        <w:rPr>
          <w:sz w:val="24"/>
        </w:rPr>
        <w:t>, the policy considerations underlying </w:t>
      </w:r>
      <w:r>
        <w:rPr>
          <w:i/>
          <w:sz w:val="24"/>
        </w:rPr>
        <w:t>Fisher </w:t>
      </w:r>
      <w:r>
        <w:rPr>
          <w:sz w:val="24"/>
        </w:rPr>
        <w:t>counsel against application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attorney-client privilege here. As stated, the record does not show that</w:t>
      </w:r>
      <w:r>
        <w:rPr>
          <w:spacing w:val="-1"/>
          <w:sz w:val="24"/>
        </w:rPr>
        <w:t> </w:t>
      </w:r>
      <w:r>
        <w:rPr>
          <w:sz w:val="24"/>
        </w:rPr>
        <w:t>Levandowski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communicated the privilege log information at issue in confidence to his attorney for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purpose of obtaining legal advice.  Indeed, if Levandowski transferred any</w:t>
      </w:r>
      <w:r>
        <w:rPr>
          <w:spacing w:val="-2"/>
          <w:sz w:val="24"/>
        </w:rPr>
        <w:t> </w:t>
      </w:r>
      <w:r>
        <w:rPr>
          <w:sz w:val="24"/>
        </w:rPr>
        <w:t>incriminating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documents to the third party, it would seem he did so for the purpose of selling his ventures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Uber for $680 million. In contrast, </w:t>
      </w:r>
      <w:r>
        <w:rPr>
          <w:i/>
          <w:sz w:val="24"/>
        </w:rPr>
        <w:t>Fisher </w:t>
      </w:r>
      <w:r>
        <w:rPr>
          <w:sz w:val="24"/>
        </w:rPr>
        <w:t>involved individuals who transferred documents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their personal attorneys for legal advice in connection with IRS investigations. It did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involve a joint defense agreement. Not did it involve presenting documents to a</w:t>
      </w:r>
      <w:r>
        <w:rPr>
          <w:spacing w:val="-3"/>
          <w:sz w:val="24"/>
        </w:rPr>
        <w:t> </w:t>
      </w:r>
      <w:r>
        <w:rPr>
          <w:sz w:val="24"/>
        </w:rPr>
        <w:t>non-lawyer.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Nor did it involve presenting documents to a consultant for due diligence by the other side in</w:t>
      </w:r>
      <w:r>
        <w:rPr>
          <w:spacing w:val="-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acquisition.  </w:t>
      </w:r>
      <w:r>
        <w:rPr>
          <w:i/>
          <w:sz w:val="24"/>
        </w:rPr>
        <w:t>Fisher </w:t>
      </w:r>
      <w:r>
        <w:rPr>
          <w:sz w:val="24"/>
        </w:rPr>
        <w:t>is very far removed from the circumstances of our case, which simply</w:t>
      </w:r>
      <w:r>
        <w:rPr>
          <w:spacing w:val="-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not involve the kind of client-attorney communications that </w:t>
      </w:r>
      <w:r>
        <w:rPr>
          <w:i/>
          <w:sz w:val="24"/>
        </w:rPr>
        <w:t>Fisher </w:t>
      </w:r>
      <w:r>
        <w:rPr>
          <w:sz w:val="24"/>
        </w:rPr>
        <w:t>intended to</w:t>
      </w:r>
      <w:r>
        <w:rPr>
          <w:spacing w:val="-2"/>
          <w:sz w:val="24"/>
        </w:rPr>
        <w:t> </w:t>
      </w:r>
      <w:r>
        <w:rPr>
          <w:sz w:val="24"/>
        </w:rPr>
        <w:t>protect.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 has thus failed to justify his requests to withhold privilege log information</w:t>
      </w:r>
      <w:r>
        <w:rPr>
          <w:spacing w:val="-2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Fisher</w:t>
      </w:r>
      <w:r>
        <w:rPr>
          <w:sz w:val="24"/>
        </w:rPr>
        <w:t>. </w:t>
      </w:r>
      <w:r>
        <w:rPr>
          <w:i/>
          <w:sz w:val="24"/>
        </w:rPr>
        <w:t>See id. </w:t>
      </w:r>
      <w:r>
        <w:rPr>
          <w:sz w:val="24"/>
        </w:rPr>
        <w:t>at 403 (“[S]ince the [attorney-client] privilege has the effect of</w:t>
      </w:r>
      <w:r>
        <w:rPr>
          <w:spacing w:val="-2"/>
          <w:sz w:val="24"/>
        </w:rPr>
        <w:t> </w:t>
      </w:r>
      <w:r>
        <w:rPr>
          <w:sz w:val="24"/>
        </w:rPr>
        <w:t>withholding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relevant information from the fact-finder, it applies only where necessary to achieve its</w:t>
      </w:r>
      <w:r>
        <w:rPr>
          <w:spacing w:val="-4"/>
          <w:sz w:val="24"/>
        </w:rPr>
        <w:t> </w:t>
      </w:r>
      <w:r>
        <w:rPr>
          <w:sz w:val="24"/>
        </w:rPr>
        <w:t>purpose.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Accordingly it protects only those disclosures necessary to obtain informed legal advice</w:t>
      </w:r>
      <w:r>
        <w:rPr>
          <w:spacing w:val="-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might not have been made absent the</w:t>
      </w:r>
      <w:r>
        <w:rPr>
          <w:spacing w:val="-1"/>
          <w:sz w:val="24"/>
        </w:rPr>
        <w:t> </w:t>
      </w:r>
      <w:r>
        <w:rPr>
          <w:sz w:val="24"/>
        </w:rPr>
        <w:t>privilege.”).</w:t>
      </w:r>
    </w:p>
    <w:p>
      <w:pPr>
        <w:pStyle w:val="ListParagraph"/>
        <w:numPr>
          <w:ilvl w:val="1"/>
          <w:numId w:val="11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Levandowski’s motion cites the California Rules of Professional Conduct and our</w:t>
      </w:r>
      <w:r>
        <w:rPr>
          <w:spacing w:val="-2"/>
          <w:sz w:val="24"/>
        </w:rPr>
        <w:t> </w:t>
      </w:r>
      <w:r>
        <w:rPr>
          <w:sz w:val="24"/>
        </w:rPr>
        <w:t>Civil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Local Rules for the general proposition that attorneys are ethically required to avoid disclosing</w:t>
      </w:r>
    </w:p>
    <w:p>
      <w:pPr>
        <w:pStyle w:val="ListParagraph"/>
        <w:numPr>
          <w:ilvl w:val="1"/>
          <w:numId w:val="1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 client’s “confidences” or “secrets” — “unless an appropriate court order is obtained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794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806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8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12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90" w:after="0"/>
        <w:ind w:left="730" w:right="0" w:hanging="452"/>
        <w:jc w:val="left"/>
        <w:rPr>
          <w:sz w:val="24"/>
        </w:rPr>
      </w:pPr>
      <w:r>
        <w:rPr>
          <w:sz w:val="24"/>
        </w:rPr>
        <w:t>requesting party” (Dkt. No. 147 at 8–9). The suggestion that the privilege log at issue</w:t>
      </w:r>
      <w:r>
        <w:rPr>
          <w:spacing w:val="-1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would violate defense counsel’s ethical obligation to protect Levandowski’s “confidences”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“secrets” is a non-starter because the expedited discovery order dated March 16 is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“appropriate court order” that, according to Levandowski’s own argument, supersedes</w:t>
      </w:r>
      <w:r>
        <w:rPr>
          <w:spacing w:val="-2"/>
          <w:sz w:val="24"/>
        </w:rPr>
        <w:t> </w:t>
      </w:r>
      <w:r>
        <w:rPr>
          <w:sz w:val="24"/>
        </w:rPr>
        <w:t>generic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countervailing ethical obligations.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In summary, Levandowski has not carried his burden to show that any privilege</w:t>
      </w:r>
      <w:r>
        <w:rPr>
          <w:spacing w:val="-4"/>
          <w:sz w:val="24"/>
        </w:rPr>
        <w:t> </w:t>
      </w:r>
      <w:r>
        <w:rPr>
          <w:sz w:val="24"/>
        </w:rPr>
        <w:t>justifies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his requested relief. Any remaining argument based on the joint defense agreement also</w:t>
      </w:r>
      <w:r>
        <w:rPr>
          <w:spacing w:val="-4"/>
          <w:sz w:val="24"/>
        </w:rPr>
        <w:t> </w:t>
      </w:r>
      <w:r>
        <w:rPr>
          <w:sz w:val="24"/>
        </w:rPr>
        <w:t>fails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because the joint-defense privilege “presupposes the existence of an otherwise valid underlying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i/>
          <w:sz w:val="24"/>
        </w:rPr>
      </w:pPr>
      <w:r>
        <w:rPr>
          <w:sz w:val="24"/>
        </w:rPr>
        <w:t>privilege, such as the attorney-client privilege, which has not been shown to be present.”</w:t>
      </w:r>
      <w:r>
        <w:rPr>
          <w:spacing w:val="59"/>
          <w:sz w:val="24"/>
        </w:rPr>
        <w:t> </w:t>
      </w:r>
      <w:r>
        <w:rPr>
          <w:i/>
          <w:sz w:val="24"/>
        </w:rPr>
        <w:t>See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i/>
          <w:sz w:val="24"/>
        </w:rPr>
        <w:t>Syncor</w:t>
      </w:r>
      <w:r>
        <w:rPr>
          <w:sz w:val="24"/>
        </w:rPr>
        <w:t>, 229 F.R.D. at 645 (citing </w:t>
      </w:r>
      <w:r>
        <w:rPr>
          <w:i/>
          <w:sz w:val="24"/>
        </w:rPr>
        <w:t>Henke</w:t>
      </w:r>
      <w:r>
        <w:rPr>
          <w:sz w:val="24"/>
        </w:rPr>
        <w:t>, 222 F.3d at</w:t>
      </w:r>
      <w:r>
        <w:rPr>
          <w:spacing w:val="-2"/>
          <w:sz w:val="24"/>
        </w:rPr>
        <w:t> </w:t>
      </w:r>
      <w:r>
        <w:rPr>
          <w:sz w:val="24"/>
        </w:rPr>
        <w:t>637).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At risk of repetition, the very purpose of a privilege log is to allow a fair way to test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claim of privilege. That traditional privilege log requirements should be verboten</w:t>
      </w:r>
      <w:r>
        <w:rPr>
          <w:spacing w:val="-4"/>
          <w:sz w:val="24"/>
        </w:rPr>
        <w:t> </w:t>
      </w:r>
      <w:r>
        <w:rPr>
          <w:sz w:val="24"/>
        </w:rPr>
        <w:t>merely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because they might connect the dots back to a non-party in a possible criminal investigation is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sweeping proposition under which all manner of mischief could be</w:t>
      </w:r>
      <w:r>
        <w:rPr>
          <w:spacing w:val="-1"/>
          <w:sz w:val="24"/>
        </w:rPr>
        <w:t> </w:t>
      </w:r>
      <w:r>
        <w:rPr>
          <w:sz w:val="24"/>
        </w:rPr>
        <w:t>concealed.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We are still at the privilege log stage. There will be time enough to argue soon</w:t>
      </w:r>
      <w:r>
        <w:rPr>
          <w:spacing w:val="-4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whether the due diligence report itself must be produced, but for now that report must be put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 privilege log in the conventional way — without any of the redactions requested by</w:t>
      </w:r>
      <w:r>
        <w:rPr>
          <w:spacing w:val="-1"/>
          <w:sz w:val="24"/>
        </w:rPr>
        <w:t> </w:t>
      </w:r>
      <w:r>
        <w:rPr>
          <w:sz w:val="24"/>
        </w:rPr>
        <w:t>counsel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for Levandowski.</w:t>
      </w:r>
    </w:p>
    <w:p>
      <w:pPr>
        <w:pStyle w:val="Heading1"/>
        <w:numPr>
          <w:ilvl w:val="0"/>
          <w:numId w:val="12"/>
        </w:numPr>
        <w:tabs>
          <w:tab w:pos="4551" w:val="left" w:leader="none"/>
          <w:tab w:pos="4552" w:val="left" w:leader="none"/>
        </w:tabs>
        <w:spacing w:line="240" w:lineRule="auto" w:before="192" w:after="0"/>
        <w:ind w:left="4552" w:right="0" w:hanging="4394"/>
        <w:jc w:val="left"/>
      </w:pPr>
      <w:r>
        <w:rPr/>
        <w:t>CONCLUSION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For the foregoing reasons, Levandowski’s motion is</w:t>
      </w:r>
      <w:r>
        <w:rPr>
          <w:spacing w:val="-1"/>
          <w:sz w:val="24"/>
        </w:rPr>
        <w:t> </w:t>
      </w:r>
      <w:r>
        <w:rPr>
          <w:b/>
          <w:sz w:val="24"/>
        </w:rPr>
        <w:t>D</w:t>
      </w:r>
      <w:r>
        <w:rPr>
          <w:b/>
          <w:sz w:val="19"/>
        </w:rPr>
        <w:t>ENIED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  <w:tab w:pos="2169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1.</w:t>
        <w:tab/>
        <w:t>By </w:t>
      </w:r>
      <w:r>
        <w:rPr>
          <w:b/>
          <w:sz w:val="24"/>
        </w:rPr>
        <w:t>11:00 </w:t>
      </w:r>
      <w:r>
        <w:rPr>
          <w:b/>
          <w:sz w:val="19"/>
        </w:rPr>
        <w:t>P</w:t>
      </w:r>
      <w:r>
        <w:rPr>
          <w:b/>
          <w:sz w:val="24"/>
        </w:rPr>
        <w:t>.</w:t>
      </w:r>
      <w:r>
        <w:rPr>
          <w:b/>
          <w:sz w:val="19"/>
        </w:rPr>
        <w:t>M</w:t>
      </w:r>
      <w:r>
        <w:rPr>
          <w:b/>
          <w:sz w:val="24"/>
        </w:rPr>
        <w:t>. </w:t>
      </w:r>
      <w:r>
        <w:rPr>
          <w:b/>
          <w:sz w:val="19"/>
        </w:rPr>
        <w:t>TODAY</w:t>
      </w:r>
      <w:r>
        <w:rPr>
          <w:sz w:val="24"/>
        </w:rPr>
        <w:t>, defendants shall serve a privilege log complete as to</w:t>
      </w:r>
      <w:r>
        <w:rPr>
          <w:spacing w:val="-2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items unaffected by this</w:t>
      </w:r>
      <w:r>
        <w:rPr>
          <w:spacing w:val="-1"/>
          <w:sz w:val="24"/>
        </w:rPr>
        <w:t> </w:t>
      </w:r>
      <w:r>
        <w:rPr>
          <w:sz w:val="24"/>
        </w:rPr>
        <w:t>motion.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  <w:tab w:pos="2169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2.</w:t>
        <w:tab/>
        <w:t>By </w:t>
      </w:r>
      <w:r>
        <w:rPr>
          <w:b/>
          <w:sz w:val="24"/>
        </w:rPr>
        <w:t>A</w:t>
      </w:r>
      <w:r>
        <w:rPr>
          <w:b/>
          <w:sz w:val="19"/>
        </w:rPr>
        <w:t>PRIL </w:t>
      </w:r>
      <w:r>
        <w:rPr>
          <w:b/>
          <w:sz w:val="24"/>
        </w:rPr>
        <w:t>13 </w:t>
      </w:r>
      <w:r>
        <w:rPr>
          <w:b/>
          <w:sz w:val="19"/>
        </w:rPr>
        <w:t>AT </w:t>
      </w:r>
      <w:r>
        <w:rPr>
          <w:b/>
          <w:sz w:val="24"/>
        </w:rPr>
        <w:t>5:00 </w:t>
      </w:r>
      <w:r>
        <w:rPr>
          <w:b/>
          <w:sz w:val="19"/>
        </w:rPr>
        <w:t>P</w:t>
      </w:r>
      <w:r>
        <w:rPr>
          <w:b/>
          <w:sz w:val="24"/>
        </w:rPr>
        <w:t>.</w:t>
      </w:r>
      <w:r>
        <w:rPr>
          <w:b/>
          <w:sz w:val="19"/>
        </w:rPr>
        <w:t>M</w:t>
      </w:r>
      <w:r>
        <w:rPr>
          <w:b/>
          <w:sz w:val="24"/>
        </w:rPr>
        <w:t>.</w:t>
      </w:r>
      <w:r>
        <w:rPr>
          <w:sz w:val="24"/>
        </w:rPr>
        <w:t>, defendants shall serve a privilege log complete as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all items affected by this motion unless the court of appeals extends the</w:t>
      </w:r>
      <w:r>
        <w:rPr>
          <w:spacing w:val="-2"/>
          <w:sz w:val="24"/>
        </w:rPr>
        <w:t> </w:t>
      </w:r>
      <w:r>
        <w:rPr>
          <w:sz w:val="24"/>
        </w:rPr>
        <w:t>deadline.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  <w:tab w:pos="2170" w:val="left" w:leader="none"/>
        </w:tabs>
        <w:spacing w:line="240" w:lineRule="auto" w:before="192" w:after="0"/>
        <w:ind w:left="1450" w:right="0" w:hanging="1292"/>
        <w:jc w:val="left"/>
        <w:rPr>
          <w:sz w:val="24"/>
        </w:rPr>
      </w:pPr>
      <w:r>
        <w:rPr>
          <w:sz w:val="24"/>
        </w:rPr>
        <w:t>3.</w:t>
        <w:tab/>
        <w:t>Since it appears that the due diligence report is the main item at issue,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following procedure will be used to move the process along. By </w:t>
      </w:r>
      <w:r>
        <w:rPr>
          <w:b/>
          <w:sz w:val="24"/>
        </w:rPr>
        <w:t>A</w:t>
      </w:r>
      <w:r>
        <w:rPr>
          <w:b/>
          <w:sz w:val="19"/>
        </w:rPr>
        <w:t>PRIL </w:t>
      </w:r>
      <w:r>
        <w:rPr>
          <w:b/>
          <w:sz w:val="24"/>
        </w:rPr>
        <w:t>14 </w:t>
      </w:r>
      <w:r>
        <w:rPr>
          <w:b/>
          <w:sz w:val="19"/>
        </w:rPr>
        <w:t>AT NOON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plaintiff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shall move, if it wishes to do so at all, to compel production of the report. Defendants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572"/>
        <w:jc w:val="left"/>
        <w:rPr>
          <w:sz w:val="24"/>
        </w:rPr>
      </w:pPr>
      <w:r>
        <w:rPr>
          <w:sz w:val="24"/>
        </w:rPr>
        <w:t>Levandowski shall have until </w:t>
      </w:r>
      <w:r>
        <w:rPr>
          <w:b/>
          <w:sz w:val="24"/>
        </w:rPr>
        <w:t>A</w:t>
      </w:r>
      <w:r>
        <w:rPr>
          <w:b/>
          <w:sz w:val="19"/>
        </w:rPr>
        <w:t>PRIL </w:t>
      </w:r>
      <w:r>
        <w:rPr>
          <w:b/>
          <w:sz w:val="24"/>
        </w:rPr>
        <w:t>21 </w:t>
      </w:r>
      <w:r>
        <w:rPr>
          <w:b/>
          <w:sz w:val="19"/>
        </w:rPr>
        <w:t>AT NOON </w:t>
      </w:r>
      <w:r>
        <w:rPr>
          <w:sz w:val="24"/>
        </w:rPr>
        <w:t>to oppose, shall submit a proper sworn</w:t>
      </w:r>
      <w:r>
        <w:rPr>
          <w:spacing w:val="6"/>
          <w:sz w:val="24"/>
        </w:rPr>
        <w:t> </w:t>
      </w:r>
      <w:r>
        <w:rPr>
          <w:sz w:val="24"/>
        </w:rPr>
        <w:t>record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40" w:right="800"/>
        </w:sectPr>
      </w:pPr>
    </w:p>
    <w:p>
      <w:pPr>
        <w:pStyle w:val="BodyText"/>
        <w:spacing w:before="75"/>
        <w:ind w:left="794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1799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96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00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 3:17-cv-00939-WHA Document 202 Filed 04/10/17 Page 13 of 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29" w:val="left" w:leader="none"/>
          <w:tab w:pos="730" w:val="left" w:leader="none"/>
        </w:tabs>
        <w:spacing w:line="240" w:lineRule="auto" w:before="90" w:after="0"/>
        <w:ind w:left="730" w:right="0" w:hanging="452"/>
        <w:jc w:val="left"/>
        <w:rPr>
          <w:sz w:val="24"/>
        </w:rPr>
      </w:pPr>
      <w:r>
        <w:rPr>
          <w:sz w:val="24"/>
        </w:rPr>
        <w:t>as to all necessary predicates, and shall submit the full report (with attachments) for in</w:t>
      </w:r>
      <w:r>
        <w:rPr>
          <w:spacing w:val="-6"/>
          <w:sz w:val="24"/>
        </w:rPr>
        <w:t> </w:t>
      </w:r>
      <w:r>
        <w:rPr>
          <w:sz w:val="24"/>
        </w:rPr>
        <w:t>camera</w:t>
      </w:r>
    </w:p>
    <w:p>
      <w:pPr>
        <w:pStyle w:val="ListParagraph"/>
        <w:numPr>
          <w:ilvl w:val="0"/>
          <w:numId w:val="13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review. Plaintiff may reply by </w:t>
      </w:r>
      <w:r>
        <w:rPr>
          <w:b/>
          <w:sz w:val="24"/>
        </w:rPr>
        <w:t>A</w:t>
      </w:r>
      <w:r>
        <w:rPr>
          <w:b/>
          <w:sz w:val="19"/>
        </w:rPr>
        <w:t>PRIL </w:t>
      </w:r>
      <w:r>
        <w:rPr>
          <w:b/>
          <w:sz w:val="24"/>
        </w:rPr>
        <w:t>25 </w:t>
      </w:r>
      <w:r>
        <w:rPr>
          <w:b/>
          <w:sz w:val="19"/>
        </w:rPr>
        <w:t>AT NOON</w:t>
      </w:r>
      <w:r>
        <w:rPr>
          <w:sz w:val="24"/>
        </w:rPr>
        <w:t>. The briefs should address the</w:t>
      </w:r>
      <w:r>
        <w:rPr>
          <w:spacing w:val="-5"/>
          <w:sz w:val="24"/>
        </w:rPr>
        <w:t> </w:t>
      </w:r>
      <w:r>
        <w:rPr>
          <w:sz w:val="24"/>
        </w:rPr>
        <w:t>possibility</w:t>
      </w:r>
    </w:p>
    <w:p>
      <w:pPr>
        <w:pStyle w:val="ListParagraph"/>
        <w:numPr>
          <w:ilvl w:val="0"/>
          <w:numId w:val="13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that discovery into the predicates for any privilege may be</w:t>
      </w:r>
      <w:r>
        <w:rPr>
          <w:spacing w:val="-1"/>
          <w:sz w:val="24"/>
        </w:rPr>
        <w:t> </w:t>
      </w:r>
      <w:r>
        <w:rPr>
          <w:sz w:val="24"/>
        </w:rPr>
        <w:t>allowed.</w:t>
      </w:r>
    </w:p>
    <w:p>
      <w:pPr>
        <w:pStyle w:val="ListParagraph"/>
        <w:numPr>
          <w:ilvl w:val="0"/>
          <w:numId w:val="13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Should counsel file any petition for a writ in the court of appeals, please take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13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30" w:right="0" w:hanging="452"/>
        <w:jc w:val="left"/>
        <w:rPr>
          <w:sz w:val="24"/>
        </w:rPr>
      </w:pPr>
      <w:r>
        <w:rPr>
          <w:sz w:val="24"/>
        </w:rPr>
        <w:t>account that this civil action includes claims for patent</w:t>
      </w:r>
      <w:r>
        <w:rPr>
          <w:spacing w:val="-1"/>
          <w:sz w:val="24"/>
        </w:rPr>
        <w:t> </w:t>
      </w:r>
      <w:r>
        <w:rPr>
          <w:sz w:val="24"/>
        </w:rPr>
        <w:t>infringement.</w:t>
      </w:r>
    </w:p>
    <w:p>
      <w:pPr>
        <w:pStyle w:val="ListParagraph"/>
        <w:numPr>
          <w:ilvl w:val="0"/>
          <w:numId w:val="13"/>
        </w:numPr>
        <w:tabs>
          <w:tab w:pos="1449" w:val="left" w:leader="none"/>
          <w:tab w:pos="1450" w:val="left" w:leader="none"/>
        </w:tabs>
        <w:spacing w:line="240" w:lineRule="auto" w:before="192" w:after="0"/>
        <w:ind w:left="1450" w:right="0" w:hanging="1172"/>
        <w:jc w:val="left"/>
        <w:rPr>
          <w:sz w:val="24"/>
        </w:rPr>
      </w:pPr>
      <w:r>
        <w:rPr>
          <w:sz w:val="24"/>
        </w:rPr>
        <w:t>The proposed privilege log with requested redactions submitted for in camera</w:t>
      </w:r>
      <w:r>
        <w:rPr>
          <w:spacing w:val="-3"/>
          <w:sz w:val="24"/>
        </w:rPr>
        <w:t> </w:t>
      </w:r>
      <w:r>
        <w:rPr>
          <w:sz w:val="24"/>
        </w:rPr>
        <w:t>review</w:t>
      </w:r>
    </w:p>
    <w:p>
      <w:pPr>
        <w:pStyle w:val="ListParagraph"/>
        <w:numPr>
          <w:ilvl w:val="0"/>
          <w:numId w:val="13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shall remain under seal for the court of appeals. This order addresses only the</w:t>
      </w:r>
      <w:r>
        <w:rPr>
          <w:spacing w:val="-1"/>
          <w:sz w:val="24"/>
        </w:rPr>
        <w:t> </w:t>
      </w:r>
      <w:r>
        <w:rPr>
          <w:sz w:val="24"/>
        </w:rPr>
        <w:t>Fifth</w:t>
      </w:r>
    </w:p>
    <w:p>
      <w:pPr>
        <w:pStyle w:val="ListParagraph"/>
        <w:numPr>
          <w:ilvl w:val="0"/>
          <w:numId w:val="13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452"/>
        <w:jc w:val="left"/>
        <w:rPr>
          <w:sz w:val="24"/>
        </w:rPr>
      </w:pPr>
      <w:r>
        <w:rPr>
          <w:sz w:val="24"/>
        </w:rPr>
        <w:t>Amendment argument and is without prejudice to any argument that the privilege log</w:t>
      </w:r>
      <w:r>
        <w:rPr>
          <w:spacing w:val="-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3"/>
        </w:numPr>
        <w:tabs>
          <w:tab w:pos="729" w:val="left" w:leader="none"/>
          <w:tab w:pos="730" w:val="left" w:leader="none"/>
        </w:tabs>
        <w:spacing w:line="408" w:lineRule="auto" w:before="192" w:after="0"/>
        <w:ind w:left="158" w:right="7246" w:firstLine="120"/>
        <w:jc w:val="left"/>
        <w:rPr>
          <w:sz w:val="24"/>
        </w:rPr>
      </w:pPr>
      <w:r>
        <w:rPr>
          <w:sz w:val="24"/>
        </w:rPr>
        <w:t>otherwise </w:t>
      </w:r>
      <w:r>
        <w:rPr>
          <w:spacing w:val="-3"/>
          <w:sz w:val="24"/>
        </w:rPr>
        <w:t>incomplete. </w:t>
      </w:r>
      <w:r>
        <w:rPr>
          <w:sz w:val="24"/>
        </w:rPr>
        <w:t>10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spacing w:line="278" w:lineRule="exact" w:before="210"/>
        <w:ind w:left="6122" w:right="0" w:firstLine="0"/>
        <w:jc w:val="left"/>
        <w:rPr>
          <w:sz w:val="22"/>
        </w:rPr>
      </w:pPr>
      <w:r>
        <w:rPr/>
        <w:pict>
          <v:group style="position:absolute;margin-left:373.140015pt;margin-top:-4.209697pt;width:189pt;height:27.2pt;mso-position-horizontal-relative:page;mso-position-vertical-relative:paragraph;z-index:-17944" coordorigin="7463,-84" coordsize="3780,544">
            <v:shape style="position:absolute;left:8502;top:-85;width:2071;height:544" type="#_x0000_t75" stroked="false">
              <v:imagedata r:id="rId7" o:title=""/>
            </v:shape>
            <v:line style="position:absolute" from="7463,266" to="11243,266" stroked="true" strokeweight=".7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2.440002pt;margin-top:-48.123058pt;width:181.45pt;height:429.8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905"/>
                    <w:gridCol w:w="2329"/>
                  </w:tblGrid>
                  <w:tr>
                    <w:trPr>
                      <w:trHeight w:val="416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>
                        <w:pPr>
                          <w:pStyle w:val="TableParagraph"/>
                          <w:spacing w:before="40"/>
                          <w:ind w:left="39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 IS SO ORDERED.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22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Dated:</w:t>
                        </w:r>
                      </w:p>
                    </w:tc>
                    <w:tc>
                      <w:tcPr>
                        <w:tcW w:w="2329" w:type="dxa"/>
                      </w:tcPr>
                      <w:p>
                        <w:pPr>
                          <w:pStyle w:val="TableParagraph"/>
                          <w:ind w:left="7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10, 2017.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sz w:val="28"/>
        </w:rPr>
        <w:t>W</w:t>
      </w:r>
      <w:r>
        <w:rPr>
          <w:sz w:val="22"/>
        </w:rPr>
        <w:t>ILLIAM </w:t>
      </w:r>
      <w:r>
        <w:rPr>
          <w:sz w:val="28"/>
        </w:rPr>
        <w:t>A</w:t>
      </w:r>
      <w:r>
        <w:rPr>
          <w:sz w:val="22"/>
        </w:rPr>
        <w:t>LSUP</w:t>
      </w:r>
    </w:p>
    <w:p>
      <w:pPr>
        <w:spacing w:line="278" w:lineRule="exact" w:before="0"/>
        <w:ind w:left="6122" w:right="0" w:firstLine="0"/>
        <w:jc w:val="left"/>
        <w:rPr>
          <w:sz w:val="22"/>
        </w:rPr>
      </w:pPr>
      <w:r>
        <w:rPr>
          <w:sz w:val="28"/>
        </w:rPr>
        <w:t>U</w:t>
      </w:r>
      <w:r>
        <w:rPr>
          <w:sz w:val="22"/>
        </w:rPr>
        <w:t>NITED </w:t>
      </w:r>
      <w:r>
        <w:rPr>
          <w:sz w:val="28"/>
        </w:rPr>
        <w:t>S</w:t>
      </w:r>
      <w:r>
        <w:rPr>
          <w:sz w:val="22"/>
        </w:rPr>
        <w:t>TATES </w:t>
      </w:r>
      <w:r>
        <w:rPr>
          <w:sz w:val="28"/>
        </w:rPr>
        <w:t>D</w:t>
      </w:r>
      <w:r>
        <w:rPr>
          <w:sz w:val="22"/>
        </w:rPr>
        <w:t>ISTRICT </w:t>
      </w:r>
      <w:r>
        <w:rPr>
          <w:sz w:val="28"/>
        </w:rPr>
        <w:t>J</w:t>
      </w:r>
      <w:r>
        <w:rPr>
          <w:sz w:val="22"/>
        </w:rPr>
        <w:t>UDGE</w:t>
      </w:r>
    </w:p>
    <w:sectPr>
      <w:pgSz w:w="12240" w:h="15840"/>
      <w:pgMar w:header="0" w:footer="788" w:top="200" w:bottom="980" w:left="13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27.220001pt;margin-top:741.606628pt;width:16pt;height:15.3pt;mso-position-horizontal-relative:page;mso-position-vertical-relative:page;z-index:-189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"/>
      <w:lvlJc w:val="left"/>
      <w:pPr>
        <w:ind w:left="730" w:hanging="4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5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30" w:hanging="45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5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30" w:hanging="452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5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0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1172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730" w:hanging="452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52"/>
      </w:pPr>
      <w:rPr>
        <w:rFonts w:hint="default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1367" w:hanging="1209"/>
        <w:jc w:val="left"/>
      </w:pPr>
      <w:rPr>
        <w:rFonts w:hint="default" w:ascii="Times New Roman" w:hAnsi="Times New Roman" w:eastAsia="Times New Roman" w:cs="Times New Roman"/>
        <w:spacing w:val="-4"/>
        <w:w w:val="99"/>
        <w:position w:val="6"/>
        <w:sz w:val="24"/>
        <w:szCs w:val="24"/>
      </w:rPr>
    </w:lvl>
    <w:lvl w:ilvl="1">
      <w:start w:val="1"/>
      <w:numFmt w:val="decimal"/>
      <w:lvlText w:val="%2"/>
      <w:lvlJc w:val="left"/>
      <w:pPr>
        <w:ind w:left="73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1"/>
      <w:numFmt w:val="decimal"/>
      <w:lvlText w:val="%3"/>
      <w:lvlJc w:val="left"/>
      <w:pPr>
        <w:ind w:left="1450" w:hanging="117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540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0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0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1172"/>
      </w:pPr>
      <w:rPr>
        <w:rFonts w:hint="default"/>
      </w:rPr>
    </w:lvl>
  </w:abstractNum>
  <w:abstractNum w:abstractNumId="7">
    <w:multiLevelType w:val="hybridMultilevel"/>
    <w:lvl w:ilvl="0">
      <w:start w:val="23"/>
      <w:numFmt w:val="decimal"/>
      <w:lvlText w:val="%1"/>
      <w:lvlJc w:val="left"/>
      <w:pPr>
        <w:ind w:left="730" w:hanging="5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5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0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1172"/>
      </w:pPr>
      <w:rPr>
        <w:rFonts w:hint="default"/>
      </w:rPr>
    </w:lvl>
  </w:abstractNum>
  <w:abstractNum w:abstractNumId="6">
    <w:multiLevelType w:val="hybridMultilevel"/>
    <w:lvl w:ilvl="0">
      <w:start w:val="15"/>
      <w:numFmt w:val="decimal"/>
      <w:lvlText w:val="%1"/>
      <w:lvlJc w:val="left"/>
      <w:pPr>
        <w:ind w:left="730" w:hanging="57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57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30" w:hanging="452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52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1450" w:hanging="129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8" w:hanging="1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2" w:hanging="1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1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1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4" w:hanging="1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1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92"/>
      </w:pPr>
      <w:rPr>
        <w:rFonts w:hint="default"/>
      </w:rPr>
    </w:lvl>
  </w:abstractNum>
  <w:abstractNum w:abstractNumId="3">
    <w:multiLevelType w:val="hybridMultilevel"/>
    <w:lvl w:ilvl="0">
      <w:start w:val="24"/>
      <w:numFmt w:val="decimal"/>
      <w:lvlText w:val="%1"/>
      <w:lvlJc w:val="left"/>
      <w:pPr>
        <w:ind w:left="2260" w:hanging="210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73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131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4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7" w:hanging="452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2260" w:hanging="210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044" w:hanging="21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8" w:hanging="21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2" w:hanging="21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6" w:hanging="21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21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21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21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2" w:hanging="2102"/>
      </w:pPr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4405" w:hanging="4247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12"/>
        <w:sz w:val="24"/>
        <w:szCs w:val="24"/>
      </w:rPr>
    </w:lvl>
    <w:lvl w:ilvl="1">
      <w:start w:val="1"/>
      <w:numFmt w:val="decimal"/>
      <w:lvlText w:val="%2"/>
      <w:lvlJc w:val="left"/>
      <w:pPr>
        <w:ind w:left="1450" w:hanging="1172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2">
      <w:start w:val="1"/>
      <w:numFmt w:val="decimal"/>
      <w:lvlText w:val="%3"/>
      <w:lvlJc w:val="left"/>
      <w:pPr>
        <w:ind w:left="145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3">
      <w:start w:val="1"/>
      <w:numFmt w:val="decimal"/>
      <w:lvlText w:val="%4"/>
      <w:lvlJc w:val="left"/>
      <w:pPr>
        <w:ind w:left="1450" w:hanging="1172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6300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3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6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0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3" w:hanging="1172"/>
      </w:pPr>
      <w:rPr>
        <w:rFonts w:hint="default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70" w:hanging="8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1" w:hanging="8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2" w:hanging="8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3" w:hanging="8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4" w:hanging="8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5" w:hanging="8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6" w:hanging="8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7" w:hanging="8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8" w:hanging="812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92"/>
      <w:ind w:left="730" w:hanging="572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92"/>
      <w:ind w:left="730" w:hanging="57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91"/>
      <w:ind w:left="30" w:right="86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and.uscourts.gov/whaorders)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whalc2</dc:creator>
  <dc:title>G:\WHAALL\2017Civ\17-00939   Waymo\Order Deny 5thA (final version).wpd</dc:title>
  <dcterms:created xsi:type="dcterms:W3CDTF">2019-02-13T16:00:47Z</dcterms:created>
  <dcterms:modified xsi:type="dcterms:W3CDTF">2019-02-13T16:00:47Z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2019-02-13T00:00:00Z</vt:filetime>
  </property>
</Properties>
</file>