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group style="position:absolute;margin-left:100.425003pt;margin-top:0pt;width:151.6pt;height:792pt;mso-position-horizontal-relative:page;mso-position-vertical-relative:page;z-index:-15904" coordorigin="2009,0" coordsize="3032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v:line style="position:absolute" from="2160,13868" to="5040,13868" stroked="true" strokeweight=".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048" from="576pt,0pt" to="576pt,792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00.800003pt;margin-top:0pt;width:475.2pt;height:355.2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"/>
                    <w:gridCol w:w="4824"/>
                    <w:gridCol w:w="4608"/>
                  </w:tblGrid>
                  <w:tr>
                    <w:trPr>
                      <w:trHeight w:val="4713" w:hRule="atLeast"/>
                    </w:trPr>
                    <w:tc>
                      <w:tcPr>
                        <w:tcW w:w="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FF"/>
                            <w:sz w:val="24"/>
                          </w:rPr>
                          <w:t>Case3:08-cr-00730-WHA Document2641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exact" w:before="174"/>
                          <w:ind w:left="7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MARTIN A. SABELLI (164772)</w:t>
                        </w:r>
                      </w:p>
                      <w:p>
                        <w:pPr>
                          <w:pStyle w:val="TableParagraph"/>
                          <w:spacing w:line="230" w:lineRule="auto" w:before="3"/>
                          <w:ind w:left="72" w:right="233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149 Natoma St., 3rd </w:t>
                        </w:r>
                        <w:r>
                          <w:rPr>
                            <w:spacing w:val="-4"/>
                            <w:sz w:val="23"/>
                          </w:rPr>
                          <w:t>Floor </w:t>
                        </w:r>
                        <w:r>
                          <w:rPr>
                            <w:sz w:val="23"/>
                          </w:rPr>
                          <w:t>San Francisco, CA 94105 Tel: (415)</w:t>
                        </w:r>
                        <w:r>
                          <w:rPr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284-9806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71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Fax:      (415)</w:t>
                        </w:r>
                        <w:r>
                          <w:rPr>
                            <w:spacing w:val="-3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520-5810</w:t>
                        </w:r>
                      </w:p>
                      <w:p>
                        <w:pPr>
                          <w:pStyle w:val="TableParagraph"/>
                          <w:spacing w:line="258" w:lineRule="exact"/>
                          <w:ind w:left="71"/>
                          <w:jc w:val="both"/>
                          <w:rPr>
                            <w:sz w:val="23"/>
                          </w:rPr>
                        </w:pPr>
                        <w:hyperlink r:id="rId6">
                          <w:r>
                            <w:rPr>
                              <w:sz w:val="23"/>
                            </w:rPr>
                            <w:t>msabelli@comcast.net</w:t>
                          </w:r>
                        </w:hyperlink>
                      </w:p>
                      <w:p>
                        <w:pPr>
                          <w:pStyle w:val="TableParagraph"/>
                          <w:spacing w:line="530" w:lineRule="atLeast" w:before="228"/>
                          <w:ind w:left="2606" w:right="-13" w:firstLine="23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UNITED STATES D NORTHERN DISTRIC</w:t>
                        </w:r>
                      </w:p>
                    </w:tc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FF"/>
                            <w:sz w:val="24"/>
                          </w:rPr>
                          <w:t>Filed11/19/10 Page1 of 10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-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ISTRICT COURT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 OF CALIFORNIA</w:t>
                        </w:r>
                      </w:p>
                    </w:tc>
                  </w:tr>
                  <w:tr>
                    <w:trPr>
                      <w:trHeight w:val="2380" w:hRule="atLeast"/>
                    </w:trPr>
                    <w:tc>
                      <w:tcPr>
                        <w:tcW w:w="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UNITED STATES OF AMERICA,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51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Plaintiff,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9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vs.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IVAN CERNA, et al.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/>
                          <w:ind w:left="151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Defendant.</w:t>
                        </w:r>
                      </w:p>
                    </w:tc>
                    <w:tc>
                      <w:tcPr>
                        <w:tcW w:w="460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No. CR-08-00730-WHA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 w:before="210"/>
                          <w:ind w:left="103" w:right="40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REPLY RE JOINT DEFENSE MOTION TO EXCLUDE GANG-EXPERT TESTIMONY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1"/>
        </w:rPr>
      </w:pPr>
    </w:p>
    <w:p>
      <w:pPr>
        <w:pStyle w:val="Heading1"/>
        <w:ind w:left="0" w:right="9515"/>
        <w:jc w:val="center"/>
        <w:rPr>
          <w:rFonts w:ascii="Times New Roman"/>
        </w:rPr>
      </w:pPr>
      <w:r>
        <w:rPr>
          <w:rFonts w:ascii="Times New Roman"/>
        </w:rPr>
        <w:t>1</w:t>
      </w:r>
    </w:p>
    <w:p>
      <w:pPr>
        <w:spacing w:before="194"/>
        <w:ind w:left="0" w:right="9515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spacing w:before="195"/>
        <w:ind w:left="0" w:right="9515" w:firstLine="0"/>
        <w:jc w:val="center"/>
        <w:rPr>
          <w:sz w:val="24"/>
        </w:rPr>
      </w:pPr>
      <w:r>
        <w:rPr>
          <w:sz w:val="24"/>
        </w:rPr>
        <w:t>3</w:t>
      </w:r>
    </w:p>
    <w:p>
      <w:pPr>
        <w:spacing w:before="194"/>
        <w:ind w:left="0" w:right="9515" w:firstLine="0"/>
        <w:jc w:val="center"/>
        <w:rPr>
          <w:sz w:val="24"/>
        </w:rPr>
      </w:pPr>
      <w:r>
        <w:rPr>
          <w:sz w:val="24"/>
        </w:rPr>
        <w:t>4</w:t>
      </w:r>
    </w:p>
    <w:p>
      <w:pPr>
        <w:spacing w:before="195"/>
        <w:ind w:left="0" w:right="9515" w:firstLine="0"/>
        <w:jc w:val="center"/>
        <w:rPr>
          <w:sz w:val="24"/>
        </w:rPr>
      </w:pPr>
      <w:r>
        <w:rPr>
          <w:sz w:val="24"/>
        </w:rPr>
        <w:t>5</w:t>
      </w:r>
    </w:p>
    <w:p>
      <w:pPr>
        <w:spacing w:before="192"/>
        <w:ind w:left="0" w:right="9515" w:firstLine="0"/>
        <w:jc w:val="center"/>
        <w:rPr>
          <w:sz w:val="24"/>
        </w:rPr>
      </w:pPr>
      <w:r>
        <w:rPr>
          <w:sz w:val="24"/>
        </w:rPr>
        <w:t>6</w:t>
      </w:r>
    </w:p>
    <w:p>
      <w:pPr>
        <w:spacing w:before="194"/>
        <w:ind w:left="0" w:right="9515" w:firstLine="0"/>
        <w:jc w:val="center"/>
        <w:rPr>
          <w:sz w:val="24"/>
        </w:rPr>
      </w:pPr>
      <w:r>
        <w:rPr>
          <w:sz w:val="24"/>
        </w:rPr>
        <w:t>7</w:t>
      </w:r>
    </w:p>
    <w:p>
      <w:pPr>
        <w:spacing w:before="194"/>
        <w:ind w:left="0" w:right="9515" w:firstLine="0"/>
        <w:jc w:val="center"/>
        <w:rPr>
          <w:sz w:val="24"/>
        </w:rPr>
      </w:pPr>
      <w:r>
        <w:rPr>
          <w:sz w:val="24"/>
        </w:rPr>
        <w:t>8</w:t>
      </w:r>
    </w:p>
    <w:p>
      <w:pPr>
        <w:spacing w:before="195"/>
        <w:ind w:left="0" w:right="9515" w:firstLine="0"/>
        <w:jc w:val="center"/>
        <w:rPr>
          <w:sz w:val="24"/>
        </w:rPr>
      </w:pPr>
      <w:r>
        <w:rPr>
          <w:sz w:val="24"/>
        </w:rPr>
        <w:t>9</w:t>
      </w:r>
    </w:p>
    <w:p>
      <w:pPr>
        <w:spacing w:before="194"/>
        <w:ind w:left="111" w:right="0" w:firstLine="0"/>
        <w:jc w:val="left"/>
        <w:rPr>
          <w:sz w:val="24"/>
        </w:rPr>
      </w:pPr>
      <w:r>
        <w:rPr>
          <w:sz w:val="24"/>
        </w:rPr>
        <w:t>10</w:t>
      </w:r>
    </w:p>
    <w:p>
      <w:pPr>
        <w:spacing w:before="195"/>
        <w:ind w:left="111" w:right="0" w:firstLine="0"/>
        <w:jc w:val="left"/>
        <w:rPr>
          <w:sz w:val="24"/>
        </w:rPr>
      </w:pPr>
      <w:r>
        <w:rPr>
          <w:sz w:val="24"/>
        </w:rPr>
        <w:t>11</w:t>
      </w:r>
    </w:p>
    <w:p>
      <w:pPr>
        <w:spacing w:before="192"/>
        <w:ind w:left="111" w:right="0" w:firstLine="0"/>
        <w:jc w:val="left"/>
        <w:rPr>
          <w:sz w:val="24"/>
        </w:rPr>
      </w:pPr>
      <w:r>
        <w:rPr>
          <w:sz w:val="24"/>
        </w:rPr>
        <w:t>12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40" w:lineRule="auto" w:before="194" w:after="0"/>
        <w:ind w:left="1360" w:right="0" w:hanging="1248"/>
        <w:jc w:val="left"/>
        <w:rPr>
          <w:sz w:val="23"/>
        </w:rPr>
      </w:pPr>
      <w:r>
        <w:rPr>
          <w:sz w:val="23"/>
        </w:rPr>
        <w:t>For months now, this Court has expressed profound doubts regarding the constitutional</w:t>
      </w:r>
      <w:r>
        <w:rPr>
          <w:spacing w:val="4"/>
          <w:sz w:val="23"/>
        </w:rPr>
        <w:t> </w:t>
      </w:r>
      <w:r>
        <w:rPr>
          <w:sz w:val="23"/>
        </w:rPr>
        <w:t>and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66" w:after="0"/>
        <w:ind w:left="640" w:right="0" w:hanging="528"/>
        <w:jc w:val="left"/>
        <w:rPr>
          <w:sz w:val="23"/>
        </w:rPr>
      </w:pPr>
      <w:r>
        <w:rPr>
          <w:sz w:val="23"/>
        </w:rPr>
        <w:t>practical issues created by the wide-ranging expert testimony which the government</w:t>
      </w:r>
      <w:r>
        <w:rPr>
          <w:spacing w:val="28"/>
          <w:sz w:val="23"/>
        </w:rPr>
        <w:t> </w:t>
      </w:r>
      <w:r>
        <w:rPr>
          <w:sz w:val="23"/>
        </w:rPr>
        <w:t>proffers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67" w:after="0"/>
        <w:ind w:left="640" w:right="0" w:hanging="528"/>
        <w:jc w:val="left"/>
        <w:rPr>
          <w:sz w:val="23"/>
        </w:rPr>
      </w:pPr>
      <w:r>
        <w:rPr>
          <w:sz w:val="23"/>
        </w:rPr>
        <w:t>through</w:t>
      </w:r>
      <w:r>
        <w:rPr>
          <w:spacing w:val="8"/>
          <w:sz w:val="23"/>
        </w:rPr>
        <w:t> </w:t>
      </w:r>
      <w:r>
        <w:rPr>
          <w:sz w:val="23"/>
        </w:rPr>
        <w:t>three</w:t>
      </w:r>
      <w:r>
        <w:rPr>
          <w:spacing w:val="7"/>
          <w:sz w:val="23"/>
        </w:rPr>
        <w:t> </w:t>
      </w:r>
      <w:r>
        <w:rPr>
          <w:sz w:val="23"/>
        </w:rPr>
        <w:t>experts,</w:t>
      </w:r>
      <w:r>
        <w:rPr>
          <w:spacing w:val="8"/>
          <w:sz w:val="23"/>
        </w:rPr>
        <w:t> </w:t>
      </w:r>
      <w:r>
        <w:rPr>
          <w:sz w:val="23"/>
        </w:rPr>
        <w:t>two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which</w:t>
      </w:r>
      <w:r>
        <w:rPr>
          <w:spacing w:val="8"/>
          <w:sz w:val="23"/>
        </w:rPr>
        <w:t> </w:t>
      </w:r>
      <w:r>
        <w:rPr>
          <w:sz w:val="23"/>
        </w:rPr>
        <w:t>would</w:t>
      </w:r>
      <w:r>
        <w:rPr>
          <w:spacing w:val="6"/>
          <w:sz w:val="23"/>
        </w:rPr>
        <w:t> </w:t>
      </w:r>
      <w:r>
        <w:rPr>
          <w:sz w:val="23"/>
        </w:rPr>
        <w:t>testify</w:t>
      </w:r>
      <w:r>
        <w:rPr>
          <w:spacing w:val="3"/>
          <w:sz w:val="23"/>
        </w:rPr>
        <w:t> </w:t>
      </w:r>
      <w:r>
        <w:rPr>
          <w:sz w:val="23"/>
        </w:rPr>
        <w:t>both</w:t>
      </w:r>
      <w:r>
        <w:rPr>
          <w:spacing w:val="8"/>
          <w:sz w:val="23"/>
        </w:rPr>
        <w:t> </w:t>
      </w:r>
      <w:r>
        <w:rPr>
          <w:sz w:val="23"/>
        </w:rPr>
        <w:t>as</w:t>
      </w:r>
      <w:r>
        <w:rPr>
          <w:spacing w:val="5"/>
          <w:sz w:val="23"/>
        </w:rPr>
        <w:t> </w:t>
      </w:r>
      <w:r>
        <w:rPr>
          <w:sz w:val="23"/>
        </w:rPr>
        <w:t>investigators</w:t>
      </w:r>
      <w:r>
        <w:rPr>
          <w:spacing w:val="5"/>
          <w:sz w:val="23"/>
        </w:rPr>
        <w:t> </w:t>
      </w:r>
      <w:r>
        <w:rPr>
          <w:sz w:val="23"/>
        </w:rPr>
        <w:t>and</w:t>
      </w:r>
      <w:r>
        <w:rPr>
          <w:spacing w:val="6"/>
          <w:sz w:val="23"/>
        </w:rPr>
        <w:t> </w:t>
      </w:r>
      <w:r>
        <w:rPr>
          <w:sz w:val="23"/>
        </w:rPr>
        <w:t>as</w:t>
      </w:r>
      <w:r>
        <w:rPr>
          <w:spacing w:val="5"/>
          <w:sz w:val="23"/>
        </w:rPr>
        <w:t> </w:t>
      </w:r>
      <w:r>
        <w:rPr>
          <w:sz w:val="23"/>
        </w:rPr>
        <w:t>experts.</w:t>
      </w:r>
      <w:r>
        <w:rPr>
          <w:spacing w:val="15"/>
          <w:sz w:val="23"/>
        </w:rPr>
        <w:t> </w:t>
      </w:r>
      <w:r>
        <w:rPr>
          <w:sz w:val="23"/>
        </w:rPr>
        <w:t>In</w:t>
      </w:r>
      <w:r>
        <w:rPr>
          <w:spacing w:val="8"/>
          <w:sz w:val="23"/>
        </w:rPr>
        <w:t> </w:t>
      </w:r>
      <w:r>
        <w:rPr>
          <w:sz w:val="23"/>
        </w:rPr>
        <w:t>fact,</w:t>
      </w:r>
      <w:r>
        <w:rPr>
          <w:spacing w:val="6"/>
          <w:sz w:val="23"/>
        </w:rPr>
        <w:t> </w:t>
      </w:r>
      <w:r>
        <w:rPr>
          <w:sz w:val="23"/>
        </w:rPr>
        <w:t>this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67" w:after="0"/>
        <w:ind w:left="640" w:right="0" w:hanging="528"/>
        <w:jc w:val="left"/>
        <w:rPr>
          <w:sz w:val="23"/>
        </w:rPr>
      </w:pPr>
      <w:r>
        <w:rPr>
          <w:sz w:val="23"/>
        </w:rPr>
        <w:t>Court has ruled on this issue</w:t>
      </w:r>
      <w:r>
        <w:rPr>
          <w:spacing w:val="-5"/>
          <w:sz w:val="23"/>
        </w:rPr>
        <w:t> </w:t>
      </w:r>
      <w:r>
        <w:rPr>
          <w:sz w:val="23"/>
        </w:rPr>
        <w:t>repeatedly.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40" w:lineRule="auto" w:before="66" w:after="0"/>
        <w:ind w:left="1360" w:right="0" w:hanging="1248"/>
        <w:jc w:val="left"/>
        <w:rPr>
          <w:sz w:val="23"/>
        </w:rPr>
      </w:pPr>
      <w:r>
        <w:rPr>
          <w:sz w:val="23"/>
        </w:rPr>
        <w:t>Despite</w:t>
      </w:r>
      <w:r>
        <w:rPr>
          <w:spacing w:val="21"/>
          <w:sz w:val="23"/>
        </w:rPr>
        <w:t> </w:t>
      </w:r>
      <w:r>
        <w:rPr>
          <w:sz w:val="23"/>
        </w:rPr>
        <w:t>the</w:t>
      </w:r>
      <w:r>
        <w:rPr>
          <w:spacing w:val="20"/>
          <w:sz w:val="23"/>
        </w:rPr>
        <w:t> </w:t>
      </w:r>
      <w:r>
        <w:rPr>
          <w:sz w:val="23"/>
        </w:rPr>
        <w:t>clarity</w:t>
      </w:r>
      <w:r>
        <w:rPr>
          <w:spacing w:val="16"/>
          <w:sz w:val="23"/>
        </w:rPr>
        <w:t> </w:t>
      </w:r>
      <w:r>
        <w:rPr>
          <w:sz w:val="23"/>
        </w:rPr>
        <w:t>of</w:t>
      </w:r>
      <w:r>
        <w:rPr>
          <w:spacing w:val="18"/>
          <w:sz w:val="23"/>
        </w:rPr>
        <w:t> </w:t>
      </w:r>
      <w:r>
        <w:rPr>
          <w:sz w:val="23"/>
        </w:rPr>
        <w:t>this</w:t>
      </w:r>
      <w:r>
        <w:rPr>
          <w:spacing w:val="19"/>
          <w:sz w:val="23"/>
        </w:rPr>
        <w:t> </w:t>
      </w:r>
      <w:r>
        <w:rPr>
          <w:sz w:val="23"/>
        </w:rPr>
        <w:t>Court's</w:t>
      </w:r>
      <w:r>
        <w:rPr>
          <w:spacing w:val="19"/>
          <w:sz w:val="23"/>
        </w:rPr>
        <w:t> </w:t>
      </w:r>
      <w:r>
        <w:rPr>
          <w:sz w:val="23"/>
        </w:rPr>
        <w:t>rulings</w:t>
      </w:r>
      <w:r>
        <w:rPr>
          <w:spacing w:val="19"/>
          <w:sz w:val="23"/>
        </w:rPr>
        <w:t> </w:t>
      </w:r>
      <w:r>
        <w:rPr>
          <w:sz w:val="23"/>
        </w:rPr>
        <w:t>and</w:t>
      </w:r>
      <w:r>
        <w:rPr>
          <w:spacing w:val="20"/>
          <w:sz w:val="23"/>
        </w:rPr>
        <w:t> </w:t>
      </w:r>
      <w:r>
        <w:rPr>
          <w:sz w:val="23"/>
        </w:rPr>
        <w:t>concerns,</w:t>
      </w:r>
      <w:r>
        <w:rPr>
          <w:spacing w:val="20"/>
          <w:sz w:val="23"/>
        </w:rPr>
        <w:t> </w:t>
      </w:r>
      <w:r>
        <w:rPr>
          <w:sz w:val="23"/>
        </w:rPr>
        <w:t>however,</w:t>
      </w:r>
      <w:r>
        <w:rPr>
          <w:spacing w:val="20"/>
          <w:sz w:val="23"/>
        </w:rPr>
        <w:t> </w:t>
      </w:r>
      <w:r>
        <w:rPr>
          <w:sz w:val="23"/>
        </w:rPr>
        <w:t>the</w:t>
      </w:r>
      <w:r>
        <w:rPr>
          <w:spacing w:val="21"/>
          <w:sz w:val="23"/>
        </w:rPr>
        <w:t> </w:t>
      </w:r>
      <w:r>
        <w:rPr>
          <w:sz w:val="23"/>
        </w:rPr>
        <w:t>government</w:t>
      </w:r>
      <w:r>
        <w:rPr>
          <w:spacing w:val="21"/>
          <w:sz w:val="23"/>
        </w:rPr>
        <w:t> </w:t>
      </w:r>
      <w:r>
        <w:rPr>
          <w:sz w:val="23"/>
        </w:rPr>
        <w:t>offers</w:t>
      </w:r>
      <w:r>
        <w:rPr>
          <w:spacing w:val="19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  <w:tab w:pos="640" w:val="left" w:leader="none"/>
        </w:tabs>
        <w:spacing w:line="240" w:lineRule="auto" w:before="65" w:after="0"/>
        <w:ind w:left="640" w:right="0" w:hanging="528"/>
        <w:jc w:val="left"/>
        <w:rPr>
          <w:sz w:val="23"/>
        </w:rPr>
      </w:pPr>
      <w:r>
        <w:rPr>
          <w:sz w:val="23"/>
        </w:rPr>
        <w:t>Response</w:t>
      </w:r>
      <w:r>
        <w:rPr>
          <w:spacing w:val="42"/>
          <w:sz w:val="23"/>
        </w:rPr>
        <w:t> </w:t>
      </w:r>
      <w:r>
        <w:rPr>
          <w:sz w:val="23"/>
        </w:rPr>
        <w:t>which</w:t>
      </w:r>
      <w:r>
        <w:rPr>
          <w:spacing w:val="41"/>
          <w:sz w:val="23"/>
        </w:rPr>
        <w:t> </w:t>
      </w:r>
      <w:r>
        <w:rPr>
          <w:sz w:val="23"/>
        </w:rPr>
        <w:t>does</w:t>
      </w:r>
      <w:r>
        <w:rPr>
          <w:spacing w:val="41"/>
          <w:sz w:val="23"/>
        </w:rPr>
        <w:t> </w:t>
      </w:r>
      <w:r>
        <w:rPr>
          <w:sz w:val="23"/>
        </w:rPr>
        <w:t>not</w:t>
      </w:r>
      <w:r>
        <w:rPr>
          <w:spacing w:val="42"/>
          <w:sz w:val="23"/>
        </w:rPr>
        <w:t> </w:t>
      </w:r>
      <w:r>
        <w:rPr>
          <w:sz w:val="23"/>
        </w:rPr>
        <w:t>acknowledge</w:t>
      </w:r>
      <w:r>
        <w:rPr>
          <w:spacing w:val="40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42"/>
          <w:sz w:val="23"/>
        </w:rPr>
        <w:t> </w:t>
      </w:r>
      <w:r>
        <w:rPr>
          <w:i/>
          <w:sz w:val="23"/>
        </w:rPr>
        <w:t>any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way</w:t>
      </w:r>
      <w:r>
        <w:rPr>
          <w:i/>
          <w:spacing w:val="44"/>
          <w:sz w:val="23"/>
        </w:rPr>
        <w:t> </w:t>
      </w:r>
      <w:r>
        <w:rPr>
          <w:sz w:val="23"/>
        </w:rPr>
        <w:t>any</w:t>
      </w:r>
      <w:r>
        <w:rPr>
          <w:spacing w:val="36"/>
          <w:sz w:val="23"/>
        </w:rPr>
        <w:t> </w:t>
      </w:r>
      <w:r>
        <w:rPr>
          <w:sz w:val="23"/>
        </w:rPr>
        <w:t>of</w:t>
      </w:r>
      <w:r>
        <w:rPr>
          <w:spacing w:val="39"/>
          <w:sz w:val="23"/>
        </w:rPr>
        <w:t> </w:t>
      </w:r>
      <w:r>
        <w:rPr>
          <w:sz w:val="23"/>
        </w:rPr>
        <w:t>the</w:t>
      </w:r>
      <w:r>
        <w:rPr>
          <w:spacing w:val="43"/>
          <w:sz w:val="23"/>
        </w:rPr>
        <w:t> </w:t>
      </w:r>
      <w:r>
        <w:rPr>
          <w:sz w:val="23"/>
        </w:rPr>
        <w:t>doubts</w:t>
      </w:r>
      <w:r>
        <w:rPr>
          <w:spacing w:val="41"/>
          <w:sz w:val="23"/>
        </w:rPr>
        <w:t> </w:t>
      </w:r>
      <w:r>
        <w:rPr>
          <w:sz w:val="23"/>
        </w:rPr>
        <w:t>expressed,</w:t>
      </w:r>
      <w:r>
        <w:rPr>
          <w:spacing w:val="41"/>
          <w:sz w:val="23"/>
        </w:rPr>
        <w:t> </w:t>
      </w:r>
      <w:r>
        <w:rPr>
          <w:sz w:val="23"/>
        </w:rPr>
        <w:t>or</w:t>
      </w:r>
      <w:r>
        <w:rPr>
          <w:spacing w:val="40"/>
          <w:sz w:val="23"/>
        </w:rPr>
        <w:t> </w:t>
      </w:r>
      <w:r>
        <w:rPr>
          <w:sz w:val="23"/>
        </w:rPr>
        <w:t>limitations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66" w:after="0"/>
        <w:ind w:left="640" w:right="0" w:hanging="528"/>
        <w:jc w:val="left"/>
        <w:rPr>
          <w:sz w:val="23"/>
        </w:rPr>
      </w:pPr>
      <w:r>
        <w:rPr>
          <w:sz w:val="23"/>
        </w:rPr>
        <w:t>imposed,</w:t>
      </w:r>
      <w:r>
        <w:rPr>
          <w:spacing w:val="13"/>
          <w:sz w:val="23"/>
        </w:rPr>
        <w:t> </w:t>
      </w:r>
      <w:r>
        <w:rPr>
          <w:sz w:val="23"/>
        </w:rPr>
        <w:t>by</w:t>
      </w:r>
      <w:r>
        <w:rPr>
          <w:spacing w:val="8"/>
          <w:sz w:val="23"/>
        </w:rPr>
        <w:t> </w:t>
      </w:r>
      <w:r>
        <w:rPr>
          <w:sz w:val="23"/>
        </w:rPr>
        <w:t>the</w:t>
      </w:r>
      <w:r>
        <w:rPr>
          <w:spacing w:val="14"/>
          <w:sz w:val="23"/>
        </w:rPr>
        <w:t> </w:t>
      </w:r>
      <w:r>
        <w:rPr>
          <w:sz w:val="23"/>
        </w:rPr>
        <w:t>Court.</w:t>
      </w:r>
      <w:r>
        <w:rPr>
          <w:spacing w:val="27"/>
          <w:sz w:val="23"/>
        </w:rPr>
        <w:t> </w:t>
      </w:r>
      <w:r>
        <w:rPr>
          <w:sz w:val="23"/>
        </w:rPr>
        <w:t>The</w:t>
      </w:r>
      <w:r>
        <w:rPr>
          <w:spacing w:val="15"/>
          <w:sz w:val="23"/>
        </w:rPr>
        <w:t> </w:t>
      </w:r>
      <w:r>
        <w:rPr>
          <w:sz w:val="23"/>
        </w:rPr>
        <w:t>government's</w:t>
      </w:r>
      <w:r>
        <w:rPr>
          <w:spacing w:val="12"/>
          <w:sz w:val="23"/>
        </w:rPr>
        <w:t> </w:t>
      </w:r>
      <w:r>
        <w:rPr>
          <w:sz w:val="23"/>
        </w:rPr>
        <w:t>Response,</w:t>
      </w:r>
      <w:r>
        <w:rPr>
          <w:spacing w:val="13"/>
          <w:sz w:val="23"/>
        </w:rPr>
        <w:t> </w:t>
      </w:r>
      <w:r>
        <w:rPr>
          <w:sz w:val="23"/>
        </w:rPr>
        <w:t>in</w:t>
      </w:r>
      <w:r>
        <w:rPr>
          <w:spacing w:val="13"/>
          <w:sz w:val="23"/>
        </w:rPr>
        <w:t> </w:t>
      </w:r>
      <w:r>
        <w:rPr>
          <w:sz w:val="23"/>
        </w:rPr>
        <w:t>essence,</w:t>
      </w:r>
      <w:r>
        <w:rPr>
          <w:spacing w:val="14"/>
          <w:sz w:val="23"/>
        </w:rPr>
        <w:t> </w:t>
      </w:r>
      <w:r>
        <w:rPr>
          <w:sz w:val="23"/>
        </w:rPr>
        <w:t>approaches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14"/>
          <w:sz w:val="23"/>
        </w:rPr>
        <w:t> </w:t>
      </w:r>
      <w:r>
        <w:rPr>
          <w:sz w:val="23"/>
        </w:rPr>
        <w:t>question</w:t>
      </w:r>
      <w:r>
        <w:rPr>
          <w:spacing w:val="13"/>
          <w:sz w:val="23"/>
        </w:rPr>
        <w:t> </w:t>
      </w:r>
      <w:r>
        <w:rPr>
          <w:sz w:val="23"/>
        </w:rPr>
        <w:t>of</w:t>
      </w:r>
      <w:r>
        <w:rPr>
          <w:spacing w:val="12"/>
          <w:sz w:val="23"/>
        </w:rPr>
        <w:t> </w:t>
      </w:r>
      <w:r>
        <w:rPr>
          <w:sz w:val="23"/>
        </w:rPr>
        <w:t>gang-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67" w:after="0"/>
        <w:ind w:left="640" w:right="0" w:hanging="528"/>
        <w:jc w:val="left"/>
        <w:rPr>
          <w:sz w:val="23"/>
        </w:rPr>
      </w:pPr>
      <w:r>
        <w:rPr>
          <w:sz w:val="23"/>
        </w:rPr>
        <w:t>expert testimony as if it were proposing to call one expert to present a handful of limited</w:t>
      </w:r>
      <w:r>
        <w:rPr>
          <w:spacing w:val="53"/>
          <w:sz w:val="23"/>
        </w:rPr>
        <w:t> </w:t>
      </w:r>
      <w:r>
        <w:rPr>
          <w:sz w:val="23"/>
        </w:rPr>
        <w:t>non-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67" w:after="0"/>
        <w:ind w:left="640" w:right="0" w:hanging="528"/>
        <w:jc w:val="left"/>
        <w:rPr>
          <w:sz w:val="23"/>
        </w:rPr>
      </w:pPr>
      <w:r>
        <w:rPr>
          <w:sz w:val="23"/>
        </w:rPr>
        <w:t>controversial opinions in a brief trial. Nothing could be further from the</w:t>
      </w:r>
      <w:r>
        <w:rPr>
          <w:spacing w:val="-15"/>
          <w:sz w:val="23"/>
        </w:rPr>
        <w:t> </w:t>
      </w:r>
      <w:r>
        <w:rPr>
          <w:sz w:val="23"/>
        </w:rPr>
        <w:t>truth.</w:t>
      </w:r>
      <w:hyperlink w:history="true" w:anchor="_bookmark0">
        <w:r>
          <w:rPr>
            <w:sz w:val="23"/>
            <w:vertAlign w:val="superscript"/>
          </w:rPr>
          <w:t>1</w:t>
        </w:r>
      </w:hyperlink>
    </w:p>
    <w:p>
      <w:pPr>
        <w:pStyle w:val="Heading2"/>
        <w:numPr>
          <w:ilvl w:val="0"/>
          <w:numId w:val="1"/>
        </w:numPr>
        <w:tabs>
          <w:tab w:pos="639" w:val="left" w:leader="none"/>
          <w:tab w:pos="640" w:val="left" w:leader="none"/>
          <w:tab w:pos="1359" w:val="left" w:leader="none"/>
        </w:tabs>
        <w:spacing w:line="240" w:lineRule="auto" w:before="70" w:after="0"/>
        <w:ind w:left="640" w:right="0" w:hanging="528"/>
        <w:jc w:val="left"/>
      </w:pPr>
      <w:r>
        <w:rPr>
          <w:b w:val="0"/>
        </w:rPr>
        <w:t>A.</w:t>
        <w:tab/>
      </w:r>
      <w:r>
        <w:rPr/>
        <w:t>The Government Fails to Address this Court’s Concerns Regarding Dual</w:t>
      </w:r>
      <w:r>
        <w:rPr>
          <w:spacing w:val="-10"/>
        </w:rPr>
        <w:t> </w:t>
      </w:r>
      <w:r>
        <w:rPr/>
        <w:t>Role.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67" w:after="0"/>
        <w:ind w:left="1360" w:right="0" w:hanging="1248"/>
        <w:jc w:val="left"/>
        <w:rPr>
          <w:sz w:val="23"/>
        </w:rPr>
      </w:pPr>
      <w:r>
        <w:rPr>
          <w:sz w:val="23"/>
        </w:rPr>
        <w:t>The Court originally excluded the proposed experts, because their testimony would</w:t>
      </w:r>
      <w:r>
        <w:rPr>
          <w:spacing w:val="-26"/>
          <w:sz w:val="23"/>
        </w:rPr>
        <w:t> </w:t>
      </w:r>
      <w:r>
        <w:rPr>
          <w:sz w:val="23"/>
        </w:rPr>
        <w:t>amount</w:t>
      </w:r>
    </w:p>
    <w:p>
      <w:pPr>
        <w:pStyle w:val="Heading1"/>
        <w:spacing w:line="235" w:lineRule="exact" w:before="70"/>
        <w:rPr>
          <w:rFonts w:ascii="Times New Roman"/>
        </w:rPr>
      </w:pPr>
      <w:r>
        <w:rPr>
          <w:rFonts w:ascii="Times New Roman"/>
        </w:rPr>
        <w:t>24</w:t>
      </w:r>
    </w:p>
    <w:p>
      <w:pPr>
        <w:pStyle w:val="BodyText"/>
        <w:spacing w:line="224" w:lineRule="exact"/>
      </w:pPr>
      <w:r>
        <w:rPr/>
        <w:t>to no more than “shortcut proof for key elements” of the offense. (Doc. 1821 at 9 [June 8, 2010</w:t>
      </w:r>
    </w:p>
    <w:p>
      <w:pPr>
        <w:pStyle w:val="Heading1"/>
        <w:spacing w:line="264" w:lineRule="exact" w:before="12"/>
        <w:rPr>
          <w:rFonts w:ascii="Times New Roman"/>
        </w:rPr>
      </w:pPr>
      <w:r>
        <w:rPr>
          <w:rFonts w:ascii="Times New Roman"/>
        </w:rPr>
        <w:t>25</w:t>
      </w:r>
    </w:p>
    <w:p>
      <w:pPr>
        <w:pStyle w:val="BodyText"/>
        <w:spacing w:line="229" w:lineRule="exact"/>
      </w:pPr>
      <w:r>
        <w:rPr/>
        <w:t>Order]) Nevertheless, the Court gave the government an opportunity to elicit evidence at an</w:t>
      </w:r>
    </w:p>
    <w:p>
      <w:pPr>
        <w:pStyle w:val="Heading1"/>
        <w:spacing w:line="253" w:lineRule="exact"/>
        <w:rPr>
          <w:rFonts w:ascii="Times New Roman"/>
        </w:rPr>
      </w:pPr>
      <w:r>
        <w:rPr>
          <w:rFonts w:ascii="Times New Roman"/>
        </w:rPr>
        <w:t>26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  <w:tab w:pos="1360" w:val="left" w:leader="none"/>
        </w:tabs>
        <w:spacing w:line="240" w:lineRule="auto" w:before="199" w:after="0"/>
        <w:ind w:left="1360" w:right="0" w:hanging="1248"/>
        <w:jc w:val="left"/>
        <w:rPr>
          <w:sz w:val="22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rFonts w:ascii="Calibri"/>
          <w:position w:val="10"/>
          <w:sz w:val="14"/>
        </w:rPr>
        <w:t>1</w:t>
      </w:r>
      <w:r>
        <w:rPr>
          <w:rFonts w:ascii="Calibri"/>
          <w:position w:val="10"/>
          <w:sz w:val="14"/>
        </w:rPr>
        <w:t> </w:t>
      </w:r>
      <w:r>
        <w:rPr>
          <w:sz w:val="22"/>
        </w:rPr>
        <w:t>Given the page limitation, this brief will not address every issue raised in the prior</w:t>
      </w:r>
      <w:r>
        <w:rPr>
          <w:spacing w:val="-35"/>
          <w:sz w:val="22"/>
        </w:rPr>
        <w:t> </w:t>
      </w:r>
      <w:r>
        <w:rPr>
          <w:sz w:val="22"/>
        </w:rPr>
        <w:t>briefing.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  <w:tab w:pos="640" w:val="left" w:leader="none"/>
        </w:tabs>
        <w:spacing w:line="180" w:lineRule="auto" w:before="44" w:after="0"/>
        <w:ind w:left="639" w:right="604" w:hanging="527"/>
        <w:jc w:val="left"/>
        <w:rPr>
          <w:sz w:val="22"/>
        </w:rPr>
      </w:pPr>
      <w:r>
        <w:rPr>
          <w:sz w:val="22"/>
        </w:rPr>
        <w:t>The F.R.E. 702 issue, for example, is not addressed in this brief. Mr. Herrera submits that it is clear, after the </w:t>
      </w:r>
      <w:r>
        <w:rPr>
          <w:i/>
          <w:sz w:val="22"/>
        </w:rPr>
        <w:t>Daubert </w:t>
      </w:r>
      <w:r>
        <w:rPr>
          <w:sz w:val="22"/>
        </w:rPr>
        <w:t>hearings, that the proffered testimony will not assist the</w:t>
      </w:r>
      <w:r>
        <w:rPr>
          <w:spacing w:val="-11"/>
          <w:sz w:val="22"/>
        </w:rPr>
        <w:t> </w:t>
      </w:r>
      <w:r>
        <w:rPr>
          <w:sz w:val="22"/>
        </w:rPr>
        <w:t>trier-of-fact.</w:t>
      </w:r>
    </w:p>
    <w:p>
      <w:pPr>
        <w:spacing w:after="0" w:line="18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787" w:top="0" w:bottom="980" w:left="1520" w:right="620"/>
          <w:pgNumType w:start="1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100.425003pt;margin-top:0pt;width:4.350pt;height:792pt;mso-position-horizontal-relative:page;mso-position-vertical-relative:page;z-index:-15832" coordorigin="2009,0" coordsize="87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20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Heading1"/>
        <w:spacing w:before="92"/>
        <w:ind w:left="767"/>
      </w:pPr>
      <w:r>
        <w:rPr>
          <w:color w:val="0000FF"/>
        </w:rPr>
        <w:t>Case3:08-cr-00730-WHA Document2641 Filed11/19/10 Page2 of 10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9"/>
        <w:ind w:left="0"/>
        <w:rPr>
          <w:rFonts w:ascii="Arial"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39" w:val="left" w:leader="none"/>
          <w:tab w:pos="640" w:val="left" w:leader="none"/>
        </w:tabs>
        <w:spacing w:line="240" w:lineRule="auto" w:before="95" w:after="0"/>
        <w:ind w:left="640" w:right="0" w:hanging="408"/>
        <w:jc w:val="left"/>
        <w:rPr>
          <w:sz w:val="23"/>
        </w:rPr>
      </w:pPr>
      <w:r>
        <w:rPr>
          <w:position w:val="1"/>
          <w:sz w:val="23"/>
        </w:rPr>
        <w:t>evidentiary hearing to rebut this conclusion, an opportunity which the government failed</w:t>
      </w:r>
      <w:r>
        <w:rPr>
          <w:spacing w:val="-27"/>
          <w:position w:val="1"/>
          <w:sz w:val="23"/>
        </w:rPr>
        <w:t> </w:t>
      </w:r>
      <w:r>
        <w:rPr>
          <w:position w:val="1"/>
          <w:sz w:val="23"/>
        </w:rPr>
        <w:t>to</w:t>
      </w:r>
    </w:p>
    <w:p>
      <w:pPr>
        <w:pStyle w:val="ListParagraph"/>
        <w:numPr>
          <w:ilvl w:val="1"/>
          <w:numId w:val="2"/>
        </w:numPr>
        <w:tabs>
          <w:tab w:pos="639" w:val="left" w:leader="none"/>
          <w:tab w:pos="640" w:val="left" w:leader="none"/>
        </w:tabs>
        <w:spacing w:line="240" w:lineRule="auto" w:before="190" w:after="0"/>
        <w:ind w:left="640" w:right="0" w:hanging="408"/>
        <w:jc w:val="left"/>
        <w:rPr>
          <w:sz w:val="23"/>
        </w:rPr>
      </w:pPr>
      <w:r>
        <w:rPr>
          <w:sz w:val="23"/>
        </w:rPr>
        <w:t>embrace. The evidentiary hearing demonstrated that the Court was right in the first place.</w:t>
      </w:r>
      <w:r>
        <w:rPr>
          <w:spacing w:val="25"/>
          <w:sz w:val="23"/>
        </w:rPr>
        <w:t> </w:t>
      </w:r>
      <w:r>
        <w:rPr>
          <w:sz w:val="23"/>
        </w:rPr>
        <w:t>Mssrs.</w:t>
      </w:r>
    </w:p>
    <w:p>
      <w:pPr>
        <w:pStyle w:val="ListParagraph"/>
        <w:numPr>
          <w:ilvl w:val="1"/>
          <w:numId w:val="2"/>
        </w:numPr>
        <w:tabs>
          <w:tab w:pos="639" w:val="left" w:leader="none"/>
          <w:tab w:pos="640" w:val="left" w:leader="none"/>
        </w:tabs>
        <w:spacing w:line="240" w:lineRule="auto" w:before="154" w:after="0"/>
        <w:ind w:left="639" w:right="0" w:hanging="407"/>
        <w:jc w:val="left"/>
        <w:rPr>
          <w:sz w:val="23"/>
        </w:rPr>
      </w:pPr>
      <w:r>
        <w:rPr>
          <w:sz w:val="23"/>
        </w:rPr>
        <w:t>Molina and McDonnell’s expertise is not MS-13. It is this investigation, these defendants, and</w:t>
      </w:r>
      <w:r>
        <w:rPr>
          <w:spacing w:val="-30"/>
          <w:sz w:val="23"/>
        </w:rPr>
        <w:t> </w:t>
      </w:r>
      <w:r>
        <w:rPr>
          <w:sz w:val="23"/>
        </w:rPr>
        <w:t>their</w:t>
      </w:r>
    </w:p>
    <w:p>
      <w:pPr>
        <w:pStyle w:val="ListParagraph"/>
        <w:numPr>
          <w:ilvl w:val="1"/>
          <w:numId w:val="2"/>
        </w:numPr>
        <w:tabs>
          <w:tab w:pos="639" w:val="left" w:leader="none"/>
          <w:tab w:pos="640" w:val="left" w:leader="none"/>
        </w:tabs>
        <w:spacing w:line="240" w:lineRule="auto" w:before="95" w:after="0"/>
        <w:ind w:left="639" w:right="0" w:hanging="407"/>
        <w:jc w:val="left"/>
        <w:rPr>
          <w:sz w:val="23"/>
        </w:rPr>
      </w:pPr>
      <w:r>
        <w:rPr>
          <w:sz w:val="23"/>
        </w:rPr>
        <w:t>testimony that will be tantamount in declaring the accused to be</w:t>
      </w:r>
      <w:r>
        <w:rPr>
          <w:spacing w:val="-12"/>
          <w:sz w:val="23"/>
        </w:rPr>
        <w:t> </w:t>
      </w:r>
      <w:r>
        <w:rPr>
          <w:sz w:val="23"/>
        </w:rPr>
        <w:t>guilty.</w:t>
      </w:r>
    </w:p>
    <w:p>
      <w:pPr>
        <w:pStyle w:val="Heading1"/>
        <w:spacing w:line="253" w:lineRule="exact" w:before="35"/>
        <w:ind w:left="231"/>
        <w:rPr>
          <w:rFonts w:ascii="Times New Roman"/>
        </w:rPr>
      </w:pPr>
      <w:r>
        <w:rPr>
          <w:rFonts w:ascii="Times New Roman"/>
        </w:rPr>
        <w:t>5</w:t>
      </w:r>
    </w:p>
    <w:p>
      <w:pPr>
        <w:pStyle w:val="BodyText"/>
        <w:spacing w:line="228" w:lineRule="exact"/>
        <w:ind w:left="1359"/>
      </w:pPr>
      <w:r>
        <w:rPr/>
        <w:t>In its pleading, the government forgoes another opportunity to address the Court’s concerns.</w:t>
      </w:r>
    </w:p>
    <w:p>
      <w:pPr>
        <w:pStyle w:val="Heading1"/>
        <w:spacing w:line="263" w:lineRule="exact"/>
        <w:ind w:left="231"/>
        <w:rPr>
          <w:rFonts w:ascii="Times New Roman"/>
        </w:rPr>
      </w:pPr>
      <w:r>
        <w:rPr>
          <w:rFonts w:ascii="Times New Roman"/>
        </w:rPr>
        <w:t>6</w:t>
      </w:r>
    </w:p>
    <w:p>
      <w:pPr>
        <w:pStyle w:val="BodyText"/>
        <w:spacing w:line="222" w:lineRule="exact" w:before="15"/>
        <w:ind w:left="639"/>
      </w:pPr>
      <w:r>
        <w:rPr/>
        <w:t>It does not even acknowledge the Court’s June 8, 2010 order and offers neither evidence nor</w:t>
      </w:r>
    </w:p>
    <w:p>
      <w:pPr>
        <w:pStyle w:val="Heading1"/>
        <w:spacing w:line="234" w:lineRule="exact"/>
        <w:ind w:left="231"/>
        <w:rPr>
          <w:rFonts w:ascii="Times New Roman"/>
        </w:rPr>
      </w:pPr>
      <w:r>
        <w:rPr>
          <w:rFonts w:ascii="Times New Roman"/>
        </w:rPr>
        <w:t>7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  <w:tab w:pos="640" w:val="left" w:leader="none"/>
        </w:tabs>
        <w:spacing w:line="240" w:lineRule="auto" w:before="74" w:after="0"/>
        <w:ind w:left="639" w:right="0" w:hanging="407"/>
        <w:jc w:val="left"/>
        <w:rPr>
          <w:sz w:val="23"/>
        </w:rPr>
      </w:pPr>
      <w:r>
        <w:rPr>
          <w:sz w:val="23"/>
        </w:rPr>
        <w:t>argument to oppose Mr. Montoya’s submission. The government does not dispute that Molina</w:t>
      </w:r>
      <w:r>
        <w:rPr>
          <w:spacing w:val="-16"/>
          <w:sz w:val="23"/>
        </w:rPr>
        <w:t> </w:t>
      </w:r>
      <w:r>
        <w:rPr>
          <w:sz w:val="23"/>
        </w:rPr>
        <w:t>and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  <w:tab w:pos="640" w:val="left" w:leader="none"/>
        </w:tabs>
        <w:spacing w:line="240" w:lineRule="auto" w:before="131" w:after="0"/>
        <w:ind w:left="639" w:right="0" w:hanging="407"/>
        <w:jc w:val="left"/>
        <w:rPr>
          <w:sz w:val="23"/>
        </w:rPr>
      </w:pPr>
      <w:r>
        <w:rPr>
          <w:sz w:val="23"/>
        </w:rPr>
        <w:t>McDonnell base their expertise almost exclusively on investigation of the 20</w:t>
      </w:r>
      <w:r>
        <w:rPr>
          <w:sz w:val="23"/>
          <w:vertAlign w:val="superscript"/>
        </w:rPr>
        <w:t>th</w:t>
      </w:r>
      <w:r>
        <w:rPr>
          <w:sz w:val="23"/>
          <w:vertAlign w:val="baseline"/>
        </w:rPr>
        <w:t> Street clique</w:t>
      </w:r>
      <w:r>
        <w:rPr>
          <w:spacing w:val="-30"/>
          <w:sz w:val="23"/>
          <w:vertAlign w:val="baseline"/>
        </w:rPr>
        <w:t> </w:t>
      </w:r>
      <w:r>
        <w:rPr>
          <w:sz w:val="23"/>
          <w:vertAlign w:val="baseline"/>
        </w:rPr>
        <w:t>nor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  <w:tab w:pos="641" w:val="left" w:leader="none"/>
        </w:tabs>
        <w:spacing w:line="240" w:lineRule="auto" w:before="196" w:after="0"/>
        <w:ind w:left="640" w:right="0" w:hanging="528"/>
        <w:jc w:val="left"/>
        <w:rPr>
          <w:sz w:val="23"/>
        </w:rPr>
      </w:pPr>
      <w:r>
        <w:rPr>
          <w:position w:val="1"/>
          <w:sz w:val="23"/>
        </w:rPr>
        <w:t>does it dispute the almost total overlap between these witnesses’ factual testimony and the bases</w:t>
      </w:r>
      <w:r>
        <w:rPr>
          <w:spacing w:val="-35"/>
          <w:position w:val="1"/>
          <w:sz w:val="23"/>
        </w:rPr>
        <w:t> </w:t>
      </w:r>
      <w:r>
        <w:rPr>
          <w:position w:val="1"/>
          <w:sz w:val="23"/>
        </w:rPr>
        <w:t>for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  <w:tab w:pos="641" w:val="left" w:leader="none"/>
        </w:tabs>
        <w:spacing w:line="240" w:lineRule="auto" w:before="190" w:after="0"/>
        <w:ind w:left="640" w:right="0" w:hanging="528"/>
        <w:jc w:val="left"/>
        <w:rPr>
          <w:sz w:val="23"/>
        </w:rPr>
      </w:pPr>
      <w:r>
        <w:rPr>
          <w:sz w:val="23"/>
        </w:rPr>
        <w:t>their expert opinions. It does not dispute that, if McDonnell and Molina are experts at all,</w:t>
      </w:r>
      <w:r>
        <w:rPr>
          <w:spacing w:val="-28"/>
          <w:sz w:val="23"/>
        </w:rPr>
        <w:t> </w:t>
      </w:r>
      <w:r>
        <w:rPr>
          <w:sz w:val="23"/>
        </w:rPr>
        <w:t>their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  <w:tab w:pos="641" w:val="left" w:leader="none"/>
        </w:tabs>
        <w:spacing w:line="240" w:lineRule="auto" w:before="144" w:after="0"/>
        <w:ind w:left="640" w:right="0" w:hanging="528"/>
        <w:jc w:val="left"/>
        <w:rPr>
          <w:sz w:val="23"/>
        </w:rPr>
      </w:pPr>
      <w:r>
        <w:rPr>
          <w:sz w:val="23"/>
        </w:rPr>
        <w:t>expertise is not MS-13 in general but these defendants in particular. Instead, it simply points</w:t>
      </w:r>
      <w:r>
        <w:rPr>
          <w:spacing w:val="-28"/>
          <w:sz w:val="23"/>
        </w:rPr>
        <w:t> </w:t>
      </w:r>
      <w:r>
        <w:rPr>
          <w:sz w:val="23"/>
        </w:rPr>
        <w:t>out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  <w:tab w:pos="641" w:val="left" w:leader="none"/>
        </w:tabs>
        <w:spacing w:line="240" w:lineRule="auto" w:before="87" w:after="0"/>
        <w:ind w:left="640" w:right="0" w:hanging="528"/>
        <w:jc w:val="left"/>
        <w:rPr>
          <w:sz w:val="23"/>
        </w:rPr>
      </w:pPr>
      <w:r>
        <w:rPr>
          <w:sz w:val="23"/>
        </w:rPr>
        <w:t>that the law allows fact witnesses to testify as experts. (Gov’t Response at</w:t>
      </w:r>
      <w:r>
        <w:rPr>
          <w:spacing w:val="-15"/>
          <w:sz w:val="23"/>
        </w:rPr>
        <w:t> </w:t>
      </w:r>
      <w:r>
        <w:rPr>
          <w:sz w:val="23"/>
        </w:rPr>
        <w:t>6)</w:t>
      </w:r>
    </w:p>
    <w:p>
      <w:pPr>
        <w:pStyle w:val="Heading1"/>
        <w:spacing w:line="254" w:lineRule="exact" w:before="31"/>
        <w:rPr>
          <w:rFonts w:ascii="Times New Roman"/>
        </w:rPr>
      </w:pPr>
      <w:r>
        <w:rPr>
          <w:rFonts w:ascii="Times New Roman"/>
        </w:rPr>
        <w:t>14</w:t>
      </w:r>
    </w:p>
    <w:p>
      <w:pPr>
        <w:pStyle w:val="BodyText"/>
        <w:spacing w:line="229" w:lineRule="exact"/>
        <w:ind w:left="1360"/>
      </w:pPr>
      <w:r>
        <w:rPr/>
        <w:t>The defense, of course, has never disputed this general legal principle. As the Court</w:t>
      </w:r>
    </w:p>
    <w:p>
      <w:pPr>
        <w:pStyle w:val="Heading1"/>
        <w:spacing w:line="263" w:lineRule="exact"/>
        <w:rPr>
          <w:rFonts w:ascii="Times New Roman"/>
        </w:rPr>
      </w:pPr>
      <w:r>
        <w:rPr>
          <w:rFonts w:ascii="Times New Roman"/>
        </w:rPr>
        <w:t>15</w:t>
      </w:r>
    </w:p>
    <w:p>
      <w:pPr>
        <w:pStyle w:val="BodyText"/>
        <w:spacing w:line="222" w:lineRule="exact" w:before="14"/>
      </w:pPr>
      <w:r>
        <w:rPr/>
        <w:t>correctly concluded, the experts in this case must be excluded because, given that their expertise is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16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1" w:val="left" w:leader="none"/>
        </w:tabs>
        <w:spacing w:line="240" w:lineRule="auto" w:before="75" w:after="0"/>
        <w:ind w:left="640" w:right="0" w:hanging="528"/>
        <w:jc w:val="left"/>
        <w:rPr>
          <w:sz w:val="23"/>
        </w:rPr>
      </w:pPr>
      <w:r>
        <w:rPr>
          <w:sz w:val="23"/>
        </w:rPr>
        <w:t>the defendants, and their testimony will be little more than an “expert” declaration that</w:t>
      </w:r>
      <w:r>
        <w:rPr>
          <w:spacing w:val="-19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1" w:val="left" w:leader="none"/>
        </w:tabs>
        <w:spacing w:line="240" w:lineRule="auto" w:before="131" w:after="0"/>
        <w:ind w:left="640" w:right="0" w:hanging="528"/>
        <w:jc w:val="left"/>
        <w:rPr>
          <w:sz w:val="23"/>
        </w:rPr>
      </w:pPr>
      <w:r>
        <w:rPr>
          <w:sz w:val="23"/>
        </w:rPr>
        <w:t>government has met the elements of the charged offenses. In the words of </w:t>
      </w:r>
      <w:r>
        <w:rPr>
          <w:i/>
          <w:sz w:val="23"/>
        </w:rPr>
        <w:t>Mejia</w:t>
      </w:r>
      <w:r>
        <w:rPr>
          <w:sz w:val="23"/>
        </w:rPr>
        <w:t>,</w:t>
      </w:r>
      <w:r>
        <w:rPr>
          <w:spacing w:val="-16"/>
          <w:sz w:val="23"/>
        </w:rPr>
        <w:t> </w:t>
      </w:r>
      <w:r>
        <w:rPr>
          <w:sz w:val="23"/>
        </w:rPr>
        <w:t>“[t]he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1" w:val="left" w:leader="none"/>
        </w:tabs>
        <w:spacing w:line="240" w:lineRule="auto" w:before="193" w:after="0"/>
        <w:ind w:left="640" w:right="0" w:hanging="528"/>
        <w:jc w:val="left"/>
        <w:rPr>
          <w:sz w:val="23"/>
        </w:rPr>
      </w:pPr>
      <w:r>
        <w:rPr>
          <w:position w:val="1"/>
          <w:sz w:val="23"/>
        </w:rPr>
        <w:t>Government cannot satisfy its burden of proof by taking the easy route of calling an ‘expert’</w:t>
      </w:r>
      <w:r>
        <w:rPr>
          <w:spacing w:val="-31"/>
          <w:position w:val="1"/>
          <w:sz w:val="23"/>
        </w:rPr>
        <w:t> </w:t>
      </w:r>
      <w:r>
        <w:rPr>
          <w:position w:val="1"/>
          <w:sz w:val="23"/>
        </w:rPr>
        <w:t>whose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1" w:val="left" w:leader="none"/>
        </w:tabs>
        <w:spacing w:line="240" w:lineRule="auto" w:before="193" w:after="0"/>
        <w:ind w:left="640" w:right="0" w:hanging="528"/>
        <w:jc w:val="left"/>
        <w:rPr>
          <w:sz w:val="23"/>
        </w:rPr>
      </w:pPr>
      <w:r>
        <w:rPr>
          <w:sz w:val="23"/>
        </w:rPr>
        <w:t>expertise happens to be the defendant.” </w:t>
      </w:r>
      <w:r>
        <w:rPr>
          <w:i/>
          <w:sz w:val="23"/>
        </w:rPr>
        <w:t>Mejia</w:t>
      </w:r>
      <w:r>
        <w:rPr>
          <w:sz w:val="23"/>
        </w:rPr>
        <w:t>, 545 F.3d at</w:t>
      </w:r>
      <w:r>
        <w:rPr>
          <w:spacing w:val="-6"/>
          <w:sz w:val="23"/>
        </w:rPr>
        <w:t> </w:t>
      </w:r>
      <w:r>
        <w:rPr>
          <w:sz w:val="23"/>
        </w:rPr>
        <w:t>191.</w:t>
      </w:r>
    </w:p>
    <w:p>
      <w:pPr>
        <w:pStyle w:val="ListParagraph"/>
        <w:numPr>
          <w:ilvl w:val="0"/>
          <w:numId w:val="4"/>
        </w:numPr>
        <w:tabs>
          <w:tab w:pos="1359" w:val="left" w:leader="none"/>
          <w:tab w:pos="1361" w:val="left" w:leader="none"/>
        </w:tabs>
        <w:spacing w:line="240" w:lineRule="auto" w:before="149" w:after="0"/>
        <w:ind w:left="1360" w:right="0" w:hanging="1248"/>
        <w:jc w:val="left"/>
        <w:rPr>
          <w:sz w:val="23"/>
        </w:rPr>
      </w:pPr>
      <w:r>
        <w:rPr>
          <w:sz w:val="23"/>
        </w:rPr>
        <w:t>Instead of responding to the Court’s previous order or to Mr. Montoya’s arguments,</w:t>
      </w:r>
      <w:r>
        <w:rPr>
          <w:spacing w:val="-18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1" w:val="left" w:leader="none"/>
        </w:tabs>
        <w:spacing w:line="240" w:lineRule="auto" w:before="82" w:after="0"/>
        <w:ind w:left="640" w:right="0" w:hanging="528"/>
        <w:jc w:val="left"/>
        <w:rPr>
          <w:sz w:val="23"/>
        </w:rPr>
      </w:pPr>
      <w:r>
        <w:rPr>
          <w:sz w:val="23"/>
        </w:rPr>
        <w:t>government reiterates its suggestion to divide Molina and McDonnell’s expert and fact</w:t>
      </w:r>
      <w:r>
        <w:rPr>
          <w:spacing w:val="-26"/>
          <w:sz w:val="23"/>
        </w:rPr>
        <w:t> </w:t>
      </w:r>
      <w:r>
        <w:rPr>
          <w:sz w:val="23"/>
        </w:rPr>
        <w:t>testimony.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1" w:val="left" w:leader="none"/>
        </w:tabs>
        <w:spacing w:line="240" w:lineRule="auto" w:before="102" w:after="0"/>
        <w:ind w:left="640" w:right="0" w:hanging="528"/>
        <w:jc w:val="left"/>
        <w:rPr>
          <w:sz w:val="23"/>
        </w:rPr>
      </w:pPr>
      <w:r>
        <w:rPr>
          <w:sz w:val="23"/>
        </w:rPr>
        <w:t>(Gov’t Response at 6.) But, as Mr. Montoya pointed out, it makes no difference that Molina</w:t>
      </w:r>
      <w:r>
        <w:rPr>
          <w:spacing w:val="-16"/>
          <w:sz w:val="23"/>
        </w:rPr>
        <w:t> </w:t>
      </w:r>
      <w:r>
        <w:rPr>
          <w:sz w:val="23"/>
        </w:rPr>
        <w:t>and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1" w:val="left" w:leader="none"/>
        </w:tabs>
        <w:spacing w:line="240" w:lineRule="auto" w:before="110" w:after="0"/>
        <w:ind w:left="640" w:right="0" w:hanging="528"/>
        <w:jc w:val="left"/>
        <w:rPr>
          <w:sz w:val="23"/>
        </w:rPr>
      </w:pPr>
      <w:r>
        <w:rPr>
          <w:sz w:val="23"/>
        </w:rPr>
        <w:t>McDonnell will not, in so many words, opine that a particular defendant is a member of MS-13</w:t>
      </w:r>
      <w:r>
        <w:rPr>
          <w:spacing w:val="-25"/>
          <w:sz w:val="23"/>
        </w:rPr>
        <w:t> </w:t>
      </w:r>
      <w:r>
        <w:rPr>
          <w:sz w:val="23"/>
        </w:rPr>
        <w:t>or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1" w:val="left" w:leader="none"/>
        </w:tabs>
        <w:spacing w:line="240" w:lineRule="auto" w:before="132" w:after="0"/>
        <w:ind w:left="640" w:right="0" w:hanging="528"/>
        <w:jc w:val="left"/>
        <w:rPr>
          <w:sz w:val="23"/>
        </w:rPr>
      </w:pPr>
      <w:r>
        <w:rPr>
          <w:sz w:val="23"/>
        </w:rPr>
        <w:t>that there will be a break between their expert and fact testimony. They will testify that</w:t>
      </w:r>
      <w:r>
        <w:rPr>
          <w:spacing w:val="-26"/>
          <w:sz w:val="23"/>
        </w:rPr>
        <w:t> </w:t>
      </w:r>
      <w:r>
        <w:rPr>
          <w:sz w:val="23"/>
        </w:rPr>
        <w:t>they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1" w:val="left" w:leader="none"/>
        </w:tabs>
        <w:spacing w:line="240" w:lineRule="auto" w:before="140" w:after="0"/>
        <w:ind w:left="640" w:right="0" w:hanging="528"/>
        <w:jc w:val="left"/>
        <w:rPr>
          <w:sz w:val="23"/>
        </w:rPr>
      </w:pPr>
      <w:r>
        <w:rPr>
          <w:sz w:val="23"/>
        </w:rPr>
        <w:t>became experts on MS-13 through their investigation of these defendants. Then they will give</w:t>
      </w:r>
      <w:r>
        <w:rPr>
          <w:spacing w:val="-31"/>
          <w:sz w:val="23"/>
        </w:rPr>
        <w:t> </w:t>
      </w:r>
      <w:r>
        <w:rPr>
          <w:sz w:val="23"/>
        </w:rPr>
        <w:t>their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0" w:val="left" w:leader="none"/>
        </w:tabs>
        <w:spacing w:line="240" w:lineRule="auto" w:before="162" w:after="0"/>
        <w:ind w:left="639" w:right="0" w:hanging="527"/>
        <w:jc w:val="left"/>
        <w:rPr>
          <w:sz w:val="23"/>
        </w:rPr>
      </w:pPr>
      <w:r>
        <w:rPr>
          <w:sz w:val="23"/>
        </w:rPr>
        <w:t>expert opinions on what makes someone a member of MS-13 as well as what sort of violent acts</w:t>
      </w:r>
      <w:r>
        <w:rPr>
          <w:spacing w:val="-28"/>
          <w:sz w:val="23"/>
        </w:rPr>
        <w:t> </w:t>
      </w:r>
      <w:r>
        <w:rPr>
          <w:sz w:val="23"/>
        </w:rPr>
        <w:t>an</w:t>
      </w:r>
    </w:p>
    <w:p>
      <w:pPr>
        <w:pStyle w:val="ListParagraph"/>
        <w:numPr>
          <w:ilvl w:val="0"/>
          <w:numId w:val="4"/>
        </w:numPr>
        <w:tabs>
          <w:tab w:pos="639" w:val="left" w:leader="none"/>
          <w:tab w:pos="640" w:val="left" w:leader="none"/>
        </w:tabs>
        <w:spacing w:line="240" w:lineRule="auto" w:before="170" w:after="0"/>
        <w:ind w:left="639" w:right="0" w:hanging="527"/>
        <w:jc w:val="left"/>
        <w:rPr>
          <w:sz w:val="23"/>
        </w:rPr>
      </w:pPr>
      <w:r>
        <w:rPr>
          <w:sz w:val="23"/>
        </w:rPr>
        <w:t>MS-13 member is likely to commit. No juror could draw any conclusion other than that</w:t>
      </w:r>
      <w:r>
        <w:rPr>
          <w:spacing w:val="-27"/>
          <w:sz w:val="23"/>
        </w:rPr>
        <w:t> </w:t>
      </w:r>
      <w:r>
        <w:rPr>
          <w:sz w:val="23"/>
        </w:rPr>
        <w:t>the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787" w:top="0" w:bottom="980" w:left="1520" w:right="62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100.425003pt;margin-top:0pt;width:4.350pt;height:792pt;mso-position-horizontal-relative:page;mso-position-vertical-relative:page;z-index:-15784" coordorigin="2009,0" coordsize="87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68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Heading1"/>
        <w:spacing w:before="92"/>
        <w:ind w:left="767"/>
      </w:pPr>
      <w:r>
        <w:rPr>
          <w:color w:val="0000FF"/>
        </w:rPr>
        <w:t>Case3:08-cr-00730-WHA Document2641 Filed11/19/10 Page3 of 10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2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91" w:after="0"/>
        <w:ind w:left="640" w:right="0" w:hanging="408"/>
        <w:jc w:val="left"/>
        <w:rPr>
          <w:sz w:val="23"/>
        </w:rPr>
      </w:pPr>
      <w:r>
        <w:rPr>
          <w:position w:val="1"/>
          <w:sz w:val="23"/>
        </w:rPr>
        <w:t>defendants are MS-13 members who commit acts of violence, and no break in testimony</w:t>
      </w:r>
      <w:r>
        <w:rPr>
          <w:spacing w:val="-24"/>
          <w:position w:val="1"/>
          <w:sz w:val="23"/>
        </w:rPr>
        <w:t> </w:t>
      </w:r>
      <w:r>
        <w:rPr>
          <w:position w:val="1"/>
          <w:sz w:val="23"/>
        </w:rPr>
        <w:t>or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179" w:after="0"/>
        <w:ind w:left="640" w:right="0" w:hanging="408"/>
        <w:jc w:val="left"/>
        <w:rPr>
          <w:sz w:val="23"/>
        </w:rPr>
      </w:pPr>
      <w:r>
        <w:rPr>
          <w:sz w:val="23"/>
        </w:rPr>
        <w:t>instruction from the Court can erase that</w:t>
      </w:r>
      <w:r>
        <w:rPr>
          <w:spacing w:val="-7"/>
          <w:sz w:val="23"/>
        </w:rPr>
        <w:t> </w:t>
      </w:r>
      <w:r>
        <w:rPr>
          <w:sz w:val="23"/>
        </w:rPr>
        <w:t>inference.</w:t>
      </w:r>
    </w:p>
    <w:p>
      <w:pPr>
        <w:pStyle w:val="ListParagraph"/>
        <w:numPr>
          <w:ilvl w:val="0"/>
          <w:numId w:val="5"/>
        </w:numPr>
        <w:tabs>
          <w:tab w:pos="1359" w:val="left" w:leader="none"/>
          <w:tab w:pos="1360" w:val="left" w:leader="none"/>
        </w:tabs>
        <w:spacing w:line="240" w:lineRule="auto" w:before="167" w:after="0"/>
        <w:ind w:left="1360" w:right="0" w:hanging="1128"/>
        <w:jc w:val="left"/>
        <w:rPr>
          <w:sz w:val="23"/>
        </w:rPr>
      </w:pPr>
      <w:r>
        <w:rPr>
          <w:sz w:val="23"/>
        </w:rPr>
        <w:t>As the Court predicted and as the government fails to contest, Molina and</w:t>
      </w:r>
      <w:r>
        <w:rPr>
          <w:spacing w:val="-14"/>
          <w:sz w:val="23"/>
        </w:rPr>
        <w:t> </w:t>
      </w:r>
      <w:r>
        <w:rPr>
          <w:sz w:val="23"/>
        </w:rPr>
        <w:t>McDonnell’s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150" w:after="0"/>
        <w:ind w:left="640" w:right="0" w:hanging="408"/>
        <w:jc w:val="left"/>
        <w:rPr>
          <w:sz w:val="23"/>
        </w:rPr>
      </w:pPr>
      <w:r>
        <w:rPr>
          <w:sz w:val="23"/>
        </w:rPr>
        <w:t>testimony demonstrates that, as experts, they will do little more than opine that the defendants</w:t>
      </w:r>
      <w:r>
        <w:rPr>
          <w:spacing w:val="-35"/>
          <w:sz w:val="23"/>
        </w:rPr>
        <w:t> </w:t>
      </w:r>
      <w:r>
        <w:rPr>
          <w:sz w:val="23"/>
        </w:rPr>
        <w:t>are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129" w:after="0"/>
        <w:ind w:left="640" w:right="0" w:hanging="408"/>
        <w:jc w:val="left"/>
        <w:rPr>
          <w:sz w:val="23"/>
        </w:rPr>
      </w:pPr>
      <w:r>
        <w:rPr>
          <w:sz w:val="23"/>
        </w:rPr>
        <w:t>members of MS-13 and that the gang has the structure and organization of a RICO enterprise.</w:t>
      </w:r>
      <w:r>
        <w:rPr>
          <w:spacing w:val="30"/>
          <w:sz w:val="23"/>
        </w:rPr>
        <w:t> </w:t>
      </w:r>
      <w:r>
        <w:rPr>
          <w:sz w:val="23"/>
        </w:rPr>
        <w:t>They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117" w:after="0"/>
        <w:ind w:left="640" w:right="0" w:hanging="408"/>
        <w:jc w:val="left"/>
        <w:rPr>
          <w:sz w:val="23"/>
        </w:rPr>
      </w:pPr>
      <w:r>
        <w:rPr>
          <w:sz w:val="23"/>
        </w:rPr>
        <w:t>would offer their expert opinions that the elements of the charges are satisfied. The Court</w:t>
      </w:r>
      <w:r>
        <w:rPr>
          <w:spacing w:val="-28"/>
          <w:sz w:val="23"/>
        </w:rPr>
        <w:t> </w:t>
      </w:r>
      <w:r>
        <w:rPr>
          <w:sz w:val="23"/>
        </w:rPr>
        <w:t>correctly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109" w:after="0"/>
        <w:ind w:left="640" w:right="0" w:hanging="408"/>
        <w:jc w:val="left"/>
        <w:rPr>
          <w:sz w:val="23"/>
        </w:rPr>
      </w:pPr>
      <w:r>
        <w:rPr>
          <w:sz w:val="23"/>
        </w:rPr>
        <w:t>anticipated this problem, its prediction was borne out in the evidentiary hearing, and</w:t>
      </w:r>
      <w:r>
        <w:rPr>
          <w:spacing w:val="-16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87" w:after="0"/>
        <w:ind w:left="640" w:right="0" w:hanging="408"/>
        <w:jc w:val="left"/>
        <w:rPr>
          <w:sz w:val="23"/>
        </w:rPr>
      </w:pPr>
      <w:r>
        <w:rPr>
          <w:sz w:val="23"/>
        </w:rPr>
        <w:t>government neglects to address the Court’s concerns. The Court should stand by its earlier</w:t>
      </w:r>
      <w:r>
        <w:rPr>
          <w:spacing w:val="-23"/>
          <w:sz w:val="23"/>
        </w:rPr>
        <w:t> </w:t>
      </w:r>
      <w:r>
        <w:rPr>
          <w:sz w:val="23"/>
        </w:rPr>
        <w:t>ruling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70" w:after="0"/>
        <w:ind w:left="640" w:right="0" w:hanging="408"/>
        <w:jc w:val="left"/>
        <w:rPr>
          <w:sz w:val="23"/>
        </w:rPr>
      </w:pPr>
      <w:r>
        <w:rPr>
          <w:sz w:val="23"/>
        </w:rPr>
        <w:t>and exclude expert testimony by these witnesses on “the structure, organization, and operations</w:t>
      </w:r>
      <w:r>
        <w:rPr>
          <w:spacing w:val="-23"/>
          <w:sz w:val="23"/>
        </w:rPr>
        <w:t> </w:t>
      </w:r>
      <w:r>
        <w:rPr>
          <w:sz w:val="23"/>
        </w:rPr>
        <w:t>of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57" w:after="0"/>
        <w:ind w:left="640" w:right="0" w:hanging="528"/>
        <w:jc w:val="left"/>
        <w:rPr>
          <w:sz w:val="23"/>
        </w:rPr>
      </w:pPr>
      <w:r>
        <w:rPr>
          <w:sz w:val="23"/>
        </w:rPr>
        <w:t>the MS-13 gang.”</w:t>
      </w:r>
    </w:p>
    <w:p>
      <w:pPr>
        <w:pStyle w:val="Heading2"/>
        <w:numPr>
          <w:ilvl w:val="0"/>
          <w:numId w:val="5"/>
        </w:numPr>
        <w:tabs>
          <w:tab w:pos="639" w:val="left" w:leader="none"/>
          <w:tab w:pos="640" w:val="left" w:leader="none"/>
          <w:tab w:pos="1359" w:val="left" w:leader="none"/>
        </w:tabs>
        <w:spacing w:line="240" w:lineRule="auto" w:before="39" w:after="0"/>
        <w:ind w:left="640" w:right="0" w:hanging="528"/>
        <w:jc w:val="left"/>
      </w:pPr>
      <w:r>
        <w:rPr/>
        <w:t>B.</w:t>
        <w:tab/>
        <w:t>An Assertion of “Training and Experience” Does Not</w:t>
      </w:r>
      <w:r>
        <w:rPr>
          <w:spacing w:val="-4"/>
        </w:rPr>
        <w:t> </w:t>
      </w:r>
      <w:r>
        <w:rPr/>
        <w:t>Suffice.</w:t>
      </w:r>
    </w:p>
    <w:p>
      <w:pPr>
        <w:pStyle w:val="ListParagraph"/>
        <w:numPr>
          <w:ilvl w:val="0"/>
          <w:numId w:val="5"/>
        </w:numPr>
        <w:tabs>
          <w:tab w:pos="1359" w:val="left" w:leader="none"/>
          <w:tab w:pos="1360" w:val="left" w:leader="none"/>
        </w:tabs>
        <w:spacing w:line="240" w:lineRule="auto" w:before="102" w:after="0"/>
        <w:ind w:left="1360" w:right="0" w:hanging="1248"/>
        <w:jc w:val="left"/>
        <w:rPr>
          <w:sz w:val="23"/>
        </w:rPr>
      </w:pPr>
      <w:r>
        <w:rPr>
          <w:sz w:val="23"/>
        </w:rPr>
        <w:t>The government devotes seven pages to the undisputed fact that its experts have</w:t>
      </w:r>
      <w:r>
        <w:rPr>
          <w:spacing w:val="-24"/>
          <w:sz w:val="23"/>
        </w:rPr>
        <w:t> </w:t>
      </w:r>
      <w:r>
        <w:rPr>
          <w:sz w:val="23"/>
        </w:rPr>
        <w:t>long-term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640" w:val="left" w:leader="none"/>
        </w:tabs>
        <w:spacing w:line="240" w:lineRule="auto" w:before="89" w:after="0"/>
        <w:ind w:left="640" w:right="0" w:hanging="528"/>
        <w:jc w:val="left"/>
        <w:rPr>
          <w:sz w:val="23"/>
        </w:rPr>
      </w:pPr>
      <w:r>
        <w:rPr>
          <w:sz w:val="23"/>
        </w:rPr>
        <w:t>experience as police officers.  Ignoring the obvious bias inherent in this fact, the government</w:t>
      </w:r>
      <w:r>
        <w:rPr>
          <w:spacing w:val="-39"/>
          <w:sz w:val="23"/>
        </w:rPr>
        <w:t> </w:t>
      </w:r>
      <w:r>
        <w:rPr>
          <w:sz w:val="23"/>
        </w:rPr>
        <w:t>argues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  <w:tab w:pos="641" w:val="left" w:leader="none"/>
        </w:tabs>
        <w:spacing w:line="240" w:lineRule="auto" w:before="69" w:after="0"/>
        <w:ind w:left="640" w:right="0" w:hanging="528"/>
        <w:jc w:val="left"/>
        <w:rPr>
          <w:sz w:val="23"/>
        </w:rPr>
      </w:pPr>
      <w:r>
        <w:rPr>
          <w:sz w:val="23"/>
        </w:rPr>
        <w:t>that this fact alone supports wide-ranging and controversial expert opinions on fundamental</w:t>
      </w:r>
      <w:r>
        <w:rPr>
          <w:spacing w:val="-31"/>
          <w:sz w:val="23"/>
        </w:rPr>
        <w:t> </w:t>
      </w:r>
      <w:r>
        <w:rPr>
          <w:sz w:val="23"/>
        </w:rPr>
        <w:t>issues.</w:t>
      </w:r>
    </w:p>
    <w:p>
      <w:pPr>
        <w:pStyle w:val="ListParagraph"/>
        <w:numPr>
          <w:ilvl w:val="0"/>
          <w:numId w:val="5"/>
        </w:numPr>
        <w:tabs>
          <w:tab w:pos="1360" w:val="left" w:leader="none"/>
          <w:tab w:pos="1361" w:val="left" w:leader="none"/>
        </w:tabs>
        <w:spacing w:line="240" w:lineRule="auto" w:before="57" w:after="0"/>
        <w:ind w:left="1360" w:right="0" w:hanging="1248"/>
        <w:jc w:val="left"/>
        <w:rPr>
          <w:sz w:val="23"/>
        </w:rPr>
      </w:pPr>
      <w:r>
        <w:rPr>
          <w:sz w:val="23"/>
        </w:rPr>
        <w:t>This Court’s June 8, 2010 order, however, explicitly rejected the "training and</w:t>
      </w:r>
      <w:r>
        <w:rPr>
          <w:spacing w:val="-28"/>
          <w:sz w:val="23"/>
        </w:rPr>
        <w:t> </w:t>
      </w:r>
      <w:r>
        <w:rPr>
          <w:sz w:val="23"/>
        </w:rPr>
        <w:t>experience"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  <w:tab w:pos="641" w:val="left" w:leader="none"/>
        </w:tabs>
        <w:spacing w:line="290" w:lineRule="atLeast" w:before="40" w:after="0"/>
        <w:ind w:left="640" w:right="245" w:hanging="528"/>
        <w:jc w:val="left"/>
        <w:rPr>
          <w:sz w:val="23"/>
        </w:rPr>
      </w:pPr>
      <w:r>
        <w:rPr>
          <w:sz w:val="23"/>
        </w:rPr>
        <w:t>approach. For example, this Court specifically ruled that -- even with respect to codes -- that “[i]t is not enough to simply say that an officer will explain the codes used by the gang and this will</w:t>
      </w:r>
      <w:r>
        <w:rPr>
          <w:spacing w:val="-31"/>
          <w:sz w:val="23"/>
        </w:rPr>
        <w:t> </w:t>
      </w:r>
      <w:r>
        <w:rPr>
          <w:sz w:val="23"/>
        </w:rPr>
        <w:t>be</w:t>
      </w:r>
    </w:p>
    <w:p>
      <w:pPr>
        <w:pStyle w:val="Heading1"/>
        <w:spacing w:line="181" w:lineRule="exact"/>
        <w:rPr>
          <w:rFonts w:ascii="Times New Roman"/>
        </w:rPr>
      </w:pPr>
      <w:r>
        <w:rPr>
          <w:rFonts w:ascii="Times New Roman"/>
        </w:rPr>
        <w:t>17</w:t>
      </w:r>
    </w:p>
    <w:p>
      <w:pPr>
        <w:pStyle w:val="BodyText"/>
        <w:spacing w:line="222" w:lineRule="exact" w:before="11"/>
      </w:pPr>
      <w:r>
        <w:rPr/>
        <w:t>based on his or her training and experience.” (Doc. 1821 at 12 n.7.) Rather, the Court directed the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18</w:t>
      </w:r>
    </w:p>
    <w:p>
      <w:pPr>
        <w:pStyle w:val="BodyText"/>
        <w:spacing w:line="229" w:lineRule="exact"/>
      </w:pPr>
      <w:r>
        <w:rPr/>
        <w:t>government to provide supplemental disclosures according to a precise format:</w:t>
      </w:r>
    </w:p>
    <w:p>
      <w:pPr>
        <w:pStyle w:val="Heading1"/>
        <w:spacing w:line="230" w:lineRule="exact"/>
        <w:rPr>
          <w:rFonts w:ascii="Times New Roman"/>
        </w:rPr>
      </w:pPr>
      <w:r>
        <w:rPr>
          <w:rFonts w:ascii="Times New Roman"/>
        </w:rPr>
        <w:t>19</w:t>
      </w:r>
    </w:p>
    <w:p>
      <w:pPr>
        <w:pStyle w:val="BodyText"/>
        <w:spacing w:line="229" w:lineRule="exact"/>
        <w:ind w:left="1360"/>
      </w:pPr>
      <w:r>
        <w:rPr/>
        <w:t>With respect to the recording DH999 dated MM-DD-YYYY, Officer XYZ will testify that</w:t>
      </w:r>
    </w:p>
    <w:p>
      <w:pPr>
        <w:pStyle w:val="ListParagraph"/>
        <w:numPr>
          <w:ilvl w:val="0"/>
          <w:numId w:val="6"/>
        </w:numPr>
        <w:tabs>
          <w:tab w:pos="1360" w:val="left" w:leader="none"/>
          <w:tab w:pos="1361" w:val="left" w:leader="none"/>
        </w:tabs>
        <w:spacing w:line="266" w:lineRule="exact" w:before="27" w:after="0"/>
        <w:ind w:left="1360" w:right="389" w:hanging="1248"/>
        <w:jc w:val="left"/>
        <w:rPr>
          <w:sz w:val="23"/>
        </w:rPr>
      </w:pPr>
      <w:r>
        <w:rPr>
          <w:sz w:val="23"/>
        </w:rPr>
        <w:t>the word “piece” meant “gun” and the word “item” meant “package of cocaine.” The basis for this opinion is his experience in monitoring drug transactions and in listening to</w:t>
      </w:r>
      <w:r>
        <w:rPr>
          <w:spacing w:val="-27"/>
          <w:sz w:val="23"/>
        </w:rPr>
        <w:t> </w:t>
      </w:r>
      <w:r>
        <w:rPr>
          <w:sz w:val="23"/>
        </w:rPr>
        <w:t>1600</w:t>
      </w:r>
    </w:p>
    <w:p>
      <w:pPr>
        <w:pStyle w:val="ListParagraph"/>
        <w:numPr>
          <w:ilvl w:val="0"/>
          <w:numId w:val="6"/>
        </w:numPr>
        <w:tabs>
          <w:tab w:pos="1360" w:val="left" w:leader="none"/>
          <w:tab w:pos="1361" w:val="left" w:leader="none"/>
        </w:tabs>
        <w:spacing w:line="261" w:lineRule="exact" w:before="0" w:after="0"/>
        <w:ind w:left="1360" w:right="0" w:hanging="1248"/>
        <w:jc w:val="left"/>
        <w:rPr>
          <w:sz w:val="23"/>
        </w:rPr>
      </w:pPr>
      <w:r>
        <w:rPr>
          <w:sz w:val="23"/>
        </w:rPr>
        <w:t>recordings involving the same individuals between 2004 and 2009, many of which used</w:t>
      </w:r>
      <w:r>
        <w:rPr>
          <w:spacing w:val="-26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6"/>
        </w:numPr>
        <w:tabs>
          <w:tab w:pos="1360" w:val="left" w:leader="none"/>
          <w:tab w:pos="1361" w:val="left" w:leader="none"/>
        </w:tabs>
        <w:spacing w:line="158" w:lineRule="auto" w:before="37" w:after="0"/>
        <w:ind w:left="1360" w:right="0" w:hanging="1248"/>
        <w:jc w:val="left"/>
        <w:rPr>
          <w:sz w:val="23"/>
        </w:rPr>
      </w:pPr>
      <w:r>
        <w:rPr>
          <w:sz w:val="23"/>
        </w:rPr>
        <w:t>same terms in the same</w:t>
      </w:r>
      <w:r>
        <w:rPr>
          <w:spacing w:val="-2"/>
          <w:sz w:val="23"/>
        </w:rPr>
        <w:t> </w:t>
      </w:r>
      <w:r>
        <w:rPr>
          <w:spacing w:val="-3"/>
          <w:sz w:val="23"/>
        </w:rPr>
        <w:t>way.</w:t>
      </w:r>
    </w:p>
    <w:p>
      <w:pPr>
        <w:pStyle w:val="BodyText"/>
        <w:spacing w:line="210" w:lineRule="exact"/>
      </w:pPr>
      <w:r>
        <w:rPr/>
        <w:t>(Id. at 13.) In the words of the Court, “</w:t>
      </w:r>
      <w:r>
        <w:rPr>
          <w:i/>
        </w:rPr>
        <w:t>[e]ach </w:t>
      </w:r>
      <w:r>
        <w:rPr/>
        <w:t>opinion and basis must be stated with at least this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  <w:tab w:pos="641" w:val="left" w:leader="none"/>
        </w:tabs>
        <w:spacing w:line="240" w:lineRule="auto" w:before="32" w:after="0"/>
        <w:ind w:left="640" w:right="0" w:hanging="528"/>
        <w:jc w:val="left"/>
        <w:rPr>
          <w:sz w:val="23"/>
        </w:rPr>
      </w:pPr>
      <w:r>
        <w:rPr>
          <w:sz w:val="23"/>
        </w:rPr>
        <w:t>much </w:t>
      </w:r>
      <w:r>
        <w:rPr>
          <w:i/>
          <w:sz w:val="23"/>
        </w:rPr>
        <w:t>particularity</w:t>
      </w:r>
      <w:r>
        <w:rPr>
          <w:sz w:val="23"/>
        </w:rPr>
        <w:t>.” (Id., emphasis in</w:t>
      </w:r>
      <w:r>
        <w:rPr>
          <w:spacing w:val="-4"/>
          <w:sz w:val="23"/>
        </w:rPr>
        <w:t> </w:t>
      </w:r>
      <w:r>
        <w:rPr>
          <w:sz w:val="23"/>
        </w:rPr>
        <w:t>original.)</w:t>
      </w:r>
    </w:p>
    <w:p>
      <w:pPr>
        <w:pStyle w:val="ListParagraph"/>
        <w:numPr>
          <w:ilvl w:val="0"/>
          <w:numId w:val="6"/>
        </w:numPr>
        <w:tabs>
          <w:tab w:pos="1360" w:val="left" w:leader="none"/>
          <w:tab w:pos="1361" w:val="left" w:leader="none"/>
        </w:tabs>
        <w:spacing w:line="240" w:lineRule="auto" w:before="50" w:after="0"/>
        <w:ind w:left="1360" w:right="0" w:hanging="1248"/>
        <w:jc w:val="left"/>
        <w:rPr>
          <w:sz w:val="23"/>
        </w:rPr>
      </w:pPr>
      <w:r>
        <w:rPr>
          <w:sz w:val="23"/>
        </w:rPr>
        <w:t>Similarly, in its September 20, 2010 order granting a </w:t>
      </w:r>
      <w:r>
        <w:rPr>
          <w:i/>
          <w:sz w:val="23"/>
        </w:rPr>
        <w:t>Daubert </w:t>
      </w:r>
      <w:r>
        <w:rPr>
          <w:sz w:val="23"/>
        </w:rPr>
        <w:t>hearing, the</w:t>
      </w:r>
      <w:r>
        <w:rPr>
          <w:spacing w:val="-7"/>
          <w:sz w:val="23"/>
        </w:rPr>
        <w:t> </w:t>
      </w:r>
      <w:r>
        <w:rPr>
          <w:sz w:val="23"/>
        </w:rPr>
        <w:t>Court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  <w:tab w:pos="641" w:val="left" w:leader="none"/>
        </w:tabs>
        <w:spacing w:line="240" w:lineRule="auto" w:before="62" w:after="0"/>
        <w:ind w:left="640" w:right="0" w:hanging="528"/>
        <w:jc w:val="left"/>
        <w:rPr>
          <w:sz w:val="23"/>
        </w:rPr>
      </w:pPr>
      <w:r>
        <w:rPr>
          <w:sz w:val="23"/>
        </w:rPr>
        <w:t>stated in no uncertain</w:t>
      </w:r>
      <w:r>
        <w:rPr>
          <w:spacing w:val="-4"/>
          <w:sz w:val="23"/>
        </w:rPr>
        <w:t> </w:t>
      </w:r>
      <w:r>
        <w:rPr>
          <w:sz w:val="23"/>
        </w:rPr>
        <w:t>terms:</w:t>
      </w:r>
    </w:p>
    <w:p>
      <w:pPr>
        <w:pStyle w:val="ListParagraph"/>
        <w:numPr>
          <w:ilvl w:val="0"/>
          <w:numId w:val="6"/>
        </w:numPr>
        <w:tabs>
          <w:tab w:pos="1360" w:val="left" w:leader="none"/>
          <w:tab w:pos="1361" w:val="left" w:leader="none"/>
        </w:tabs>
        <w:spacing w:line="240" w:lineRule="auto" w:before="75" w:after="0"/>
        <w:ind w:left="1360" w:right="0" w:hanging="1248"/>
        <w:jc w:val="left"/>
        <w:rPr>
          <w:sz w:val="23"/>
        </w:rPr>
      </w:pPr>
      <w:r>
        <w:rPr>
          <w:sz w:val="23"/>
        </w:rPr>
        <w:t>Specifically, each proffered ‘opinion’ by each expert will be examined</w:t>
      </w:r>
      <w:r>
        <w:rPr>
          <w:spacing w:val="-14"/>
          <w:sz w:val="23"/>
        </w:rPr>
        <w:t> </w:t>
      </w:r>
      <w:r>
        <w:rPr>
          <w:sz w:val="23"/>
        </w:rPr>
        <w:t>to</w:t>
      </w:r>
    </w:p>
    <w:p>
      <w:pPr>
        <w:pStyle w:val="ListParagraph"/>
        <w:numPr>
          <w:ilvl w:val="0"/>
          <w:numId w:val="6"/>
        </w:numPr>
        <w:tabs>
          <w:tab w:pos="1360" w:val="left" w:leader="none"/>
          <w:tab w:pos="1361" w:val="left" w:leader="none"/>
        </w:tabs>
        <w:spacing w:line="168" w:lineRule="auto" w:before="36" w:after="0"/>
        <w:ind w:left="1360" w:right="1724" w:hanging="1248"/>
        <w:jc w:val="left"/>
        <w:rPr>
          <w:sz w:val="23"/>
        </w:rPr>
      </w:pPr>
      <w:r>
        <w:rPr>
          <w:sz w:val="23"/>
        </w:rPr>
        <w:t>ensure that the opinion is actually based on specialized knowledge that assists the jury, is not being offered as a shortcut for factual evidence, and</w:t>
      </w:r>
      <w:r>
        <w:rPr>
          <w:spacing w:val="-28"/>
          <w:sz w:val="23"/>
        </w:rPr>
        <w:t> </w:t>
      </w:r>
      <w:r>
        <w:rPr>
          <w:sz w:val="23"/>
        </w:rPr>
        <w:t>is</w:t>
      </w:r>
    </w:p>
    <w:p>
      <w:pPr>
        <w:pStyle w:val="ListParagraph"/>
        <w:numPr>
          <w:ilvl w:val="0"/>
          <w:numId w:val="6"/>
        </w:numPr>
        <w:tabs>
          <w:tab w:pos="1360" w:val="left" w:leader="none"/>
          <w:tab w:pos="1361" w:val="left" w:leader="none"/>
        </w:tabs>
        <w:spacing w:line="240" w:lineRule="auto" w:before="15" w:after="0"/>
        <w:ind w:left="1360" w:right="0" w:hanging="1248"/>
        <w:jc w:val="left"/>
        <w:rPr>
          <w:sz w:val="23"/>
        </w:rPr>
      </w:pPr>
      <w:r>
        <w:rPr>
          <w:sz w:val="23"/>
        </w:rPr>
        <w:t>not simply a repetition of</w:t>
      </w:r>
      <w:r>
        <w:rPr>
          <w:spacing w:val="-8"/>
          <w:sz w:val="23"/>
        </w:rPr>
        <w:t> </w:t>
      </w:r>
      <w:r>
        <w:rPr>
          <w:sz w:val="23"/>
        </w:rPr>
        <w:t>hearsay.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787" w:top="0" w:bottom="980" w:left="1520" w:right="62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100.425003pt;margin-top:0pt;width:151.6pt;height:792pt;mso-position-horizontal-relative:page;mso-position-vertical-relative:page;z-index:-15736" coordorigin="2009,0" coordsize="3032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v:line style="position:absolute" from="2160,12858" to="5040,12858" stroked="true" strokeweight=".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16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Heading1"/>
        <w:spacing w:before="92"/>
        <w:ind w:left="767"/>
      </w:pPr>
      <w:r>
        <w:rPr>
          <w:color w:val="0000FF"/>
        </w:rPr>
        <w:t>Case3:08-cr-00730-WHA Document2641 Filed11/19/10 Page4 of 10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2"/>
        <w:ind w:left="0"/>
        <w:rPr>
          <w:rFonts w:ascii="Arial"/>
          <w:sz w:val="25"/>
        </w:rPr>
      </w:pP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91" w:after="0"/>
        <w:ind w:left="640" w:right="0" w:hanging="408"/>
        <w:jc w:val="left"/>
        <w:rPr>
          <w:sz w:val="23"/>
        </w:rPr>
      </w:pPr>
      <w:r>
        <w:rPr>
          <w:position w:val="1"/>
          <w:sz w:val="23"/>
        </w:rPr>
        <w:t>(Doc. 2288 at 1, emphasis added.) Expert testimony based on an assertion of mere</w:t>
      </w:r>
      <w:r>
        <w:rPr>
          <w:spacing w:val="-21"/>
          <w:position w:val="1"/>
          <w:sz w:val="23"/>
        </w:rPr>
        <w:t> </w:t>
      </w:r>
      <w:r>
        <w:rPr>
          <w:position w:val="1"/>
          <w:sz w:val="23"/>
        </w:rPr>
        <w:t>“training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179" w:after="0"/>
        <w:ind w:left="639" w:right="0" w:hanging="407"/>
        <w:jc w:val="left"/>
        <w:rPr>
          <w:sz w:val="23"/>
        </w:rPr>
      </w:pPr>
      <w:r>
        <w:rPr>
          <w:sz w:val="23"/>
        </w:rPr>
        <w:t>and experience” does not meet this standard. (Cf. Doc. 1884, summarizing each</w:t>
      </w:r>
      <w:r>
        <w:rPr>
          <w:spacing w:val="-16"/>
          <w:sz w:val="23"/>
        </w:rPr>
        <w:t> </w:t>
      </w:r>
      <w:r>
        <w:rPr>
          <w:sz w:val="23"/>
        </w:rPr>
        <w:t>officer’s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167" w:after="0"/>
        <w:ind w:left="639" w:right="0" w:hanging="407"/>
        <w:jc w:val="left"/>
        <w:rPr>
          <w:sz w:val="23"/>
        </w:rPr>
      </w:pPr>
      <w:r>
        <w:rPr>
          <w:sz w:val="23"/>
        </w:rPr>
        <w:t>generalized background.) If this were enough, a </w:t>
      </w:r>
      <w:r>
        <w:rPr>
          <w:i/>
          <w:sz w:val="23"/>
        </w:rPr>
        <w:t>Daubert </w:t>
      </w:r>
      <w:r>
        <w:rPr>
          <w:sz w:val="23"/>
        </w:rPr>
        <w:t>hearing would have</w:t>
      </w:r>
      <w:r>
        <w:rPr>
          <w:spacing w:val="-11"/>
          <w:sz w:val="23"/>
        </w:rPr>
        <w:t> </w:t>
      </w:r>
      <w:r>
        <w:rPr>
          <w:sz w:val="23"/>
        </w:rPr>
        <w:t>been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150" w:after="0"/>
        <w:ind w:left="639" w:right="0" w:hanging="407"/>
        <w:jc w:val="left"/>
        <w:rPr>
          <w:sz w:val="23"/>
        </w:rPr>
      </w:pPr>
      <w:r>
        <w:rPr>
          <w:sz w:val="23"/>
        </w:rPr>
        <w:t>unnecessary from the</w:t>
      </w:r>
      <w:r>
        <w:rPr>
          <w:spacing w:val="-2"/>
          <w:sz w:val="23"/>
        </w:rPr>
        <w:t> </w:t>
      </w:r>
      <w:r>
        <w:rPr>
          <w:sz w:val="23"/>
        </w:rPr>
        <w:t>beginning.</w:t>
      </w:r>
    </w:p>
    <w:p>
      <w:pPr>
        <w:pStyle w:val="ListParagraph"/>
        <w:numPr>
          <w:ilvl w:val="1"/>
          <w:numId w:val="6"/>
        </w:numPr>
        <w:tabs>
          <w:tab w:pos="1359" w:val="left" w:leader="none"/>
          <w:tab w:pos="1360" w:val="left" w:leader="none"/>
        </w:tabs>
        <w:spacing w:line="240" w:lineRule="auto" w:before="129" w:after="0"/>
        <w:ind w:left="1359" w:right="0" w:hanging="1127"/>
        <w:jc w:val="left"/>
        <w:rPr>
          <w:sz w:val="23"/>
        </w:rPr>
      </w:pPr>
      <w:r>
        <w:rPr>
          <w:sz w:val="23"/>
        </w:rPr>
        <w:t>And yet, in neither the supplemental expert disclosures (Doc. 1884), the five days</w:t>
      </w:r>
      <w:r>
        <w:rPr>
          <w:spacing w:val="-16"/>
          <w:sz w:val="23"/>
        </w:rPr>
        <w:t> </w:t>
      </w:r>
      <w:r>
        <w:rPr>
          <w:sz w:val="23"/>
        </w:rPr>
        <w:t>of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117" w:after="0"/>
        <w:ind w:left="639" w:right="0" w:hanging="407"/>
        <w:jc w:val="left"/>
        <w:rPr>
          <w:sz w:val="23"/>
        </w:rPr>
      </w:pPr>
      <w:r>
        <w:rPr>
          <w:i/>
          <w:sz w:val="23"/>
        </w:rPr>
        <w:t>Daubert </w:t>
      </w:r>
      <w:r>
        <w:rPr>
          <w:sz w:val="23"/>
        </w:rPr>
        <w:t>hearings, nor the most recent post-hearing brief does the government comply</w:t>
      </w:r>
      <w:r>
        <w:rPr>
          <w:spacing w:val="-20"/>
          <w:sz w:val="23"/>
        </w:rPr>
        <w:t> </w:t>
      </w:r>
      <w:r>
        <w:rPr>
          <w:sz w:val="23"/>
        </w:rPr>
        <w:t>with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109" w:after="0"/>
        <w:ind w:left="639" w:right="0" w:hanging="407"/>
        <w:jc w:val="left"/>
        <w:rPr>
          <w:sz w:val="23"/>
        </w:rPr>
      </w:pPr>
      <w:r>
        <w:rPr>
          <w:sz w:val="23"/>
        </w:rPr>
        <w:t>this simple request to provide specific bases and a reliable methodology for each</w:t>
      </w:r>
      <w:r>
        <w:rPr>
          <w:spacing w:val="-32"/>
          <w:sz w:val="23"/>
        </w:rPr>
        <w:t> </w:t>
      </w:r>
      <w:r>
        <w:rPr>
          <w:sz w:val="23"/>
        </w:rPr>
        <w:t>opinion.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87" w:after="0"/>
        <w:ind w:left="639" w:right="0" w:hanging="407"/>
        <w:jc w:val="left"/>
        <w:rPr>
          <w:sz w:val="23"/>
        </w:rPr>
      </w:pPr>
      <w:r>
        <w:rPr>
          <w:sz w:val="23"/>
        </w:rPr>
        <w:t>Instead, the government has asserted broadly that the opinions are based on “training</w:t>
      </w:r>
      <w:r>
        <w:rPr>
          <w:spacing w:val="-31"/>
          <w:sz w:val="23"/>
        </w:rPr>
        <w:t> </w:t>
      </w:r>
      <w:r>
        <w:rPr>
          <w:sz w:val="23"/>
        </w:rPr>
        <w:t>and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70" w:after="0"/>
        <w:ind w:left="639" w:right="0" w:hanging="407"/>
        <w:jc w:val="left"/>
        <w:rPr>
          <w:sz w:val="23"/>
        </w:rPr>
      </w:pPr>
      <w:r>
        <w:rPr>
          <w:sz w:val="23"/>
        </w:rPr>
        <w:t>experience” and the officers’ “observations” as police. Surprisingly, the government’s</w:t>
      </w:r>
      <w:r>
        <w:rPr>
          <w:spacing w:val="-14"/>
          <w:sz w:val="23"/>
        </w:rPr>
        <w:t> </w:t>
      </w:r>
      <w:r>
        <w:rPr>
          <w:sz w:val="23"/>
        </w:rPr>
        <w:t>most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57" w:after="0"/>
        <w:ind w:left="639" w:right="0" w:hanging="527"/>
        <w:jc w:val="left"/>
        <w:rPr>
          <w:sz w:val="23"/>
        </w:rPr>
      </w:pPr>
      <w:r>
        <w:rPr>
          <w:sz w:val="23"/>
        </w:rPr>
        <w:t>recent brief fails to examine even a </w:t>
      </w:r>
      <w:r>
        <w:rPr>
          <w:i/>
          <w:sz w:val="23"/>
        </w:rPr>
        <w:t>single individual opinion </w:t>
      </w:r>
      <w:r>
        <w:rPr>
          <w:sz w:val="23"/>
        </w:rPr>
        <w:t>in order to demonstrate</w:t>
      </w:r>
      <w:r>
        <w:rPr>
          <w:spacing w:val="-15"/>
          <w:sz w:val="23"/>
        </w:rPr>
        <w:t> </w:t>
      </w:r>
      <w:r>
        <w:rPr>
          <w:sz w:val="23"/>
        </w:rPr>
        <w:t>that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40" w:lineRule="auto" w:before="39" w:after="0"/>
        <w:ind w:left="639" w:right="0" w:hanging="527"/>
        <w:jc w:val="left"/>
        <w:rPr>
          <w:sz w:val="23"/>
        </w:rPr>
      </w:pPr>
      <w:r>
        <w:rPr>
          <w:sz w:val="23"/>
        </w:rPr>
        <w:t>the bases meet this Court's clearly-articulated standards. Rather than engage in</w:t>
      </w:r>
      <w:r>
        <w:rPr>
          <w:spacing w:val="-26"/>
          <w:sz w:val="23"/>
        </w:rPr>
        <w:t> </w:t>
      </w:r>
      <w:r>
        <w:rPr>
          <w:sz w:val="23"/>
        </w:rPr>
        <w:t>fact-specific</w:t>
      </w:r>
    </w:p>
    <w:p>
      <w:pPr>
        <w:pStyle w:val="ListParagraph"/>
        <w:numPr>
          <w:ilvl w:val="1"/>
          <w:numId w:val="6"/>
        </w:numPr>
        <w:tabs>
          <w:tab w:pos="639" w:val="left" w:leader="none"/>
          <w:tab w:pos="640" w:val="left" w:leader="none"/>
        </w:tabs>
        <w:spacing w:line="280" w:lineRule="atLeast" w:before="29" w:after="0"/>
        <w:ind w:left="639" w:right="1366" w:hanging="527"/>
        <w:jc w:val="left"/>
        <w:rPr>
          <w:sz w:val="23"/>
        </w:rPr>
      </w:pPr>
      <w:r>
        <w:rPr>
          <w:sz w:val="23"/>
        </w:rPr>
        <w:t>analysis, as presented in Guillermo Herrera’s post-hearing brief (Doc. 2591), the government relies on generalities. Because these bases were ruled inadequate under</w:t>
      </w:r>
      <w:r>
        <w:rPr>
          <w:spacing w:val="-32"/>
          <w:sz w:val="23"/>
        </w:rPr>
        <w:t> </w:t>
      </w:r>
      <w:r>
        <w:rPr>
          <w:sz w:val="23"/>
        </w:rPr>
        <w:t>the</w:t>
      </w:r>
    </w:p>
    <w:p>
      <w:pPr>
        <w:pStyle w:val="Heading1"/>
        <w:spacing w:line="193" w:lineRule="exact"/>
        <w:rPr>
          <w:rFonts w:ascii="Times New Roman"/>
        </w:rPr>
      </w:pPr>
      <w:r>
        <w:rPr>
          <w:rFonts w:ascii="Times New Roman"/>
        </w:rPr>
        <w:t>13</w:t>
      </w:r>
    </w:p>
    <w:p>
      <w:pPr>
        <w:pStyle w:val="BodyText"/>
        <w:spacing w:line="229" w:lineRule="exact"/>
        <w:ind w:left="639"/>
      </w:pPr>
      <w:r>
        <w:rPr/>
        <w:t>Court’s prior order and insufficient as a matter of law, the opinions should be excluded.</w:t>
      </w:r>
      <w:hyperlink w:history="true" w:anchor="_bookmark1">
        <w:r>
          <w:rPr>
            <w:vertAlign w:val="superscript"/>
          </w:rPr>
          <w:t>2</w:t>
        </w:r>
      </w:hyperlink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14</w:t>
      </w:r>
    </w:p>
    <w:p>
      <w:pPr>
        <w:pStyle w:val="Heading2"/>
        <w:numPr>
          <w:ilvl w:val="2"/>
          <w:numId w:val="6"/>
        </w:numPr>
        <w:tabs>
          <w:tab w:pos="1359" w:val="left" w:leader="none"/>
          <w:tab w:pos="1360" w:val="left" w:leader="none"/>
        </w:tabs>
        <w:spacing w:line="227" w:lineRule="exact" w:before="0" w:after="0"/>
        <w:ind w:left="1360" w:right="0" w:hanging="720"/>
        <w:jc w:val="left"/>
      </w:pPr>
      <w:r>
        <w:rPr/>
        <w:t>The Government Fails To Address Both the Extent to Which the</w:t>
      </w:r>
      <w:r>
        <w:rPr>
          <w:spacing w:val="-19"/>
        </w:rPr>
        <w:t> </w:t>
      </w:r>
      <w:r>
        <w:rPr/>
        <w:t>Proposed</w:t>
      </w:r>
    </w:p>
    <w:p>
      <w:pPr>
        <w:pStyle w:val="ListParagraph"/>
        <w:numPr>
          <w:ilvl w:val="0"/>
          <w:numId w:val="7"/>
        </w:numPr>
        <w:tabs>
          <w:tab w:pos="1359" w:val="left" w:leader="none"/>
          <w:tab w:pos="1360" w:val="left" w:leader="none"/>
        </w:tabs>
        <w:spacing w:line="295" w:lineRule="exact" w:before="0" w:after="0"/>
        <w:ind w:left="1360" w:right="0" w:hanging="1248"/>
        <w:jc w:val="left"/>
        <w:rPr>
          <w:b/>
          <w:sz w:val="23"/>
        </w:rPr>
      </w:pPr>
      <w:r>
        <w:rPr>
          <w:b/>
          <w:sz w:val="23"/>
        </w:rPr>
        <w:t>Testimony Invades the Province of the Jury and the Applicability of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F.R.E</w:t>
      </w:r>
    </w:p>
    <w:p>
      <w:pPr>
        <w:pStyle w:val="ListParagraph"/>
        <w:numPr>
          <w:ilvl w:val="0"/>
          <w:numId w:val="7"/>
        </w:numPr>
        <w:tabs>
          <w:tab w:pos="1359" w:val="left" w:leader="none"/>
          <w:tab w:pos="1360" w:val="left" w:leader="none"/>
        </w:tabs>
        <w:spacing w:line="228" w:lineRule="auto" w:before="3" w:after="0"/>
        <w:ind w:left="1360" w:right="0" w:hanging="1248"/>
        <w:jc w:val="left"/>
        <w:rPr>
          <w:b/>
          <w:sz w:val="23"/>
        </w:rPr>
      </w:pPr>
      <w:r>
        <w:rPr>
          <w:b/>
          <w:sz w:val="23"/>
        </w:rPr>
        <w:t>704(b) in the Context of This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Case.</w:t>
      </w:r>
    </w:p>
    <w:p>
      <w:pPr>
        <w:pStyle w:val="ListParagraph"/>
        <w:numPr>
          <w:ilvl w:val="0"/>
          <w:numId w:val="7"/>
        </w:numPr>
        <w:tabs>
          <w:tab w:pos="1359" w:val="left" w:leader="none"/>
          <w:tab w:pos="1360" w:val="left" w:leader="none"/>
        </w:tabs>
        <w:spacing w:line="240" w:lineRule="auto" w:before="110" w:after="0"/>
        <w:ind w:left="1359" w:right="0" w:hanging="1247"/>
        <w:jc w:val="left"/>
        <w:rPr>
          <w:sz w:val="23"/>
        </w:rPr>
      </w:pPr>
      <w:r>
        <w:rPr>
          <w:sz w:val="23"/>
        </w:rPr>
        <w:t>Focusing perhaps on choosing the most biting adjective to characterize the</w:t>
      </w:r>
      <w:r>
        <w:rPr>
          <w:spacing w:val="-14"/>
          <w:sz w:val="23"/>
        </w:rPr>
        <w:t> </w:t>
      </w:r>
      <w:r>
        <w:rPr>
          <w:sz w:val="23"/>
        </w:rPr>
        <w:t>defense</w:t>
      </w:r>
    </w:p>
    <w:p>
      <w:pPr>
        <w:pStyle w:val="ListParagraph"/>
        <w:numPr>
          <w:ilvl w:val="0"/>
          <w:numId w:val="7"/>
        </w:numPr>
        <w:tabs>
          <w:tab w:pos="639" w:val="left" w:leader="none"/>
          <w:tab w:pos="640" w:val="left" w:leader="none"/>
        </w:tabs>
        <w:spacing w:line="240" w:lineRule="auto" w:before="89" w:after="0"/>
        <w:ind w:left="639" w:right="0" w:hanging="527"/>
        <w:jc w:val="left"/>
        <w:rPr>
          <w:sz w:val="23"/>
        </w:rPr>
      </w:pPr>
      <w:r>
        <w:rPr>
          <w:sz w:val="23"/>
        </w:rPr>
        <w:t>claims, the government fails to address the extent to which the proffered opinions</w:t>
      </w:r>
      <w:r>
        <w:rPr>
          <w:spacing w:val="-16"/>
          <w:sz w:val="23"/>
        </w:rPr>
        <w:t> </w:t>
      </w:r>
      <w:r>
        <w:rPr>
          <w:sz w:val="23"/>
        </w:rPr>
        <w:t>invade</w:t>
      </w:r>
    </w:p>
    <w:p>
      <w:pPr>
        <w:pStyle w:val="ListParagraph"/>
        <w:numPr>
          <w:ilvl w:val="0"/>
          <w:numId w:val="7"/>
        </w:numPr>
        <w:tabs>
          <w:tab w:pos="639" w:val="left" w:leader="none"/>
          <w:tab w:pos="640" w:val="left" w:leader="none"/>
        </w:tabs>
        <w:spacing w:line="240" w:lineRule="auto" w:before="67" w:after="0"/>
        <w:ind w:left="639" w:right="0" w:hanging="527"/>
        <w:jc w:val="left"/>
        <w:rPr>
          <w:sz w:val="23"/>
        </w:rPr>
      </w:pPr>
      <w:r>
        <w:rPr>
          <w:sz w:val="23"/>
        </w:rPr>
        <w:t>the province of the jury in the manner described in </w:t>
      </w:r>
      <w:r>
        <w:rPr>
          <w:i/>
          <w:sz w:val="23"/>
        </w:rPr>
        <w:t>U.S. v. Mejia</w:t>
      </w:r>
      <w:r>
        <w:rPr>
          <w:sz w:val="23"/>
        </w:rPr>
        <w:t>, 545 F.3d 179 (2d</w:t>
      </w:r>
      <w:r>
        <w:rPr>
          <w:spacing w:val="-13"/>
          <w:sz w:val="23"/>
        </w:rPr>
        <w:t> </w:t>
      </w:r>
      <w:r>
        <w:rPr>
          <w:sz w:val="23"/>
        </w:rPr>
        <w:t>Cir.</w:t>
      </w:r>
    </w:p>
    <w:p>
      <w:pPr>
        <w:pStyle w:val="ListParagraph"/>
        <w:numPr>
          <w:ilvl w:val="0"/>
          <w:numId w:val="7"/>
        </w:numPr>
        <w:tabs>
          <w:tab w:pos="639" w:val="left" w:leader="none"/>
          <w:tab w:pos="640" w:val="left" w:leader="none"/>
        </w:tabs>
        <w:spacing w:line="240" w:lineRule="auto" w:before="59" w:after="0"/>
        <w:ind w:left="639" w:right="0" w:hanging="527"/>
        <w:jc w:val="left"/>
        <w:rPr>
          <w:sz w:val="23"/>
        </w:rPr>
      </w:pPr>
      <w:r>
        <w:rPr>
          <w:sz w:val="23"/>
        </w:rPr>
        <w:t>2008). See (Doc. 2567) (Cruz-Ramirez Memorandum) at</w:t>
      </w:r>
      <w:r>
        <w:rPr>
          <w:spacing w:val="-5"/>
          <w:sz w:val="23"/>
        </w:rPr>
        <w:t> </w:t>
      </w:r>
      <w:r>
        <w:rPr>
          <w:sz w:val="23"/>
        </w:rPr>
        <w:t>8-9.</w:t>
      </w:r>
    </w:p>
    <w:p>
      <w:pPr>
        <w:pStyle w:val="ListParagraph"/>
        <w:numPr>
          <w:ilvl w:val="0"/>
          <w:numId w:val="7"/>
        </w:numPr>
        <w:tabs>
          <w:tab w:pos="1359" w:val="left" w:leader="none"/>
          <w:tab w:pos="1360" w:val="left" w:leader="none"/>
        </w:tabs>
        <w:spacing w:line="290" w:lineRule="atLeast" w:before="40" w:after="0"/>
        <w:ind w:left="639" w:right="1006" w:hanging="527"/>
        <w:jc w:val="left"/>
        <w:rPr>
          <w:sz w:val="23"/>
        </w:rPr>
      </w:pPr>
      <w:r>
        <w:rPr/>
        <w:tab/>
      </w:r>
      <w:r>
        <w:rPr>
          <w:sz w:val="23"/>
        </w:rPr>
        <w:t>This omission is significant, because the proffered opinions in this case closely parallel the evidence discussed in </w:t>
      </w:r>
      <w:r>
        <w:rPr>
          <w:i/>
          <w:sz w:val="23"/>
        </w:rPr>
        <w:t>Mejia</w:t>
      </w:r>
      <w:r>
        <w:rPr>
          <w:sz w:val="23"/>
        </w:rPr>
        <w:t>. Id. at 192-195. In </w:t>
      </w:r>
      <w:r>
        <w:rPr>
          <w:i/>
          <w:sz w:val="23"/>
        </w:rPr>
        <w:t>Mejia </w:t>
      </w:r>
      <w:r>
        <w:rPr>
          <w:sz w:val="23"/>
        </w:rPr>
        <w:t>(as here) the</w:t>
      </w:r>
      <w:r>
        <w:rPr>
          <w:spacing w:val="-30"/>
          <w:sz w:val="23"/>
        </w:rPr>
        <w:t> </w:t>
      </w:r>
      <w:r>
        <w:rPr>
          <w:sz w:val="23"/>
        </w:rPr>
        <w:t>government</w:t>
      </w:r>
    </w:p>
    <w:p>
      <w:pPr>
        <w:pStyle w:val="Heading1"/>
        <w:spacing w:line="181" w:lineRule="exact"/>
        <w:rPr>
          <w:rFonts w:ascii="Times New Roman"/>
        </w:rPr>
      </w:pPr>
      <w:r>
        <w:rPr>
          <w:rFonts w:ascii="Times New Roman"/>
        </w:rPr>
        <w:t>22</w:t>
      </w:r>
    </w:p>
    <w:p>
      <w:pPr>
        <w:pStyle w:val="BodyText"/>
        <w:spacing w:line="224" w:lineRule="exact" w:before="11"/>
        <w:ind w:left="639"/>
      </w:pPr>
      <w:r>
        <w:rPr/>
        <w:t>proposed to use its expert to summarize the reason for arresting alleged MS-13 members,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23</w:t>
      </w:r>
    </w:p>
    <w:p>
      <w:pPr>
        <w:pStyle w:val="BodyText"/>
        <w:spacing w:line="228" w:lineRule="exact"/>
        <w:ind w:left="639"/>
      </w:pPr>
      <w:r>
        <w:rPr/>
        <w:t>how guns, ammunition, and other items were seized from MS-13 members, and how these</w:t>
      </w:r>
    </w:p>
    <w:p>
      <w:pPr>
        <w:pStyle w:val="Heading1"/>
        <w:spacing w:line="242" w:lineRule="exact"/>
        <w:rPr>
          <w:rFonts w:ascii="Times New Roman"/>
        </w:rPr>
      </w:pPr>
      <w:r>
        <w:rPr>
          <w:rFonts w:ascii="Times New Roman"/>
        </w:rPr>
        <w:t>24</w:t>
      </w:r>
    </w:p>
    <w:p>
      <w:pPr>
        <w:pStyle w:val="ListParagraph"/>
        <w:numPr>
          <w:ilvl w:val="0"/>
          <w:numId w:val="8"/>
        </w:numPr>
        <w:tabs>
          <w:tab w:pos="1359" w:val="left" w:leader="none"/>
          <w:tab w:pos="1360" w:val="left" w:leader="none"/>
        </w:tabs>
        <w:spacing w:line="260" w:lineRule="atLeast" w:before="190" w:after="0"/>
        <w:ind w:left="640" w:right="277" w:hanging="528"/>
        <w:jc w:val="left"/>
        <w:rPr>
          <w:sz w:val="22"/>
        </w:rPr>
      </w:pPr>
      <w:r>
        <w:rPr/>
        <w:tab/>
      </w:r>
      <w:bookmarkStart w:name="_bookmark1" w:id="3"/>
      <w:bookmarkEnd w:id="3"/>
      <w:r>
        <w:rPr/>
      </w:r>
      <w:bookmarkStart w:name="_bookmark1" w:id="4"/>
      <w:bookmarkEnd w:id="4"/>
      <w:r>
        <w:rPr>
          <w:rFonts w:ascii="Calibri" w:hAnsi="Calibri"/>
          <w:position w:val="10"/>
          <w:sz w:val="14"/>
        </w:rPr>
        <w:t>2</w:t>
      </w:r>
      <w:r>
        <w:rPr>
          <w:rFonts w:ascii="Calibri" w:hAnsi="Calibri"/>
          <w:position w:val="10"/>
          <w:sz w:val="14"/>
        </w:rPr>
        <w:t> </w:t>
      </w:r>
      <w:r>
        <w:rPr>
          <w:sz w:val="22"/>
        </w:rPr>
        <w:t>The Court may not rely on an expert’s general qualifications without requiring the government to explain the expert’s methodology. </w:t>
      </w:r>
      <w:r>
        <w:rPr>
          <w:i/>
          <w:sz w:val="22"/>
        </w:rPr>
        <w:t>United States v. Hermanek</w:t>
      </w:r>
      <w:r>
        <w:rPr>
          <w:sz w:val="22"/>
        </w:rPr>
        <w:t>, 289 F.3d 1076, 1093-95 (9th</w:t>
      </w:r>
      <w:r>
        <w:rPr>
          <w:spacing w:val="-19"/>
          <w:sz w:val="22"/>
        </w:rPr>
        <w:t> </w:t>
      </w:r>
      <w:r>
        <w:rPr>
          <w:sz w:val="22"/>
        </w:rPr>
        <w:t>Cir.</w:t>
      </w:r>
    </w:p>
    <w:p>
      <w:pPr>
        <w:pStyle w:val="ListParagraph"/>
        <w:numPr>
          <w:ilvl w:val="0"/>
          <w:numId w:val="8"/>
        </w:numPr>
        <w:tabs>
          <w:tab w:pos="639" w:val="left" w:leader="none"/>
          <w:tab w:pos="641" w:val="left" w:leader="none"/>
        </w:tabs>
        <w:spacing w:line="253" w:lineRule="exact" w:before="0" w:after="0"/>
        <w:ind w:left="640" w:right="0" w:hanging="528"/>
        <w:jc w:val="left"/>
        <w:rPr>
          <w:sz w:val="22"/>
        </w:rPr>
      </w:pPr>
      <w:r>
        <w:rPr>
          <w:sz w:val="22"/>
        </w:rPr>
        <w:t>2002) (“Neither the government’s offer of proof nor the qualification of Broderick on the</w:t>
      </w:r>
      <w:r>
        <w:rPr>
          <w:spacing w:val="-14"/>
          <w:sz w:val="22"/>
        </w:rPr>
        <w:t> </w:t>
      </w:r>
      <w:r>
        <w:rPr>
          <w:sz w:val="22"/>
        </w:rPr>
        <w:t>stand</w:t>
      </w:r>
    </w:p>
    <w:p>
      <w:pPr>
        <w:pStyle w:val="ListParagraph"/>
        <w:numPr>
          <w:ilvl w:val="0"/>
          <w:numId w:val="8"/>
        </w:numPr>
        <w:tabs>
          <w:tab w:pos="639" w:val="left" w:leader="none"/>
          <w:tab w:pos="641" w:val="left" w:leader="none"/>
        </w:tabs>
        <w:spacing w:line="160" w:lineRule="auto" w:before="34" w:after="0"/>
        <w:ind w:left="640" w:right="284" w:hanging="528"/>
        <w:jc w:val="left"/>
        <w:rPr>
          <w:sz w:val="22"/>
        </w:rPr>
      </w:pPr>
      <w:r>
        <w:rPr>
          <w:sz w:val="22"/>
        </w:rPr>
        <w:t>established that his interpretations of new words and phrases as references to cocaine were supported by reliable methods”). See also </w:t>
      </w:r>
      <w:r>
        <w:rPr>
          <w:i/>
          <w:sz w:val="22"/>
        </w:rPr>
        <w:t>United States v. Decoud</w:t>
      </w:r>
      <w:r>
        <w:rPr>
          <w:sz w:val="22"/>
        </w:rPr>
        <w:t>, 456 F.3d at 1013-1014 (admissibility of</w:t>
      </w:r>
      <w:r>
        <w:rPr>
          <w:spacing w:val="-18"/>
          <w:sz w:val="22"/>
        </w:rPr>
        <w:t> </w:t>
      </w:r>
      <w:r>
        <w:rPr>
          <w:sz w:val="22"/>
        </w:rPr>
        <w:t>gang</w:t>
      </w:r>
    </w:p>
    <w:p>
      <w:pPr>
        <w:pStyle w:val="ListParagraph"/>
        <w:numPr>
          <w:ilvl w:val="0"/>
          <w:numId w:val="8"/>
        </w:numPr>
        <w:tabs>
          <w:tab w:pos="640" w:val="left" w:leader="none"/>
          <w:tab w:pos="641" w:val="left" w:leader="none"/>
        </w:tabs>
        <w:spacing w:line="180" w:lineRule="auto" w:before="52" w:after="0"/>
        <w:ind w:left="640" w:right="691" w:hanging="528"/>
        <w:jc w:val="left"/>
        <w:rPr>
          <w:sz w:val="22"/>
        </w:rPr>
      </w:pPr>
      <w:r>
        <w:rPr>
          <w:sz w:val="22"/>
        </w:rPr>
        <w:t>expert testimony upheld, because the district court held a </w:t>
      </w:r>
      <w:r>
        <w:rPr>
          <w:i/>
          <w:sz w:val="22"/>
        </w:rPr>
        <w:t>Daubert </w:t>
      </w:r>
      <w:r>
        <w:rPr>
          <w:sz w:val="22"/>
        </w:rPr>
        <w:t>hearing in which the government explained the witness’s experience and methodology for interpreting coded</w:t>
      </w:r>
      <w:r>
        <w:rPr>
          <w:spacing w:val="-11"/>
          <w:sz w:val="22"/>
        </w:rPr>
        <w:t> </w:t>
      </w:r>
      <w:r>
        <w:rPr>
          <w:sz w:val="22"/>
        </w:rPr>
        <w:t>words).</w:t>
      </w:r>
    </w:p>
    <w:p>
      <w:pPr>
        <w:spacing w:after="0" w:line="180" w:lineRule="auto"/>
        <w:jc w:val="left"/>
        <w:rPr>
          <w:sz w:val="22"/>
        </w:rPr>
        <w:sectPr>
          <w:pgSz w:w="12240" w:h="15840"/>
          <w:pgMar w:header="0" w:footer="787" w:top="0" w:bottom="980" w:left="1520" w:right="62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100.425003pt;margin-top:0pt;width:4.350pt;height:792pt;mso-position-horizontal-relative:page;mso-position-vertical-relative:page;z-index:-15688" coordorigin="2009,0" coordsize="87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64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Heading1"/>
        <w:spacing w:before="92"/>
        <w:ind w:left="767"/>
      </w:pPr>
      <w:r>
        <w:rPr>
          <w:color w:val="0000FF"/>
        </w:rPr>
        <w:t>Case3:08-cr-00730-WHA Document2641 Filed11/19/10 Page5 of 10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2"/>
        <w:ind w:left="0"/>
        <w:rPr>
          <w:rFonts w:ascii="Arial"/>
          <w:sz w:val="25"/>
        </w:rPr>
      </w:pP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91" w:after="0"/>
        <w:ind w:left="640" w:right="0" w:hanging="408"/>
        <w:jc w:val="left"/>
        <w:rPr>
          <w:sz w:val="23"/>
        </w:rPr>
      </w:pPr>
      <w:r>
        <w:rPr>
          <w:position w:val="1"/>
          <w:sz w:val="23"/>
        </w:rPr>
        <w:t>alleged members had committed a certain number of murders in the targeted</w:t>
      </w:r>
      <w:r>
        <w:rPr>
          <w:spacing w:val="-21"/>
          <w:position w:val="1"/>
          <w:sz w:val="23"/>
        </w:rPr>
        <w:t> </w:t>
      </w:r>
      <w:r>
        <w:rPr>
          <w:position w:val="1"/>
          <w:sz w:val="23"/>
        </w:rPr>
        <w:t>geographical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179" w:after="0"/>
        <w:ind w:left="640" w:right="0" w:hanging="408"/>
        <w:jc w:val="left"/>
        <w:rPr>
          <w:sz w:val="23"/>
        </w:rPr>
      </w:pPr>
      <w:r>
        <w:rPr>
          <w:sz w:val="23"/>
        </w:rPr>
        <w:t>area. However, the Second Circuit refused to point out the simple truth that: “No</w:t>
      </w:r>
      <w:r>
        <w:rPr>
          <w:spacing w:val="-15"/>
          <w:sz w:val="23"/>
        </w:rPr>
        <w:t> </w:t>
      </w:r>
      <w:r>
        <w:rPr>
          <w:sz w:val="23"/>
        </w:rPr>
        <w:t>expertise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167" w:after="0"/>
        <w:ind w:left="639" w:right="0" w:hanging="407"/>
        <w:jc w:val="left"/>
        <w:rPr>
          <w:sz w:val="23"/>
        </w:rPr>
      </w:pPr>
      <w:r>
        <w:rPr>
          <w:sz w:val="23"/>
        </w:rPr>
        <w:t>is required to understand any of these facts.” Id. at 194. The Court explained that</w:t>
      </w:r>
      <w:r>
        <w:rPr>
          <w:spacing w:val="-16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150" w:after="0"/>
        <w:ind w:left="639" w:right="0" w:hanging="407"/>
        <w:jc w:val="left"/>
        <w:rPr>
          <w:sz w:val="23"/>
        </w:rPr>
      </w:pPr>
      <w:r>
        <w:rPr>
          <w:sz w:val="23"/>
        </w:rPr>
        <w:t>testimony “also addressed matters that the average juror could have understood had</w:t>
      </w:r>
      <w:r>
        <w:rPr>
          <w:spacing w:val="-19"/>
          <w:sz w:val="23"/>
        </w:rPr>
        <w:t> </w:t>
      </w:r>
      <w:r>
        <w:rPr>
          <w:sz w:val="23"/>
        </w:rPr>
        <w:t>such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129" w:after="0"/>
        <w:ind w:left="639" w:right="0" w:hanging="407"/>
        <w:jc w:val="left"/>
        <w:rPr>
          <w:sz w:val="23"/>
        </w:rPr>
      </w:pPr>
      <w:r>
        <w:rPr>
          <w:sz w:val="23"/>
        </w:rPr>
        <w:t>factual evidence been introduced.” Id. at 194-195. Here, the government proposes</w:t>
      </w:r>
      <w:r>
        <w:rPr>
          <w:spacing w:val="-11"/>
          <w:sz w:val="23"/>
        </w:rPr>
        <w:t> </w:t>
      </w:r>
      <w:r>
        <w:rPr>
          <w:sz w:val="23"/>
        </w:rPr>
        <w:t>to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117" w:after="0"/>
        <w:ind w:left="639" w:right="0" w:hanging="407"/>
        <w:jc w:val="left"/>
        <w:rPr>
          <w:sz w:val="23"/>
        </w:rPr>
      </w:pPr>
      <w:r>
        <w:rPr>
          <w:sz w:val="23"/>
        </w:rPr>
        <w:t>introduce such evidence and, of course, there is no reason for experts to explain</w:t>
      </w:r>
      <w:r>
        <w:rPr>
          <w:spacing w:val="-14"/>
          <w:sz w:val="23"/>
        </w:rPr>
        <w:t> </w:t>
      </w:r>
      <w:r>
        <w:rPr>
          <w:sz w:val="23"/>
        </w:rPr>
        <w:t>it.</w:t>
      </w:r>
    </w:p>
    <w:p>
      <w:pPr>
        <w:pStyle w:val="ListParagraph"/>
        <w:numPr>
          <w:ilvl w:val="1"/>
          <w:numId w:val="8"/>
        </w:numPr>
        <w:tabs>
          <w:tab w:pos="1359" w:val="left" w:leader="none"/>
          <w:tab w:pos="1360" w:val="left" w:leader="none"/>
        </w:tabs>
        <w:spacing w:line="240" w:lineRule="auto" w:before="109" w:after="0"/>
        <w:ind w:left="1359" w:right="0" w:hanging="1127"/>
        <w:jc w:val="left"/>
        <w:rPr>
          <w:sz w:val="23"/>
        </w:rPr>
      </w:pPr>
      <w:r>
        <w:rPr>
          <w:sz w:val="23"/>
        </w:rPr>
        <w:t>Indeed, notwithstanding this Court’s discussion of the </w:t>
      </w:r>
      <w:r>
        <w:rPr>
          <w:i/>
          <w:sz w:val="23"/>
        </w:rPr>
        <w:t>Mejia </w:t>
      </w:r>
      <w:r>
        <w:rPr>
          <w:sz w:val="23"/>
        </w:rPr>
        <w:t>analysis (June 8,</w:t>
      </w:r>
      <w:r>
        <w:rPr>
          <w:spacing w:val="-16"/>
          <w:sz w:val="23"/>
        </w:rPr>
        <w:t> </w:t>
      </w:r>
      <w:r>
        <w:rPr>
          <w:sz w:val="23"/>
        </w:rPr>
        <w:t>2010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87" w:after="0"/>
        <w:ind w:left="639" w:right="0" w:hanging="407"/>
        <w:jc w:val="left"/>
        <w:rPr>
          <w:sz w:val="23"/>
        </w:rPr>
      </w:pPr>
      <w:r>
        <w:rPr>
          <w:sz w:val="23"/>
        </w:rPr>
        <w:t>Order, Doc. 1821 at 8-12), the government fails to address either this Court’s analysis or</w:t>
      </w:r>
      <w:r>
        <w:rPr>
          <w:spacing w:val="-22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70" w:after="0"/>
        <w:ind w:left="639" w:right="0" w:hanging="407"/>
        <w:jc w:val="left"/>
        <w:rPr>
          <w:sz w:val="23"/>
        </w:rPr>
      </w:pPr>
      <w:r>
        <w:rPr>
          <w:sz w:val="23"/>
        </w:rPr>
        <w:t>Second Circuit’s reasoning in </w:t>
      </w:r>
      <w:r>
        <w:rPr>
          <w:i/>
          <w:sz w:val="23"/>
        </w:rPr>
        <w:t>Mejia</w:t>
      </w:r>
      <w:r>
        <w:rPr>
          <w:sz w:val="23"/>
        </w:rPr>
        <w:t>. Clearly, the government has no effective rejoinder</w:t>
      </w:r>
      <w:r>
        <w:rPr>
          <w:spacing w:val="-15"/>
          <w:sz w:val="23"/>
        </w:rPr>
        <w:t> </w:t>
      </w:r>
      <w:r>
        <w:rPr>
          <w:sz w:val="23"/>
        </w:rPr>
        <w:t>to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57" w:after="0"/>
        <w:ind w:left="639" w:right="0" w:hanging="527"/>
        <w:jc w:val="left"/>
        <w:rPr>
          <w:sz w:val="23"/>
        </w:rPr>
      </w:pPr>
      <w:r>
        <w:rPr>
          <w:sz w:val="23"/>
        </w:rPr>
        <w:t>the argument that the proposed testimony invades the province of jurors who are present</w:t>
      </w:r>
      <w:r>
        <w:rPr>
          <w:spacing w:val="-16"/>
          <w:sz w:val="23"/>
        </w:rPr>
        <w:t> </w:t>
      </w:r>
      <w:r>
        <w:rPr>
          <w:sz w:val="23"/>
        </w:rPr>
        <w:t>for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39" w:after="0"/>
        <w:ind w:left="639" w:right="0" w:hanging="527"/>
        <w:jc w:val="left"/>
        <w:rPr>
          <w:sz w:val="23"/>
        </w:rPr>
      </w:pPr>
      <w:r>
        <w:rPr>
          <w:sz w:val="23"/>
        </w:rPr>
        <w:t>the purpose of assessing the believability of testimony from percipient witnesses</w:t>
      </w:r>
      <w:r>
        <w:rPr>
          <w:spacing w:val="-21"/>
          <w:sz w:val="23"/>
        </w:rPr>
        <w:t> </w:t>
      </w:r>
      <w:r>
        <w:rPr>
          <w:sz w:val="23"/>
        </w:rPr>
        <w:t>and</w:t>
      </w:r>
    </w:p>
    <w:p>
      <w:pPr>
        <w:pStyle w:val="ListParagraph"/>
        <w:numPr>
          <w:ilvl w:val="1"/>
          <w:numId w:val="8"/>
        </w:numPr>
        <w:tabs>
          <w:tab w:pos="639" w:val="left" w:leader="none"/>
          <w:tab w:pos="640" w:val="left" w:leader="none"/>
        </w:tabs>
        <w:spacing w:line="240" w:lineRule="auto" w:before="29" w:after="0"/>
        <w:ind w:left="639" w:right="0" w:hanging="527"/>
        <w:jc w:val="left"/>
        <w:rPr>
          <w:sz w:val="23"/>
        </w:rPr>
      </w:pPr>
      <w:r>
        <w:rPr>
          <w:sz w:val="23"/>
        </w:rPr>
        <w:t>arriving at an ultimate decision about the facts of the</w:t>
      </w:r>
      <w:r>
        <w:rPr>
          <w:spacing w:val="-10"/>
          <w:sz w:val="23"/>
        </w:rPr>
        <w:t> </w:t>
      </w:r>
      <w:r>
        <w:rPr>
          <w:sz w:val="23"/>
        </w:rPr>
        <w:t>case.</w:t>
      </w:r>
    </w:p>
    <w:p>
      <w:pPr>
        <w:pStyle w:val="BodyText"/>
        <w:spacing w:line="222" w:lineRule="exact" w:before="17"/>
        <w:ind w:left="1359"/>
      </w:pPr>
      <w:r>
        <w:rPr/>
        <w:t>As for the F.R.E. 704(b) issues presented, it may be an excess of prosecutorial zeal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13</w:t>
      </w:r>
    </w:p>
    <w:p>
      <w:pPr>
        <w:pStyle w:val="BodyText"/>
        <w:spacing w:line="229" w:lineRule="exact"/>
        <w:ind w:left="639"/>
      </w:pPr>
      <w:r>
        <w:rPr/>
        <w:t>that mistakes hyperbole and insults for substantive argument. The Court witnessed in real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14</w:t>
      </w:r>
    </w:p>
    <w:p>
      <w:pPr>
        <w:pStyle w:val="BodyText"/>
        <w:spacing w:line="229" w:lineRule="exact"/>
        <w:ind w:left="639"/>
      </w:pPr>
      <w:r>
        <w:rPr/>
        <w:t>time the paring down of certain opinions when these were read line by line in open court as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15</w:t>
      </w:r>
    </w:p>
    <w:p>
      <w:pPr>
        <w:pStyle w:val="BodyText"/>
        <w:spacing w:line="229" w:lineRule="exact"/>
        <w:ind w:left="639"/>
      </w:pPr>
      <w:r>
        <w:rPr/>
        <w:t>the obvious improprieties leapt from the page. The government, however, continues to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16</w:t>
      </w:r>
    </w:p>
    <w:p>
      <w:pPr>
        <w:pStyle w:val="BodyText"/>
        <w:spacing w:line="229" w:lineRule="exact"/>
        <w:ind w:left="639"/>
      </w:pPr>
      <w:r>
        <w:rPr/>
        <w:t>embrace opinions which clearly cross the line. For example, in Detective Flores’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17</w:t>
      </w:r>
    </w:p>
    <w:p>
      <w:pPr>
        <w:pStyle w:val="BodyText"/>
        <w:spacing w:line="228" w:lineRule="exact"/>
        <w:ind w:left="639"/>
      </w:pPr>
      <w:r>
        <w:rPr/>
        <w:t>disclosure, the government references alleged MS-13 mottos including “to kill,” “to rape,”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18</w:t>
      </w:r>
    </w:p>
    <w:p>
      <w:pPr>
        <w:pStyle w:val="BodyText"/>
        <w:spacing w:line="227" w:lineRule="exact"/>
        <w:ind w:left="639"/>
      </w:pPr>
      <w:r>
        <w:rPr/>
        <w:t>and “to control" and attributes "desire" and "intent" to the "gang" stating that “[t]hese</w:t>
      </w:r>
    </w:p>
    <w:p>
      <w:pPr>
        <w:pStyle w:val="Heading1"/>
        <w:spacing w:line="230" w:lineRule="exact" w:before="5"/>
        <w:rPr>
          <w:rFonts w:ascii="Times New Roman"/>
        </w:rPr>
      </w:pPr>
      <w:r>
        <w:rPr>
          <w:rFonts w:ascii="Times New Roman"/>
        </w:rPr>
        <w:t>19</w:t>
      </w:r>
    </w:p>
    <w:p>
      <w:pPr>
        <w:spacing w:line="219" w:lineRule="exact" w:before="0"/>
        <w:ind w:left="639" w:right="0" w:firstLine="0"/>
        <w:jc w:val="left"/>
        <w:rPr>
          <w:sz w:val="23"/>
        </w:rPr>
      </w:pPr>
      <w:r>
        <w:rPr>
          <w:sz w:val="23"/>
        </w:rPr>
        <w:t>mottos manifest the </w:t>
      </w:r>
      <w:r>
        <w:rPr>
          <w:i/>
          <w:sz w:val="23"/>
        </w:rPr>
        <w:t>gang’s desire and intent </w:t>
      </w:r>
      <w:r>
        <w:rPr>
          <w:sz w:val="23"/>
        </w:rPr>
        <w:t>to dominate others through violence and</w:t>
      </w:r>
    </w:p>
    <w:p>
      <w:pPr>
        <w:pStyle w:val="ListParagraph"/>
        <w:numPr>
          <w:ilvl w:val="0"/>
          <w:numId w:val="9"/>
        </w:numPr>
        <w:tabs>
          <w:tab w:pos="639" w:val="left" w:leader="none"/>
          <w:tab w:pos="640" w:val="left" w:leader="none"/>
        </w:tabs>
        <w:spacing w:line="240" w:lineRule="auto" w:before="22" w:after="0"/>
        <w:ind w:left="640" w:right="0" w:hanging="528"/>
        <w:jc w:val="left"/>
        <w:rPr>
          <w:sz w:val="23"/>
        </w:rPr>
      </w:pPr>
      <w:r>
        <w:rPr>
          <w:sz w:val="23"/>
        </w:rPr>
        <w:t>intimidation.” (Flores para. 34) (emphasis added). Elsewhere, in paragraph 41,</w:t>
      </w:r>
      <w:r>
        <w:rPr>
          <w:spacing w:val="-16"/>
          <w:sz w:val="23"/>
        </w:rPr>
        <w:t> </w:t>
      </w:r>
      <w:r>
        <w:rPr>
          <w:sz w:val="23"/>
        </w:rPr>
        <w:t>Detective</w:t>
      </w:r>
    </w:p>
    <w:p>
      <w:pPr>
        <w:pStyle w:val="ListParagraph"/>
        <w:numPr>
          <w:ilvl w:val="0"/>
          <w:numId w:val="9"/>
        </w:numPr>
        <w:tabs>
          <w:tab w:pos="639" w:val="left" w:leader="none"/>
          <w:tab w:pos="640" w:val="left" w:leader="none"/>
        </w:tabs>
        <w:spacing w:line="240" w:lineRule="auto" w:before="40" w:after="0"/>
        <w:ind w:left="640" w:right="0" w:hanging="528"/>
        <w:jc w:val="left"/>
        <w:rPr>
          <w:sz w:val="23"/>
        </w:rPr>
      </w:pPr>
      <w:r>
        <w:rPr>
          <w:sz w:val="23"/>
        </w:rPr>
        <w:t>Flores states: “MS-13 members commit acts of violence and other crimes to</w:t>
      </w:r>
      <w:r>
        <w:rPr>
          <w:spacing w:val="-22"/>
          <w:sz w:val="23"/>
        </w:rPr>
        <w:t> </w:t>
      </w:r>
      <w:r>
        <w:rPr>
          <w:sz w:val="23"/>
        </w:rPr>
        <w:t>demonstrate</w:t>
      </w:r>
    </w:p>
    <w:p>
      <w:pPr>
        <w:pStyle w:val="ListParagraph"/>
        <w:numPr>
          <w:ilvl w:val="0"/>
          <w:numId w:val="9"/>
        </w:numPr>
        <w:tabs>
          <w:tab w:pos="639" w:val="left" w:leader="none"/>
          <w:tab w:pos="640" w:val="left" w:leader="none"/>
        </w:tabs>
        <w:spacing w:line="240" w:lineRule="auto" w:before="52" w:after="0"/>
        <w:ind w:left="640" w:right="0" w:hanging="528"/>
        <w:jc w:val="left"/>
        <w:rPr>
          <w:sz w:val="23"/>
        </w:rPr>
      </w:pPr>
      <w:r>
        <w:rPr>
          <w:sz w:val="23"/>
        </w:rPr>
        <w:t>their courage and commitment to the gang. Doing so increases their standing in the</w:t>
      </w:r>
      <w:r>
        <w:rPr>
          <w:spacing w:val="-21"/>
          <w:sz w:val="23"/>
        </w:rPr>
        <w:t> </w:t>
      </w:r>
      <w:r>
        <w:rPr>
          <w:sz w:val="23"/>
        </w:rPr>
        <w:t>gang.”</w:t>
      </w:r>
    </w:p>
    <w:p>
      <w:pPr>
        <w:pStyle w:val="ListParagraph"/>
        <w:numPr>
          <w:ilvl w:val="0"/>
          <w:numId w:val="9"/>
        </w:numPr>
        <w:tabs>
          <w:tab w:pos="639" w:val="left" w:leader="none"/>
          <w:tab w:pos="640" w:val="left" w:leader="none"/>
        </w:tabs>
        <w:spacing w:line="240" w:lineRule="auto" w:before="62" w:after="0"/>
        <w:ind w:left="640" w:right="0" w:hanging="528"/>
        <w:jc w:val="left"/>
        <w:rPr>
          <w:sz w:val="23"/>
        </w:rPr>
      </w:pPr>
      <w:r>
        <w:rPr>
          <w:sz w:val="23"/>
        </w:rPr>
        <w:t>This is tantamount to saying that any alleged MS-13 member has the specific</w:t>
      </w:r>
      <w:r>
        <w:rPr>
          <w:spacing w:val="-34"/>
          <w:sz w:val="23"/>
        </w:rPr>
        <w:t> </w:t>
      </w:r>
      <w:r>
        <w:rPr>
          <w:sz w:val="23"/>
        </w:rPr>
        <w:t>intent</w:t>
      </w:r>
    </w:p>
    <w:p>
      <w:pPr>
        <w:pStyle w:val="ListParagraph"/>
        <w:numPr>
          <w:ilvl w:val="0"/>
          <w:numId w:val="9"/>
        </w:numPr>
        <w:tabs>
          <w:tab w:pos="639" w:val="left" w:leader="none"/>
          <w:tab w:pos="640" w:val="left" w:leader="none"/>
        </w:tabs>
        <w:spacing w:line="240" w:lineRule="auto" w:before="80" w:after="0"/>
        <w:ind w:left="640" w:right="0" w:hanging="528"/>
        <w:jc w:val="left"/>
        <w:rPr>
          <w:sz w:val="23"/>
        </w:rPr>
      </w:pPr>
      <w:r>
        <w:rPr>
          <w:sz w:val="23"/>
        </w:rPr>
        <w:t>required to commit a charged act of violence.  The oleaginous nature of these</w:t>
      </w:r>
      <w:r>
        <w:rPr>
          <w:spacing w:val="-33"/>
          <w:sz w:val="23"/>
        </w:rPr>
        <w:t> </w:t>
      </w:r>
      <w:r>
        <w:rPr>
          <w:sz w:val="23"/>
        </w:rPr>
        <w:t>broad</w:t>
      </w:r>
    </w:p>
    <w:p>
      <w:pPr>
        <w:pStyle w:val="ListParagraph"/>
        <w:numPr>
          <w:ilvl w:val="0"/>
          <w:numId w:val="9"/>
        </w:numPr>
        <w:tabs>
          <w:tab w:pos="639" w:val="left" w:leader="none"/>
          <w:tab w:pos="640" w:val="left" w:leader="none"/>
        </w:tabs>
        <w:spacing w:line="240" w:lineRule="auto" w:before="92" w:after="0"/>
        <w:ind w:left="640" w:right="0" w:hanging="528"/>
        <w:jc w:val="left"/>
        <w:rPr>
          <w:sz w:val="23"/>
        </w:rPr>
      </w:pPr>
      <w:r>
        <w:rPr>
          <w:sz w:val="23"/>
        </w:rPr>
        <w:t>assertions will spread over each</w:t>
      </w:r>
      <w:r>
        <w:rPr>
          <w:spacing w:val="-5"/>
          <w:sz w:val="23"/>
        </w:rPr>
        <w:t> </w:t>
      </w:r>
      <w:r>
        <w:rPr>
          <w:sz w:val="23"/>
        </w:rPr>
        <w:t>accused.</w:t>
      </w:r>
    </w:p>
    <w:p>
      <w:pPr>
        <w:pStyle w:val="ListParagraph"/>
        <w:numPr>
          <w:ilvl w:val="0"/>
          <w:numId w:val="9"/>
        </w:numPr>
        <w:tabs>
          <w:tab w:pos="1359" w:val="left" w:leader="none"/>
          <w:tab w:pos="1360" w:val="left" w:leader="none"/>
        </w:tabs>
        <w:spacing w:line="240" w:lineRule="auto" w:before="115" w:after="0"/>
        <w:ind w:left="1360" w:right="0" w:hanging="1248"/>
        <w:jc w:val="left"/>
        <w:rPr>
          <w:sz w:val="23"/>
        </w:rPr>
      </w:pPr>
      <w:r>
        <w:rPr>
          <w:sz w:val="23"/>
        </w:rPr>
        <w:t>In this connection, </w:t>
      </w:r>
      <w:r>
        <w:rPr>
          <w:b/>
          <w:i/>
          <w:sz w:val="23"/>
        </w:rPr>
        <w:t>recent authority </w:t>
      </w:r>
      <w:r>
        <w:rPr>
          <w:sz w:val="23"/>
        </w:rPr>
        <w:t>in this circuit establishes that “[m]embership in a</w:t>
      </w:r>
      <w:r>
        <w:rPr>
          <w:spacing w:val="-26"/>
          <w:sz w:val="23"/>
        </w:rPr>
        <w:t> </w:t>
      </w:r>
      <w:r>
        <w:rPr>
          <w:sz w:val="23"/>
        </w:rPr>
        <w:t>gang</w:t>
      </w:r>
    </w:p>
    <w:p>
      <w:pPr>
        <w:pStyle w:val="ListParagraph"/>
        <w:numPr>
          <w:ilvl w:val="0"/>
          <w:numId w:val="9"/>
        </w:numPr>
        <w:tabs>
          <w:tab w:pos="639" w:val="left" w:leader="none"/>
          <w:tab w:pos="640" w:val="left" w:leader="none"/>
        </w:tabs>
        <w:spacing w:line="240" w:lineRule="auto" w:before="131" w:after="0"/>
        <w:ind w:left="640" w:right="0" w:hanging="528"/>
        <w:jc w:val="left"/>
        <w:rPr>
          <w:sz w:val="23"/>
        </w:rPr>
      </w:pPr>
      <w:r>
        <w:rPr>
          <w:position w:val="1"/>
          <w:sz w:val="23"/>
        </w:rPr>
        <w:t>cannot serve as proof of intent, or of the facilitation, advice, aid, promotion, encouragement</w:t>
      </w:r>
      <w:r>
        <w:rPr>
          <w:spacing w:val="-23"/>
          <w:position w:val="1"/>
          <w:sz w:val="23"/>
        </w:rPr>
        <w:t> </w:t>
      </w:r>
      <w:r>
        <w:rPr>
          <w:position w:val="1"/>
          <w:sz w:val="23"/>
        </w:rPr>
        <w:t>or</w:t>
      </w:r>
    </w:p>
    <w:p>
      <w:pPr>
        <w:pStyle w:val="ListParagraph"/>
        <w:numPr>
          <w:ilvl w:val="0"/>
          <w:numId w:val="9"/>
        </w:numPr>
        <w:tabs>
          <w:tab w:pos="639" w:val="left" w:leader="none"/>
          <w:tab w:pos="640" w:val="left" w:leader="none"/>
        </w:tabs>
        <w:spacing w:line="240" w:lineRule="auto" w:before="123" w:after="0"/>
        <w:ind w:left="640" w:right="0" w:hanging="528"/>
        <w:jc w:val="left"/>
        <w:rPr>
          <w:sz w:val="23"/>
        </w:rPr>
      </w:pPr>
      <w:r>
        <w:rPr>
          <w:sz w:val="23"/>
        </w:rPr>
        <w:t>instigation needed to establish aiding and abetting.” </w:t>
      </w:r>
      <w:r>
        <w:rPr>
          <w:sz w:val="23"/>
          <w:u w:val="single"/>
        </w:rPr>
        <w:t>Mitchell v. Prunty,</w:t>
      </w:r>
      <w:r>
        <w:rPr>
          <w:sz w:val="23"/>
        </w:rPr>
        <w:t> 107 F.3d 1337, 1342</w:t>
      </w:r>
      <w:r>
        <w:rPr>
          <w:spacing w:val="-23"/>
          <w:sz w:val="23"/>
        </w:rPr>
        <w:t> </w:t>
      </w:r>
      <w:r>
        <w:rPr>
          <w:sz w:val="23"/>
        </w:rPr>
        <w:t>(9th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787" w:top="0" w:bottom="980" w:left="1520" w:right="620"/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Heading1"/>
        <w:spacing w:before="92"/>
        <w:ind w:left="767"/>
      </w:pPr>
      <w:r>
        <w:rPr>
          <w:color w:val="0000FF"/>
        </w:rPr>
        <w:t>Case3:08-cr-00730-WHA Document2641 Filed11/19/10 Page6 of 10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9"/>
        <w:ind w:left="0"/>
        <w:rPr>
          <w:rFonts w:ascii="Arial"/>
          <w:sz w:val="24"/>
        </w:rPr>
      </w:pPr>
    </w:p>
    <w:p>
      <w:pPr>
        <w:pStyle w:val="BodyText"/>
        <w:tabs>
          <w:tab w:pos="639" w:val="left" w:leader="none"/>
        </w:tabs>
        <w:spacing w:before="95"/>
        <w:ind w:left="231"/>
      </w:pPr>
      <w:r>
        <w:rPr>
          <w:sz w:val="24"/>
        </w:rPr>
        <w:t>1</w:t>
        <w:tab/>
      </w:r>
      <w:r>
        <w:rPr>
          <w:position w:val="1"/>
        </w:rPr>
        <w:t>Cir.1997), cert. denied, 522 U.S. 913, 118 S.Ct. 295, 139 L.Ed.2d 227 (1997), overruled in part</w:t>
      </w:r>
      <w:r>
        <w:rPr>
          <w:spacing w:val="-15"/>
          <w:position w:val="1"/>
        </w:rPr>
        <w:t> </w:t>
      </w:r>
      <w:r>
        <w:rPr>
          <w:position w:val="1"/>
        </w:rPr>
        <w:t>on</w:t>
      </w:r>
    </w:p>
    <w:p>
      <w:pPr>
        <w:pStyle w:val="BodyText"/>
        <w:tabs>
          <w:tab w:pos="639" w:val="left" w:leader="none"/>
        </w:tabs>
        <w:spacing w:line="300" w:lineRule="atLeast" w:before="118"/>
        <w:ind w:right="645" w:hanging="408"/>
      </w:pPr>
      <w:r>
        <w:rPr>
          <w:position w:val="-8"/>
          <w:sz w:val="24"/>
        </w:rPr>
        <w:t>2</w:t>
        <w:tab/>
      </w:r>
      <w:r>
        <w:rPr/>
        <w:t>other grounds, </w:t>
      </w:r>
      <w:r>
        <w:rPr>
          <w:u w:val="single"/>
        </w:rPr>
        <w:t>Santamaria v. Horsley</w:t>
      </w:r>
      <w:r>
        <w:rPr/>
        <w:t>, 133 F.3d 1242 (9th Cir.1998) (en banc). </w:t>
      </w:r>
      <w:r>
        <w:rPr>
          <w:u w:val="single"/>
        </w:rPr>
        <w:t>United States v. Garcia</w:t>
      </w:r>
      <w:r>
        <w:rPr/>
        <w:t>, 151 F.3d 1243, 1246 (9</w:t>
      </w:r>
      <w:r>
        <w:rPr>
          <w:vertAlign w:val="superscript"/>
        </w:rPr>
        <w:t>th</w:t>
      </w:r>
      <w:r>
        <w:rPr>
          <w:vertAlign w:val="baseline"/>
        </w:rPr>
        <w:t> Cir.1998).</w:t>
      </w:r>
    </w:p>
    <w:p>
      <w:pPr>
        <w:pStyle w:val="Heading1"/>
        <w:spacing w:line="167" w:lineRule="exact"/>
        <w:ind w:left="231"/>
        <w:rPr>
          <w:rFonts w:ascii="Times New Roman"/>
        </w:rPr>
      </w:pPr>
      <w:r>
        <w:rPr>
          <w:rFonts w:ascii="Times New Roman"/>
        </w:rPr>
        <w:t>3</w:t>
      </w:r>
    </w:p>
    <w:p>
      <w:pPr>
        <w:pStyle w:val="ListParagraph"/>
        <w:numPr>
          <w:ilvl w:val="0"/>
          <w:numId w:val="10"/>
        </w:numPr>
        <w:tabs>
          <w:tab w:pos="1359" w:val="left" w:leader="none"/>
          <w:tab w:pos="1360" w:val="left" w:leader="none"/>
        </w:tabs>
        <w:spacing w:line="240" w:lineRule="auto" w:before="172" w:after="0"/>
        <w:ind w:left="1360" w:right="0" w:hanging="1128"/>
        <w:jc w:val="left"/>
        <w:rPr>
          <w:sz w:val="23"/>
        </w:rPr>
      </w:pPr>
      <w:r>
        <w:rPr>
          <w:sz w:val="23"/>
        </w:rPr>
        <w:t>All of the experts, including McDonnell, link violence against rivals or anyone</w:t>
      </w:r>
      <w:r>
        <w:rPr>
          <w:spacing w:val="-15"/>
          <w:sz w:val="23"/>
        </w:rPr>
        <w:t> </w:t>
      </w:r>
      <w:r>
        <w:rPr>
          <w:sz w:val="23"/>
        </w:rPr>
        <w:t>else</w:t>
      </w:r>
    </w:p>
    <w:p>
      <w:pPr>
        <w:pStyle w:val="ListParagraph"/>
        <w:numPr>
          <w:ilvl w:val="0"/>
          <w:numId w:val="10"/>
        </w:numPr>
        <w:tabs>
          <w:tab w:pos="639" w:val="left" w:leader="none"/>
          <w:tab w:pos="640" w:val="left" w:leader="none"/>
        </w:tabs>
        <w:spacing w:line="240" w:lineRule="auto" w:before="159" w:after="0"/>
        <w:ind w:left="640" w:right="0" w:hanging="408"/>
        <w:jc w:val="left"/>
        <w:rPr>
          <w:sz w:val="23"/>
        </w:rPr>
      </w:pPr>
      <w:r>
        <w:rPr>
          <w:sz w:val="23"/>
        </w:rPr>
        <w:t>who is perceived to have disrespected the gang as an act that is related to the</w:t>
      </w:r>
      <w:r>
        <w:rPr>
          <w:spacing w:val="-24"/>
          <w:sz w:val="23"/>
        </w:rPr>
        <w:t> </w:t>
      </w:r>
      <w:r>
        <w:rPr>
          <w:sz w:val="23"/>
        </w:rPr>
        <w:t>enhancement</w:t>
      </w:r>
    </w:p>
    <w:p>
      <w:pPr>
        <w:pStyle w:val="ListParagraph"/>
        <w:numPr>
          <w:ilvl w:val="0"/>
          <w:numId w:val="10"/>
        </w:numPr>
        <w:tabs>
          <w:tab w:pos="639" w:val="left" w:leader="none"/>
          <w:tab w:pos="640" w:val="left" w:leader="none"/>
        </w:tabs>
        <w:spacing w:line="240" w:lineRule="auto" w:before="140" w:after="0"/>
        <w:ind w:left="640" w:right="0" w:hanging="408"/>
        <w:jc w:val="left"/>
        <w:rPr>
          <w:sz w:val="23"/>
        </w:rPr>
      </w:pPr>
      <w:r>
        <w:rPr>
          <w:sz w:val="23"/>
        </w:rPr>
        <w:t>of “the reputation of the member committing the act because it makes the gang that</w:t>
      </w:r>
      <w:r>
        <w:rPr>
          <w:spacing w:val="-29"/>
          <w:sz w:val="23"/>
        </w:rPr>
        <w:t> </w:t>
      </w:r>
      <w:r>
        <w:rPr>
          <w:sz w:val="23"/>
        </w:rPr>
        <w:t>much</w:t>
      </w:r>
    </w:p>
    <w:p>
      <w:pPr>
        <w:pStyle w:val="ListParagraph"/>
        <w:numPr>
          <w:ilvl w:val="0"/>
          <w:numId w:val="10"/>
        </w:numPr>
        <w:tabs>
          <w:tab w:pos="639" w:val="left" w:leader="none"/>
          <w:tab w:pos="640" w:val="left" w:leader="none"/>
        </w:tabs>
        <w:spacing w:line="240" w:lineRule="auto" w:before="127" w:after="0"/>
        <w:ind w:left="640" w:right="0" w:hanging="408"/>
        <w:jc w:val="left"/>
        <w:rPr>
          <w:sz w:val="23"/>
        </w:rPr>
      </w:pPr>
      <w:r>
        <w:rPr>
          <w:sz w:val="23"/>
        </w:rPr>
        <w:t>more fearsome and intimidating.” (McDonnell, para. 22.)  Molina references killing as</w:t>
      </w:r>
      <w:r>
        <w:rPr>
          <w:spacing w:val="-34"/>
          <w:sz w:val="23"/>
        </w:rPr>
        <w:t> </w:t>
      </w:r>
      <w:r>
        <w:rPr>
          <w:sz w:val="23"/>
        </w:rPr>
        <w:t>an</w:t>
      </w:r>
    </w:p>
    <w:p>
      <w:pPr>
        <w:pStyle w:val="ListParagraph"/>
        <w:numPr>
          <w:ilvl w:val="0"/>
          <w:numId w:val="10"/>
        </w:numPr>
        <w:tabs>
          <w:tab w:pos="639" w:val="left" w:leader="none"/>
          <w:tab w:pos="640" w:val="left" w:leader="none"/>
        </w:tabs>
        <w:spacing w:line="240" w:lineRule="auto" w:before="119" w:after="0"/>
        <w:ind w:left="640" w:right="0" w:hanging="408"/>
        <w:jc w:val="left"/>
        <w:rPr>
          <w:sz w:val="23"/>
        </w:rPr>
      </w:pPr>
      <w:r>
        <w:rPr>
          <w:sz w:val="23"/>
        </w:rPr>
        <w:t>activity that “is expected.” (Molina, para. 5.) This implies in violation of F.R.E. 704(b)</w:t>
      </w:r>
      <w:r>
        <w:rPr>
          <w:spacing w:val="-24"/>
          <w:sz w:val="23"/>
        </w:rPr>
        <w:t> </w:t>
      </w:r>
      <w:r>
        <w:rPr>
          <w:sz w:val="23"/>
        </w:rPr>
        <w:t>that</w:t>
      </w:r>
    </w:p>
    <w:p>
      <w:pPr>
        <w:pStyle w:val="ListParagraph"/>
        <w:numPr>
          <w:ilvl w:val="0"/>
          <w:numId w:val="10"/>
        </w:numPr>
        <w:tabs>
          <w:tab w:pos="639" w:val="left" w:leader="none"/>
          <w:tab w:pos="640" w:val="left" w:leader="none"/>
        </w:tabs>
        <w:spacing w:line="240" w:lineRule="auto" w:before="97" w:after="0"/>
        <w:ind w:left="640" w:right="0" w:hanging="408"/>
        <w:jc w:val="left"/>
        <w:rPr>
          <w:sz w:val="23"/>
        </w:rPr>
      </w:pPr>
      <w:r>
        <w:rPr>
          <w:sz w:val="23"/>
        </w:rPr>
        <w:t>any killing done by an alleged MS-13 member is specifically</w:t>
      </w:r>
      <w:r>
        <w:rPr>
          <w:spacing w:val="-22"/>
          <w:sz w:val="23"/>
        </w:rPr>
        <w:t> </w:t>
      </w:r>
      <w:r>
        <w:rPr>
          <w:sz w:val="23"/>
        </w:rPr>
        <w:t>intended.</w:t>
      </w:r>
    </w:p>
    <w:p>
      <w:pPr>
        <w:pStyle w:val="ListParagraph"/>
        <w:numPr>
          <w:ilvl w:val="0"/>
          <w:numId w:val="10"/>
        </w:numPr>
        <w:tabs>
          <w:tab w:pos="1360" w:val="left" w:leader="none"/>
          <w:tab w:pos="1361" w:val="left" w:leader="none"/>
        </w:tabs>
        <w:spacing w:line="240" w:lineRule="auto" w:before="79" w:after="0"/>
        <w:ind w:left="1360" w:right="0" w:hanging="1248"/>
        <w:jc w:val="left"/>
        <w:rPr>
          <w:sz w:val="23"/>
        </w:rPr>
      </w:pPr>
      <w:r>
        <w:rPr>
          <w:sz w:val="23"/>
        </w:rPr>
        <w:t>The government’s rejoinder lists a group of cases that do little to support its</w:t>
      </w:r>
      <w:r>
        <w:rPr>
          <w:spacing w:val="-20"/>
          <w:sz w:val="23"/>
        </w:rPr>
        <w:t> </w:t>
      </w:r>
      <w:r>
        <w:rPr>
          <w:sz w:val="23"/>
        </w:rPr>
        <w:t>point.</w:t>
      </w:r>
    </w:p>
    <w:p>
      <w:pPr>
        <w:pStyle w:val="ListParagraph"/>
        <w:numPr>
          <w:ilvl w:val="0"/>
          <w:numId w:val="10"/>
        </w:numPr>
        <w:tabs>
          <w:tab w:pos="640" w:val="left" w:leader="none"/>
          <w:tab w:pos="641" w:val="left" w:leader="none"/>
        </w:tabs>
        <w:spacing w:line="240" w:lineRule="auto" w:before="70" w:after="0"/>
        <w:ind w:left="640" w:right="0" w:hanging="528"/>
        <w:jc w:val="left"/>
        <w:rPr>
          <w:sz w:val="23"/>
        </w:rPr>
      </w:pPr>
      <w:r>
        <w:rPr>
          <w:sz w:val="23"/>
        </w:rPr>
        <w:t>Indeed, in </w:t>
      </w:r>
      <w:r>
        <w:rPr>
          <w:i/>
          <w:sz w:val="23"/>
        </w:rPr>
        <w:t>United States v. Espinosa</w:t>
      </w:r>
      <w:r>
        <w:rPr>
          <w:sz w:val="23"/>
        </w:rPr>
        <w:t>, 827 F.2d 604 (9th Cir. 1987) (Gov’t Response at</w:t>
      </w:r>
      <w:r>
        <w:rPr>
          <w:spacing w:val="-11"/>
          <w:sz w:val="23"/>
        </w:rPr>
        <w:t> </w:t>
      </w:r>
      <w:r>
        <w:rPr>
          <w:sz w:val="23"/>
        </w:rPr>
        <w:t>4),</w:t>
      </w:r>
    </w:p>
    <w:p>
      <w:pPr>
        <w:pStyle w:val="ListParagraph"/>
        <w:numPr>
          <w:ilvl w:val="0"/>
          <w:numId w:val="10"/>
        </w:numPr>
        <w:tabs>
          <w:tab w:pos="640" w:val="left" w:leader="none"/>
          <w:tab w:pos="641" w:val="left" w:leader="none"/>
        </w:tabs>
        <w:spacing w:line="240" w:lineRule="auto" w:before="57" w:after="0"/>
        <w:ind w:left="640" w:right="0" w:hanging="528"/>
        <w:jc w:val="left"/>
        <w:rPr>
          <w:i/>
          <w:sz w:val="23"/>
        </w:rPr>
      </w:pPr>
      <w:r>
        <w:rPr>
          <w:sz w:val="23"/>
        </w:rPr>
        <w:t>the Court of Appeals reiterates the prohibition included in F.R.E. 704(b). The</w:t>
      </w:r>
      <w:r>
        <w:rPr>
          <w:spacing w:val="-16"/>
          <w:sz w:val="23"/>
        </w:rPr>
        <w:t> </w:t>
      </w:r>
      <w:r>
        <w:rPr>
          <w:i/>
          <w:sz w:val="23"/>
        </w:rPr>
        <w:t>modus</w:t>
      </w:r>
    </w:p>
    <w:p>
      <w:pPr>
        <w:pStyle w:val="ListParagraph"/>
        <w:numPr>
          <w:ilvl w:val="0"/>
          <w:numId w:val="10"/>
        </w:numPr>
        <w:tabs>
          <w:tab w:pos="639" w:val="left" w:leader="none"/>
          <w:tab w:pos="640" w:val="left" w:leader="none"/>
        </w:tabs>
        <w:spacing w:line="290" w:lineRule="atLeast" w:before="39" w:after="0"/>
        <w:ind w:left="640" w:right="972" w:hanging="528"/>
        <w:jc w:val="left"/>
        <w:rPr>
          <w:sz w:val="23"/>
        </w:rPr>
      </w:pPr>
      <w:r>
        <w:rPr>
          <w:i/>
          <w:sz w:val="23"/>
        </w:rPr>
        <w:t>operandi </w:t>
      </w:r>
      <w:r>
        <w:rPr>
          <w:sz w:val="23"/>
        </w:rPr>
        <w:t>information at issue involved a defendant using an apartment as a narcotics stash pad and that he had pay ledgers. This is not the same as asking a law enforcement officer</w:t>
      </w:r>
      <w:r>
        <w:rPr>
          <w:spacing w:val="-29"/>
          <w:sz w:val="23"/>
        </w:rPr>
        <w:t> </w:t>
      </w:r>
      <w:r>
        <w:rPr>
          <w:sz w:val="23"/>
        </w:rPr>
        <w:t>to</w:t>
      </w:r>
    </w:p>
    <w:p>
      <w:pPr>
        <w:pStyle w:val="Heading1"/>
        <w:spacing w:line="184" w:lineRule="exact"/>
        <w:rPr>
          <w:rFonts w:ascii="Times New Roman"/>
        </w:rPr>
      </w:pPr>
      <w:r>
        <w:rPr>
          <w:rFonts w:ascii="Times New Roman"/>
        </w:rPr>
        <w:t>14</w:t>
      </w:r>
    </w:p>
    <w:p>
      <w:pPr>
        <w:pStyle w:val="BodyText"/>
        <w:spacing w:line="225" w:lineRule="exact" w:before="9"/>
      </w:pPr>
      <w:r>
        <w:rPr/>
        <w:t>testify in conformity with the opinions suggested here.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15</w:t>
      </w:r>
    </w:p>
    <w:p>
      <w:pPr>
        <w:pStyle w:val="Heading2"/>
        <w:numPr>
          <w:ilvl w:val="2"/>
          <w:numId w:val="6"/>
        </w:numPr>
        <w:tabs>
          <w:tab w:pos="1359" w:val="left" w:leader="none"/>
          <w:tab w:pos="1360" w:val="left" w:leader="none"/>
        </w:tabs>
        <w:spacing w:line="230" w:lineRule="exact" w:before="0" w:after="0"/>
        <w:ind w:left="1360" w:right="0" w:hanging="720"/>
        <w:jc w:val="left"/>
      </w:pPr>
      <w:r>
        <w:rPr/>
        <w:t>The Relevance of the Case Law Cited by the Government as</w:t>
      </w:r>
      <w:r>
        <w:rPr>
          <w:spacing w:val="-3"/>
        </w:rPr>
        <w:t> </w:t>
      </w:r>
      <w:r>
        <w:rPr/>
        <w:t>Categorically</w:t>
      </w:r>
    </w:p>
    <w:p>
      <w:pPr>
        <w:pStyle w:val="ListParagraph"/>
        <w:numPr>
          <w:ilvl w:val="0"/>
          <w:numId w:val="11"/>
        </w:numPr>
        <w:tabs>
          <w:tab w:pos="1359" w:val="left" w:leader="none"/>
          <w:tab w:pos="1360" w:val="left" w:leader="none"/>
        </w:tabs>
        <w:spacing w:line="293" w:lineRule="exact" w:before="0" w:after="0"/>
        <w:ind w:left="1360" w:right="0" w:hanging="1248"/>
        <w:jc w:val="left"/>
        <w:rPr>
          <w:sz w:val="23"/>
        </w:rPr>
      </w:pPr>
      <w:r>
        <w:rPr>
          <w:b/>
          <w:sz w:val="23"/>
        </w:rPr>
        <w:t>Allowing “Gang Experts” Has Been Rejected by This Court Orders.</w:t>
      </w:r>
      <w:r>
        <w:rPr>
          <w:b/>
          <w:spacing w:val="-17"/>
          <w:sz w:val="23"/>
        </w:rPr>
        <w:t> </w:t>
      </w:r>
      <w:hyperlink w:history="true" w:anchor="_bookmark2">
        <w:r>
          <w:rPr>
            <w:sz w:val="23"/>
            <w:vertAlign w:val="superscript"/>
          </w:rPr>
          <w:t>3</w:t>
        </w:r>
      </w:hyperlink>
    </w:p>
    <w:p>
      <w:pPr>
        <w:pStyle w:val="ListParagraph"/>
        <w:numPr>
          <w:ilvl w:val="0"/>
          <w:numId w:val="11"/>
        </w:numPr>
        <w:tabs>
          <w:tab w:pos="1359" w:val="left" w:leader="none"/>
          <w:tab w:pos="1360" w:val="left" w:leader="none"/>
        </w:tabs>
        <w:spacing w:line="240" w:lineRule="auto" w:before="150" w:after="0"/>
        <w:ind w:left="1360" w:right="0" w:hanging="1248"/>
        <w:jc w:val="left"/>
        <w:rPr>
          <w:sz w:val="23"/>
        </w:rPr>
      </w:pPr>
      <w:r>
        <w:rPr>
          <w:sz w:val="23"/>
        </w:rPr>
        <w:t>The government criticizes the defense for ignoring </w:t>
      </w:r>
      <w:r>
        <w:rPr>
          <w:i/>
          <w:sz w:val="23"/>
        </w:rPr>
        <w:t>United States v. Hankey</w:t>
      </w:r>
      <w:r>
        <w:rPr>
          <w:sz w:val="23"/>
        </w:rPr>
        <w:t>, 203 F.3d</w:t>
      </w:r>
      <w:r>
        <w:rPr>
          <w:spacing w:val="-19"/>
          <w:sz w:val="23"/>
        </w:rPr>
        <w:t> </w:t>
      </w:r>
      <w:r>
        <w:rPr>
          <w:sz w:val="23"/>
        </w:rPr>
        <w:t>1160</w:t>
      </w:r>
    </w:p>
    <w:p>
      <w:pPr>
        <w:pStyle w:val="ListParagraph"/>
        <w:numPr>
          <w:ilvl w:val="0"/>
          <w:numId w:val="11"/>
        </w:numPr>
        <w:tabs>
          <w:tab w:pos="639" w:val="left" w:leader="none"/>
          <w:tab w:pos="640" w:val="left" w:leader="none"/>
        </w:tabs>
        <w:spacing w:line="240" w:lineRule="auto" w:before="82" w:after="0"/>
        <w:ind w:left="640" w:right="0" w:hanging="528"/>
        <w:jc w:val="left"/>
        <w:rPr>
          <w:sz w:val="23"/>
        </w:rPr>
      </w:pPr>
      <w:r>
        <w:rPr>
          <w:sz w:val="23"/>
        </w:rPr>
        <w:t>(9th Cir. 2000), ignoring, in turn, the fact that </w:t>
      </w:r>
      <w:r>
        <w:rPr>
          <w:i/>
          <w:sz w:val="23"/>
        </w:rPr>
        <w:t>Hankey </w:t>
      </w:r>
      <w:r>
        <w:rPr>
          <w:sz w:val="23"/>
        </w:rPr>
        <w:t>has been thoroughly briefed in this case</w:t>
      </w:r>
      <w:r>
        <w:rPr>
          <w:spacing w:val="-17"/>
          <w:sz w:val="23"/>
        </w:rPr>
        <w:t> </w:t>
      </w:r>
      <w:r>
        <w:rPr>
          <w:sz w:val="23"/>
        </w:rPr>
        <w:t>by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787" w:top="0" w:bottom="980" w:left="1520" w:right="620"/>
        </w:sectPr>
      </w:pPr>
    </w:p>
    <w:p>
      <w:pPr>
        <w:pStyle w:val="ListParagraph"/>
        <w:numPr>
          <w:ilvl w:val="0"/>
          <w:numId w:val="11"/>
        </w:numPr>
        <w:tabs>
          <w:tab w:pos="639" w:val="left" w:leader="none"/>
          <w:tab w:pos="640" w:val="left" w:leader="none"/>
        </w:tabs>
        <w:spacing w:line="240" w:lineRule="auto" w:before="100" w:after="0"/>
        <w:ind w:left="640" w:right="0" w:hanging="528"/>
        <w:jc w:val="left"/>
        <w:rPr>
          <w:sz w:val="23"/>
        </w:rPr>
      </w:pPr>
      <w:r>
        <w:rPr>
          <w:sz w:val="23"/>
        </w:rPr>
        <w:t>various</w:t>
      </w:r>
      <w:r>
        <w:rPr>
          <w:spacing w:val="-8"/>
          <w:sz w:val="23"/>
        </w:rPr>
        <w:t> </w:t>
      </w:r>
      <w:r>
        <w:rPr>
          <w:sz w:val="23"/>
        </w:rPr>
        <w:t>defendants.</w:t>
      </w:r>
      <w:hyperlink w:history="true" w:anchor="_bookmark3">
        <w:r>
          <w:rPr>
            <w:sz w:val="23"/>
            <w:vertAlign w:val="superscript"/>
          </w:rPr>
          <w:t>4</w:t>
        </w:r>
      </w:hyperlink>
    </w:p>
    <w:p>
      <w:pPr>
        <w:pStyle w:val="BodyText"/>
        <w:spacing w:before="189"/>
        <w:ind w:left="76"/>
      </w:pPr>
      <w:r>
        <w:rPr/>
        <w:br w:type="column"/>
      </w:r>
      <w:r>
        <w:rPr/>
        <w:t>In fact, the Court has already definitively ruled on the applicability of </w:t>
      </w:r>
      <w:r>
        <w:rPr>
          <w:i/>
        </w:rPr>
        <w:t>Hankey</w:t>
      </w:r>
      <w:r>
        <w:rPr/>
        <w:t>.</w:t>
      </w:r>
    </w:p>
    <w:p>
      <w:pPr>
        <w:spacing w:after="0"/>
        <w:sectPr>
          <w:type w:val="continuous"/>
          <w:pgSz w:w="12240" w:h="15840"/>
          <w:pgMar w:top="0" w:bottom="980" w:left="1520" w:right="620"/>
          <w:cols w:num="2" w:equalWidth="0">
            <w:col w:w="2514" w:space="40"/>
            <w:col w:w="7546"/>
          </w:cols>
        </w:sectPr>
      </w:pPr>
    </w:p>
    <w:p>
      <w:pPr>
        <w:pStyle w:val="ListParagraph"/>
        <w:numPr>
          <w:ilvl w:val="0"/>
          <w:numId w:val="11"/>
        </w:numPr>
        <w:tabs>
          <w:tab w:pos="639" w:val="left" w:leader="none"/>
          <w:tab w:pos="640" w:val="left" w:leader="none"/>
        </w:tabs>
        <w:spacing w:line="240" w:lineRule="auto" w:before="112" w:after="0"/>
        <w:ind w:left="639" w:right="0" w:hanging="527"/>
        <w:jc w:val="left"/>
        <w:rPr>
          <w:sz w:val="23"/>
        </w:rPr>
      </w:pPr>
      <w:r>
        <w:rPr/>
        <w:pict>
          <v:group style="position:absolute;margin-left:100.425003pt;margin-top:0pt;width:151.6pt;height:792pt;mso-position-horizontal-relative:page;mso-position-vertical-relative:page;z-index:-15640" coordorigin="2009,0" coordsize="3032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v:line style="position:absolute" from="2160,12841" to="5040,12841" stroked="true" strokeweight=".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12" from="576pt,0pt" to="576pt,792pt" stroked="true" strokeweight=".75pt" strokecolor="#000000">
            <v:stroke dashstyle="solid"/>
            <w10:wrap type="none"/>
          </v:line>
        </w:pict>
      </w:r>
      <w:r>
        <w:rPr>
          <w:sz w:val="23"/>
        </w:rPr>
        <w:t>(Doc. 1821, p. 10) ("In each of the cases relied upon by the government, however, such</w:t>
      </w:r>
      <w:r>
        <w:rPr>
          <w:spacing w:val="-21"/>
          <w:sz w:val="23"/>
        </w:rPr>
        <w:t> </w:t>
      </w:r>
      <w:r>
        <w:rPr>
          <w:sz w:val="23"/>
        </w:rPr>
        <w:t>expert</w:t>
      </w:r>
    </w:p>
    <w:p>
      <w:pPr>
        <w:pStyle w:val="ListParagraph"/>
        <w:numPr>
          <w:ilvl w:val="0"/>
          <w:numId w:val="11"/>
        </w:numPr>
        <w:tabs>
          <w:tab w:pos="639" w:val="left" w:leader="none"/>
          <w:tab w:pos="640" w:val="left" w:leader="none"/>
        </w:tabs>
        <w:spacing w:line="240" w:lineRule="auto" w:before="129" w:after="0"/>
        <w:ind w:left="639" w:right="0" w:hanging="527"/>
        <w:jc w:val="left"/>
        <w:rPr>
          <w:sz w:val="23"/>
        </w:rPr>
      </w:pPr>
      <w:r>
        <w:rPr>
          <w:sz w:val="23"/>
        </w:rPr>
        <w:t>testimony was allowed only as rebuttal testimony and for the limited purpose of impeaching</w:t>
      </w:r>
      <w:r>
        <w:rPr>
          <w:spacing w:val="-31"/>
          <w:sz w:val="23"/>
        </w:rPr>
        <w:t> </w:t>
      </w:r>
      <w:r>
        <w:rPr>
          <w:sz w:val="23"/>
        </w:rPr>
        <w:t>a</w:t>
      </w:r>
    </w:p>
    <w:p>
      <w:pPr>
        <w:pStyle w:val="Heading1"/>
        <w:spacing w:before="144"/>
        <w:rPr>
          <w:rFonts w:ascii="Times New Roman"/>
        </w:rPr>
      </w:pPr>
      <w:r>
        <w:rPr>
          <w:rFonts w:ascii="Times New Roman"/>
        </w:rPr>
        <w:t>22</w:t>
      </w:r>
    </w:p>
    <w:p>
      <w:pPr>
        <w:spacing w:before="195"/>
        <w:ind w:left="111" w:right="0" w:firstLine="0"/>
        <w:jc w:val="left"/>
        <w:rPr>
          <w:sz w:val="24"/>
        </w:rPr>
      </w:pPr>
      <w:r>
        <w:rPr>
          <w:sz w:val="24"/>
        </w:rPr>
        <w:t>23</w:t>
      </w:r>
    </w:p>
    <w:p>
      <w:pPr>
        <w:spacing w:before="192"/>
        <w:ind w:left="111" w:right="0" w:firstLine="0"/>
        <w:jc w:val="left"/>
        <w:rPr>
          <w:sz w:val="24"/>
        </w:rPr>
      </w:pPr>
      <w:r>
        <w:rPr>
          <w:sz w:val="24"/>
        </w:rPr>
        <w:t>24</w:t>
      </w:r>
    </w:p>
    <w:p>
      <w:pPr>
        <w:tabs>
          <w:tab w:pos="1359" w:val="left" w:leader="none"/>
        </w:tabs>
        <w:spacing w:before="195"/>
        <w:ind w:left="639" w:right="900" w:hanging="528"/>
        <w:jc w:val="left"/>
        <w:rPr>
          <w:sz w:val="22"/>
        </w:rPr>
      </w:pPr>
      <w:bookmarkStart w:name="_bookmark2" w:id="5"/>
      <w:bookmarkEnd w:id="5"/>
      <w:r>
        <w:rPr/>
      </w:r>
      <w:r>
        <w:rPr>
          <w:position w:val="3"/>
          <w:sz w:val="24"/>
        </w:rPr>
        <w:t>25</w:t>
        <w:tab/>
        <w:tab/>
      </w:r>
      <w:r>
        <w:rPr>
          <w:position w:val="10"/>
          <w:sz w:val="14"/>
        </w:rPr>
        <w:t>3 </w:t>
      </w:r>
      <w:r>
        <w:rPr>
          <w:sz w:val="22"/>
        </w:rPr>
        <w:t>As reflected in this discussion, the government’s brief violates Local Rule 7-9, in that it (again) improperly seeks reconsideration of an existing Order (Doc.</w:t>
      </w:r>
      <w:r>
        <w:rPr>
          <w:spacing w:val="-14"/>
          <w:sz w:val="22"/>
        </w:rPr>
        <w:t> </w:t>
      </w:r>
      <w:r>
        <w:rPr>
          <w:sz w:val="22"/>
        </w:rPr>
        <w:t>1821).</w:t>
      </w:r>
    </w:p>
    <w:p>
      <w:pPr>
        <w:pStyle w:val="Heading1"/>
        <w:spacing w:line="191" w:lineRule="exact"/>
        <w:rPr>
          <w:rFonts w:ascii="Times New Roman"/>
        </w:rPr>
      </w:pPr>
      <w:r>
        <w:rPr>
          <w:rFonts w:ascii="Times New Roman"/>
        </w:rPr>
        <w:t>26</w:t>
      </w:r>
    </w:p>
    <w:p>
      <w:pPr>
        <w:pStyle w:val="ListParagraph"/>
        <w:numPr>
          <w:ilvl w:val="0"/>
          <w:numId w:val="12"/>
        </w:numPr>
        <w:tabs>
          <w:tab w:pos="1359" w:val="left" w:leader="none"/>
          <w:tab w:pos="1360" w:val="left" w:leader="none"/>
        </w:tabs>
        <w:spacing w:line="163" w:lineRule="auto" w:before="88" w:after="0"/>
        <w:ind w:left="640" w:right="407" w:hanging="528"/>
        <w:jc w:val="left"/>
        <w:rPr>
          <w:sz w:val="22"/>
        </w:rPr>
      </w:pPr>
      <w:r>
        <w:rPr/>
        <w:tab/>
      </w:r>
      <w:bookmarkStart w:name="_bookmark3" w:id="6"/>
      <w:bookmarkEnd w:id="6"/>
      <w:r>
        <w:rPr/>
      </w:r>
      <w:bookmarkStart w:name="_bookmark3" w:id="7"/>
      <w:bookmarkEnd w:id="7"/>
      <w:r>
        <w:rPr>
          <w:rFonts w:ascii="Calibri"/>
          <w:position w:val="10"/>
          <w:sz w:val="14"/>
        </w:rPr>
        <w:t>4</w:t>
      </w:r>
      <w:r>
        <w:rPr>
          <w:rFonts w:ascii="Calibri"/>
          <w:position w:val="10"/>
          <w:sz w:val="14"/>
        </w:rPr>
        <w:t> </w:t>
      </w:r>
      <w:r>
        <w:rPr>
          <w:sz w:val="22"/>
        </w:rPr>
        <w:t>See Doc. 1717 at 5 (government); Doc. 1731 at 3-4 (government); Doc. 1751 at 5 (Guillermo Herrera); Doc. 1752 at 7 (Cruz-Ramirez); Doc. 1758 at 4-5 (government); Doc. 1912 at 4-5</w:t>
      </w:r>
      <w:r>
        <w:rPr>
          <w:spacing w:val="-21"/>
          <w:sz w:val="22"/>
        </w:rPr>
        <w:t> </w:t>
      </w:r>
      <w:r>
        <w:rPr>
          <w:sz w:val="22"/>
        </w:rPr>
        <w:t>(Luis</w:t>
      </w:r>
    </w:p>
    <w:p>
      <w:pPr>
        <w:pStyle w:val="ListParagraph"/>
        <w:numPr>
          <w:ilvl w:val="0"/>
          <w:numId w:val="12"/>
        </w:numPr>
        <w:tabs>
          <w:tab w:pos="639" w:val="left" w:leader="none"/>
          <w:tab w:pos="641" w:val="left" w:leader="none"/>
        </w:tabs>
        <w:spacing w:line="180" w:lineRule="auto" w:before="49" w:after="0"/>
        <w:ind w:left="640" w:right="565" w:hanging="528"/>
        <w:jc w:val="left"/>
        <w:rPr>
          <w:sz w:val="22"/>
        </w:rPr>
      </w:pPr>
      <w:r>
        <w:rPr>
          <w:sz w:val="22"/>
        </w:rPr>
        <w:t>Herrera); Doc. 1978 at 4-5 (Cesar Alvarado); Doc. 1963 at 6-7 (Cruz-Ramirez); Doc. 2159 at 4 (Luis Herrera).</w:t>
      </w:r>
    </w:p>
    <w:p>
      <w:pPr>
        <w:spacing w:after="0" w:line="180" w:lineRule="auto"/>
        <w:jc w:val="left"/>
        <w:rPr>
          <w:sz w:val="22"/>
        </w:rPr>
        <w:sectPr>
          <w:type w:val="continuous"/>
          <w:pgSz w:w="12240" w:h="15840"/>
          <w:pgMar w:top="0" w:bottom="980" w:left="1520" w:right="62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100.425003pt;margin-top:0pt;width:151.6pt;height:792pt;mso-position-horizontal-relative:page;mso-position-vertical-relative:page;z-index:-15592" coordorigin="2009,0" coordsize="3032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v:line style="position:absolute" from="2160,6246" to="5040,6246" stroked="true" strokeweight=".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60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Heading1"/>
        <w:spacing w:before="92"/>
        <w:ind w:left="767"/>
      </w:pPr>
      <w:r>
        <w:rPr>
          <w:color w:val="0000FF"/>
        </w:rPr>
        <w:t>Case3:08-cr-00730-WHA Document2641 Filed11/19/10 Page7 of 10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2"/>
        <w:ind w:left="0"/>
        <w:rPr>
          <w:rFonts w:ascii="Arial"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639" w:val="left" w:leader="none"/>
          <w:tab w:pos="640" w:val="left" w:leader="none"/>
        </w:tabs>
        <w:spacing w:line="240" w:lineRule="auto" w:before="91" w:after="0"/>
        <w:ind w:left="640" w:right="0" w:hanging="408"/>
        <w:jc w:val="left"/>
        <w:rPr>
          <w:sz w:val="23"/>
        </w:rPr>
      </w:pPr>
      <w:r>
        <w:rPr>
          <w:position w:val="1"/>
          <w:sz w:val="23"/>
        </w:rPr>
        <w:t>defense witness.") The dead </w:t>
      </w:r>
      <w:r>
        <w:rPr>
          <w:i/>
          <w:position w:val="1"/>
          <w:sz w:val="23"/>
        </w:rPr>
        <w:t>Hankey </w:t>
      </w:r>
      <w:r>
        <w:rPr>
          <w:position w:val="1"/>
          <w:sz w:val="23"/>
        </w:rPr>
        <w:t>horse has been beaten too long. The same is true for</w:t>
      </w:r>
      <w:r>
        <w:rPr>
          <w:spacing w:val="-17"/>
          <w:position w:val="1"/>
          <w:sz w:val="23"/>
        </w:rPr>
        <w:t> </w:t>
      </w:r>
      <w:r>
        <w:rPr>
          <w:position w:val="1"/>
          <w:sz w:val="23"/>
        </w:rPr>
        <w:t>the</w:t>
      </w:r>
    </w:p>
    <w:p>
      <w:pPr>
        <w:pStyle w:val="ListParagraph"/>
        <w:numPr>
          <w:ilvl w:val="1"/>
          <w:numId w:val="12"/>
        </w:numPr>
        <w:tabs>
          <w:tab w:pos="639" w:val="left" w:leader="none"/>
          <w:tab w:pos="640" w:val="left" w:leader="none"/>
        </w:tabs>
        <w:spacing w:line="240" w:lineRule="auto" w:before="179" w:after="0"/>
        <w:ind w:left="639" w:right="0" w:hanging="407"/>
        <w:jc w:val="left"/>
        <w:rPr>
          <w:sz w:val="23"/>
        </w:rPr>
      </w:pPr>
      <w:r>
        <w:rPr>
          <w:sz w:val="23"/>
        </w:rPr>
        <w:t>majority of the case law cited in the government’s brief.</w:t>
      </w:r>
      <w:r>
        <w:rPr>
          <w:spacing w:val="-23"/>
          <w:sz w:val="23"/>
        </w:rPr>
        <w:t> </w:t>
      </w:r>
      <w:hyperlink w:history="true" w:anchor="_bookmark4">
        <w:r>
          <w:rPr>
            <w:sz w:val="23"/>
            <w:vertAlign w:val="superscript"/>
          </w:rPr>
          <w:t>5</w:t>
        </w:r>
      </w:hyperlink>
    </w:p>
    <w:p>
      <w:pPr>
        <w:pStyle w:val="ListParagraph"/>
        <w:numPr>
          <w:ilvl w:val="1"/>
          <w:numId w:val="12"/>
        </w:numPr>
        <w:tabs>
          <w:tab w:pos="1359" w:val="left" w:leader="none"/>
          <w:tab w:pos="1360" w:val="left" w:leader="none"/>
        </w:tabs>
        <w:spacing w:line="240" w:lineRule="auto" w:before="167" w:after="0"/>
        <w:ind w:left="1360" w:right="0" w:hanging="1128"/>
        <w:jc w:val="left"/>
        <w:rPr>
          <w:sz w:val="23"/>
        </w:rPr>
      </w:pPr>
      <w:r>
        <w:rPr>
          <w:sz w:val="23"/>
        </w:rPr>
        <w:t>The government also cites a handful of district court orders (presented previously in</w:t>
      </w:r>
      <w:r>
        <w:rPr>
          <w:spacing w:val="-22"/>
          <w:sz w:val="23"/>
        </w:rPr>
        <w:t> </w:t>
      </w:r>
      <w:r>
        <w:rPr>
          <w:sz w:val="23"/>
        </w:rPr>
        <w:t>its</w:t>
      </w:r>
    </w:p>
    <w:p>
      <w:pPr>
        <w:pStyle w:val="BodyText"/>
        <w:tabs>
          <w:tab w:pos="639" w:val="left" w:leader="none"/>
        </w:tabs>
        <w:spacing w:before="150"/>
        <w:ind w:left="231"/>
      </w:pPr>
      <w:r>
        <w:rPr>
          <w:position w:val="-5"/>
          <w:sz w:val="24"/>
        </w:rPr>
        <w:t>4</w:t>
        <w:tab/>
      </w:r>
      <w:r>
        <w:rPr/>
        <w:t>August 12 and 23, 2010 briefs) to argue that gang expert testimony like that proffered here</w:t>
      </w:r>
      <w:r>
        <w:rPr>
          <w:spacing w:val="-22"/>
        </w:rPr>
        <w:t> </w:t>
      </w:r>
      <w:r>
        <w:rPr/>
        <w:t>should</w:t>
      </w:r>
    </w:p>
    <w:p>
      <w:pPr>
        <w:tabs>
          <w:tab w:pos="639" w:val="left" w:leader="none"/>
        </w:tabs>
        <w:spacing w:before="129"/>
        <w:ind w:left="231" w:right="0" w:firstLine="0"/>
        <w:jc w:val="left"/>
        <w:rPr>
          <w:sz w:val="23"/>
        </w:rPr>
      </w:pPr>
      <w:r>
        <w:rPr>
          <w:position w:val="-6"/>
          <w:sz w:val="24"/>
        </w:rPr>
        <w:t>5</w:t>
        <w:tab/>
      </w:r>
      <w:r>
        <w:rPr>
          <w:sz w:val="23"/>
        </w:rPr>
        <w:t>be admitted. Each case is distinguishable. In </w:t>
      </w:r>
      <w:r>
        <w:rPr>
          <w:i/>
          <w:sz w:val="23"/>
        </w:rPr>
        <w:t>United States v. Slocum</w:t>
      </w:r>
      <w:r>
        <w:rPr>
          <w:sz w:val="23"/>
        </w:rPr>
        <w:t>, 02-CR-938-DOC</w:t>
      </w:r>
      <w:r>
        <w:rPr>
          <w:spacing w:val="-24"/>
          <w:sz w:val="23"/>
        </w:rPr>
        <w:t> </w:t>
      </w:r>
      <w:r>
        <w:rPr>
          <w:sz w:val="23"/>
        </w:rPr>
        <w:t>(C.D.C.A.</w:t>
      </w:r>
    </w:p>
    <w:p>
      <w:pPr>
        <w:pStyle w:val="BodyText"/>
        <w:tabs>
          <w:tab w:pos="639" w:val="left" w:leader="none"/>
        </w:tabs>
        <w:spacing w:before="117"/>
        <w:ind w:left="231"/>
      </w:pPr>
      <w:r>
        <w:rPr>
          <w:position w:val="-7"/>
          <w:sz w:val="24"/>
        </w:rPr>
        <w:t>6</w:t>
        <w:tab/>
      </w:r>
      <w:r>
        <w:rPr/>
        <w:t>February 6, 2007) (attached as Exhibit E to Doc. 2092), for example, the government expert</w:t>
      </w:r>
      <w:r>
        <w:rPr>
          <w:spacing w:val="-20"/>
        </w:rPr>
        <w:t> </w:t>
      </w:r>
      <w:r>
        <w:rPr/>
        <w:t>had</w:t>
      </w:r>
    </w:p>
    <w:p>
      <w:pPr>
        <w:pStyle w:val="ListParagraph"/>
        <w:numPr>
          <w:ilvl w:val="0"/>
          <w:numId w:val="13"/>
        </w:numPr>
        <w:tabs>
          <w:tab w:pos="639" w:val="left" w:leader="none"/>
          <w:tab w:pos="640" w:val="left" w:leader="none"/>
        </w:tabs>
        <w:spacing w:line="240" w:lineRule="auto" w:before="109" w:after="0"/>
        <w:ind w:left="640" w:right="0" w:hanging="408"/>
        <w:jc w:val="left"/>
        <w:rPr>
          <w:sz w:val="23"/>
        </w:rPr>
      </w:pPr>
      <w:r>
        <w:rPr>
          <w:sz w:val="23"/>
        </w:rPr>
        <w:t>already testified in the separate trial of two co-defendants. Thus, the parties and the Court had</w:t>
      </w:r>
      <w:r>
        <w:rPr>
          <w:spacing w:val="-26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13"/>
        </w:numPr>
        <w:tabs>
          <w:tab w:pos="639" w:val="left" w:leader="none"/>
          <w:tab w:pos="640" w:val="left" w:leader="none"/>
        </w:tabs>
        <w:spacing w:line="240" w:lineRule="auto" w:before="87" w:after="0"/>
        <w:ind w:left="640" w:right="0" w:hanging="408"/>
        <w:jc w:val="left"/>
        <w:rPr>
          <w:sz w:val="23"/>
        </w:rPr>
      </w:pPr>
      <w:r>
        <w:rPr>
          <w:sz w:val="23"/>
        </w:rPr>
        <w:t>benefit of knowing the expert’s opinions and the bases thereof, and could use the prior</w:t>
      </w:r>
      <w:r>
        <w:rPr>
          <w:spacing w:val="-24"/>
          <w:sz w:val="23"/>
        </w:rPr>
        <w:t> </w:t>
      </w:r>
      <w:r>
        <w:rPr>
          <w:sz w:val="23"/>
        </w:rPr>
        <w:t>testimony</w:t>
      </w:r>
    </w:p>
    <w:p>
      <w:pPr>
        <w:pStyle w:val="ListParagraph"/>
        <w:numPr>
          <w:ilvl w:val="0"/>
          <w:numId w:val="13"/>
        </w:numPr>
        <w:tabs>
          <w:tab w:pos="639" w:val="left" w:leader="none"/>
          <w:tab w:pos="640" w:val="left" w:leader="none"/>
        </w:tabs>
        <w:spacing w:line="240" w:lineRule="auto" w:before="70" w:after="0"/>
        <w:ind w:left="640" w:right="0" w:hanging="408"/>
        <w:jc w:val="left"/>
        <w:rPr>
          <w:sz w:val="23"/>
        </w:rPr>
      </w:pPr>
      <w:r>
        <w:rPr>
          <w:sz w:val="23"/>
        </w:rPr>
        <w:t>“to define generally what testimony will and will not be admissible in this trial.” (See Order at 3.)</w:t>
      </w:r>
      <w:r>
        <w:rPr>
          <w:spacing w:val="-41"/>
          <w:sz w:val="23"/>
        </w:rPr>
        <w:t> </w:t>
      </w:r>
      <w:hyperlink w:history="true" w:anchor="_bookmark5">
        <w:r>
          <w:rPr>
            <w:sz w:val="23"/>
            <w:vertAlign w:val="superscript"/>
          </w:rPr>
          <w:t>6</w:t>
        </w:r>
      </w:hyperlink>
    </w:p>
    <w:p>
      <w:pPr>
        <w:pStyle w:val="Heading1"/>
        <w:spacing w:before="194"/>
        <w:rPr>
          <w:rFonts w:ascii="Times New Roman"/>
        </w:rPr>
      </w:pPr>
      <w:r>
        <w:rPr>
          <w:rFonts w:ascii="Times New Roman"/>
        </w:rPr>
        <w:t>10</w:t>
      </w:r>
    </w:p>
    <w:p>
      <w:pPr>
        <w:pStyle w:val="ListParagraph"/>
        <w:numPr>
          <w:ilvl w:val="0"/>
          <w:numId w:val="14"/>
        </w:numPr>
        <w:tabs>
          <w:tab w:pos="1359" w:val="left" w:leader="none"/>
          <w:tab w:pos="1360" w:val="left" w:leader="none"/>
        </w:tabs>
        <w:spacing w:line="240" w:lineRule="auto" w:before="198" w:after="0"/>
        <w:ind w:left="639" w:right="335" w:hanging="527"/>
        <w:jc w:val="left"/>
        <w:rPr>
          <w:sz w:val="23"/>
        </w:rPr>
      </w:pPr>
      <w:r>
        <w:rPr/>
        <w:tab/>
      </w:r>
      <w:bookmarkStart w:name="_bookmark4" w:id="8"/>
      <w:bookmarkEnd w:id="8"/>
      <w:r>
        <w:rPr/>
      </w:r>
      <w:bookmarkStart w:name="_bookmark4" w:id="9"/>
      <w:bookmarkEnd w:id="9"/>
      <w:r>
        <w:rPr>
          <w:position w:val="10"/>
          <w:sz w:val="14"/>
        </w:rPr>
        <w:t>5</w:t>
      </w:r>
      <w:r>
        <w:rPr>
          <w:position w:val="10"/>
          <w:sz w:val="14"/>
        </w:rPr>
        <w:t> </w:t>
      </w:r>
      <w:r>
        <w:rPr>
          <w:sz w:val="23"/>
        </w:rPr>
        <w:t>In its June 8, 2010 Order, the Court directly addressed many of these cases and concluded they were not controlling. For example, the Court noted that the </w:t>
      </w:r>
      <w:r>
        <w:rPr>
          <w:sz w:val="23"/>
          <w:u w:val="single"/>
        </w:rPr>
        <w:t>unpublished</w:t>
      </w:r>
      <w:r>
        <w:rPr>
          <w:sz w:val="23"/>
        </w:rPr>
        <w:t> Ninth Circuit</w:t>
      </w:r>
      <w:r>
        <w:rPr>
          <w:spacing w:val="-27"/>
          <w:sz w:val="23"/>
        </w:rPr>
        <w:t> </w:t>
      </w:r>
      <w:r>
        <w:rPr>
          <w:sz w:val="23"/>
        </w:rPr>
        <w:t>case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63" w:lineRule="exact" w:before="0" w:after="0"/>
        <w:ind w:left="640" w:right="0" w:hanging="528"/>
        <w:jc w:val="left"/>
        <w:rPr>
          <w:sz w:val="23"/>
        </w:rPr>
      </w:pPr>
      <w:r>
        <w:rPr>
          <w:i/>
          <w:sz w:val="23"/>
        </w:rPr>
        <w:t>United States v. Chong</w:t>
      </w:r>
      <w:r>
        <w:rPr>
          <w:sz w:val="23"/>
        </w:rPr>
        <w:t>, 2005 WL 3989495 at *2 (9th Cir. Aug. 18, 2005) did not reach</w:t>
      </w:r>
      <w:r>
        <w:rPr>
          <w:spacing w:val="-14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163" w:lineRule="auto" w:before="33" w:after="0"/>
        <w:ind w:left="640" w:right="455" w:hanging="528"/>
        <w:jc w:val="left"/>
        <w:rPr>
          <w:sz w:val="23"/>
        </w:rPr>
      </w:pPr>
      <w:r>
        <w:rPr>
          <w:sz w:val="23"/>
        </w:rPr>
        <w:t>evidentiary issue presented here and was not a RICO prosecution. Similarly, the Court found two Northern District cases non-dispositive: </w:t>
      </w:r>
      <w:r>
        <w:rPr>
          <w:i/>
          <w:sz w:val="23"/>
        </w:rPr>
        <w:t>United States v. Cyrus</w:t>
      </w:r>
      <w:r>
        <w:rPr>
          <w:sz w:val="23"/>
        </w:rPr>
        <w:t>, 05-CR-0324-MMC</w:t>
      </w:r>
      <w:r>
        <w:rPr>
          <w:spacing w:val="-21"/>
          <w:sz w:val="23"/>
        </w:rPr>
        <w:t> </w:t>
      </w:r>
      <w:r>
        <w:rPr>
          <w:sz w:val="23"/>
        </w:rPr>
        <w:t>(N.D.C.A.</w:t>
      </w:r>
    </w:p>
    <w:p>
      <w:pPr>
        <w:pStyle w:val="BodyText"/>
        <w:tabs>
          <w:tab w:pos="640" w:val="left" w:leader="none"/>
        </w:tabs>
        <w:spacing w:line="194" w:lineRule="auto" w:before="50"/>
        <w:ind w:right="483" w:hanging="529"/>
      </w:pPr>
      <w:r>
        <w:rPr>
          <w:position w:val="-5"/>
          <w:sz w:val="24"/>
        </w:rPr>
        <w:t>14</w:t>
        <w:tab/>
      </w:r>
      <w:r>
        <w:rPr/>
        <w:t>March 25-26, 2009 Transcript) (no opinion or explanation as to how the evidence was used in the case-in-chief); </w:t>
      </w:r>
      <w:r>
        <w:rPr>
          <w:i/>
        </w:rPr>
        <w:t>United States v. McIntosh</w:t>
      </w:r>
      <w:r>
        <w:rPr/>
        <w:t>, 2008 WL 4754763 at *1-4 (C.D.C.A. March 14,</w:t>
      </w:r>
      <w:r>
        <w:rPr>
          <w:spacing w:val="-23"/>
        </w:rPr>
        <w:t> </w:t>
      </w:r>
      <w:r>
        <w:rPr/>
        <w:t>2008)</w:t>
      </w:r>
    </w:p>
    <w:p>
      <w:pPr>
        <w:pStyle w:val="BodyText"/>
        <w:tabs>
          <w:tab w:pos="639" w:val="left" w:leader="none"/>
        </w:tabs>
        <w:spacing w:line="232" w:lineRule="auto" w:before="11"/>
        <w:ind w:left="639" w:right="645" w:hanging="528"/>
      </w:pPr>
      <w:r>
        <w:rPr>
          <w:sz w:val="24"/>
        </w:rPr>
        <w:t>15</w:t>
        <w:tab/>
      </w:r>
      <w:r>
        <w:rPr/>
        <w:t>(after conducting a </w:t>
      </w:r>
      <w:r>
        <w:rPr>
          <w:i/>
        </w:rPr>
        <w:t>Daubert </w:t>
      </w:r>
      <w:r>
        <w:rPr/>
        <w:t>hearing, the Court allowed gang expert testimony only for</w:t>
      </w:r>
      <w:r>
        <w:rPr>
          <w:spacing w:val="-32"/>
        </w:rPr>
        <w:t> </w:t>
      </w:r>
      <w:r>
        <w:rPr/>
        <w:t>opinions shown to be supported by facts and a reliable methodology). The Court further dispensed</w:t>
      </w:r>
      <w:r>
        <w:rPr>
          <w:spacing w:val="-20"/>
        </w:rPr>
        <w:t> </w:t>
      </w:r>
      <w:r>
        <w:rPr/>
        <w:t>with</w:t>
      </w:r>
    </w:p>
    <w:p>
      <w:pPr>
        <w:tabs>
          <w:tab w:pos="639" w:val="left" w:leader="none"/>
        </w:tabs>
        <w:spacing w:line="266" w:lineRule="exact" w:before="0"/>
        <w:ind w:left="111" w:right="0" w:firstLine="0"/>
        <w:jc w:val="left"/>
        <w:rPr>
          <w:sz w:val="22"/>
        </w:rPr>
      </w:pPr>
      <w:r>
        <w:rPr>
          <w:position w:val="5"/>
          <w:sz w:val="24"/>
        </w:rPr>
        <w:t>16</w:t>
        <w:tab/>
      </w:r>
      <w:r>
        <w:rPr>
          <w:i/>
          <w:sz w:val="23"/>
        </w:rPr>
        <w:t>United States v. Locascio</w:t>
      </w:r>
      <w:r>
        <w:rPr>
          <w:sz w:val="23"/>
        </w:rPr>
        <w:t>, 6 F.3d 924, 936 (2d Cir. 1993). (Doc. 1821 at</w:t>
      </w:r>
      <w:r>
        <w:rPr>
          <w:spacing w:val="-10"/>
          <w:sz w:val="23"/>
        </w:rPr>
        <w:t> </w:t>
      </w:r>
      <w:r>
        <w:rPr>
          <w:sz w:val="23"/>
        </w:rPr>
        <w:t>11-12)</w:t>
      </w:r>
      <w:r>
        <w:rPr>
          <w:sz w:val="22"/>
        </w:rPr>
        <w:t>.</w:t>
      </w:r>
    </w:p>
    <w:p>
      <w:pPr>
        <w:pStyle w:val="BodyText"/>
        <w:spacing w:line="205" w:lineRule="exact" w:before="2"/>
        <w:ind w:left="1360"/>
      </w:pPr>
      <w:r>
        <w:rPr/>
        <w:t>The remainder of the cases -- while not explicitly addressed in the order – were,</w:t>
      </w:r>
    </w:p>
    <w:p>
      <w:pPr>
        <w:pStyle w:val="ListParagraph"/>
        <w:numPr>
          <w:ilvl w:val="0"/>
          <w:numId w:val="15"/>
        </w:numPr>
        <w:tabs>
          <w:tab w:pos="639" w:val="left" w:leader="none"/>
          <w:tab w:pos="641" w:val="left" w:leader="none"/>
        </w:tabs>
        <w:spacing w:line="324" w:lineRule="exact" w:before="0" w:after="0"/>
        <w:ind w:left="640" w:right="0" w:hanging="528"/>
        <w:jc w:val="left"/>
        <w:rPr>
          <w:i/>
          <w:sz w:val="23"/>
        </w:rPr>
      </w:pPr>
      <w:r>
        <w:rPr>
          <w:sz w:val="23"/>
        </w:rPr>
        <w:t>nonetheless, presented to the Court prior to the June 8, 2010 order. See, e.g., </w:t>
      </w:r>
      <w:r>
        <w:rPr>
          <w:i/>
          <w:sz w:val="23"/>
        </w:rPr>
        <w:t>United States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v.</w:t>
      </w:r>
    </w:p>
    <w:p>
      <w:pPr>
        <w:pStyle w:val="ListParagraph"/>
        <w:numPr>
          <w:ilvl w:val="0"/>
          <w:numId w:val="15"/>
        </w:numPr>
        <w:tabs>
          <w:tab w:pos="640" w:val="left" w:leader="none"/>
          <w:tab w:pos="641" w:val="left" w:leader="none"/>
        </w:tabs>
        <w:spacing w:line="177" w:lineRule="auto" w:before="34" w:after="0"/>
        <w:ind w:left="640" w:right="243" w:hanging="528"/>
        <w:jc w:val="left"/>
        <w:rPr>
          <w:sz w:val="23"/>
        </w:rPr>
      </w:pPr>
      <w:r>
        <w:rPr>
          <w:i/>
          <w:sz w:val="23"/>
        </w:rPr>
        <w:t>Freeman</w:t>
      </w:r>
      <w:r>
        <w:rPr>
          <w:sz w:val="23"/>
        </w:rPr>
        <w:t>, 498 F.3d 893, 901 (9th Cir. 2007) (presented by the government at Doc. 1752 at 8; see also Montoya brief, Doc. 2580 at 8, noting that </w:t>
      </w:r>
      <w:r>
        <w:rPr>
          <w:i/>
          <w:sz w:val="23"/>
        </w:rPr>
        <w:t>Freeman </w:t>
      </w:r>
      <w:r>
        <w:rPr>
          <w:sz w:val="23"/>
        </w:rPr>
        <w:t>warns that a government agent who acts</w:t>
      </w:r>
      <w:r>
        <w:rPr>
          <w:spacing w:val="-28"/>
          <w:sz w:val="23"/>
        </w:rPr>
        <w:t> </w:t>
      </w:r>
      <w:r>
        <w:rPr>
          <w:sz w:val="23"/>
        </w:rPr>
        <w:t>as</w:t>
      </w:r>
    </w:p>
    <w:p>
      <w:pPr>
        <w:pStyle w:val="ListParagraph"/>
        <w:numPr>
          <w:ilvl w:val="0"/>
          <w:numId w:val="15"/>
        </w:numPr>
        <w:tabs>
          <w:tab w:pos="640" w:val="left" w:leader="none"/>
          <w:tab w:pos="641" w:val="left" w:leader="none"/>
        </w:tabs>
        <w:spacing w:line="216" w:lineRule="auto" w:before="32" w:after="0"/>
        <w:ind w:left="640" w:right="437" w:hanging="528"/>
        <w:jc w:val="left"/>
        <w:rPr>
          <w:sz w:val="23"/>
        </w:rPr>
      </w:pPr>
      <w:r>
        <w:rPr>
          <w:sz w:val="23"/>
        </w:rPr>
        <w:t>both fact and expert witness “receives ‘unmerited credibility’ for lay testimony”); </w:t>
      </w:r>
      <w:r>
        <w:rPr>
          <w:i/>
          <w:sz w:val="23"/>
        </w:rPr>
        <w:t>United States v. </w:t>
      </w:r>
      <w:r>
        <w:rPr>
          <w:i/>
          <w:sz w:val="23"/>
        </w:rPr>
        <w:t>Matera</w:t>
      </w:r>
      <w:r>
        <w:rPr>
          <w:sz w:val="23"/>
        </w:rPr>
        <w:t>, 489 F.3d 115 (2d Cir. 2007) (presented by the government at Doc. 1731 at 7, and later</w:t>
      </w:r>
      <w:r>
        <w:rPr>
          <w:spacing w:val="-25"/>
          <w:sz w:val="23"/>
        </w:rPr>
        <w:t> </w:t>
      </w:r>
      <w:r>
        <w:rPr>
          <w:sz w:val="23"/>
        </w:rPr>
        <w:t>at</w:t>
      </w:r>
    </w:p>
    <w:p>
      <w:pPr>
        <w:pStyle w:val="ListParagraph"/>
        <w:numPr>
          <w:ilvl w:val="0"/>
          <w:numId w:val="15"/>
        </w:numPr>
        <w:tabs>
          <w:tab w:pos="640" w:val="left" w:leader="none"/>
          <w:tab w:pos="641" w:val="left" w:leader="none"/>
        </w:tabs>
        <w:spacing w:line="264" w:lineRule="exact" w:before="8" w:after="0"/>
        <w:ind w:left="640" w:right="407" w:hanging="528"/>
        <w:jc w:val="left"/>
        <w:rPr>
          <w:sz w:val="23"/>
        </w:rPr>
      </w:pPr>
      <w:r>
        <w:rPr>
          <w:sz w:val="23"/>
        </w:rPr>
        <w:t>Doc. 2090 at 15); </w:t>
      </w:r>
      <w:r>
        <w:rPr>
          <w:i/>
          <w:sz w:val="23"/>
        </w:rPr>
        <w:t>United States v. Amuso</w:t>
      </w:r>
      <w:r>
        <w:rPr>
          <w:sz w:val="23"/>
        </w:rPr>
        <w:t>, 21 F.3d 1251, 1263-64 (2d Cir. 1994) (presented by the government at Doc. 1731 at 7, and later at Doc. 2090 at 15; see also Guillermo Herrera brief,</w:t>
      </w:r>
      <w:r>
        <w:rPr>
          <w:spacing w:val="-37"/>
          <w:sz w:val="23"/>
        </w:rPr>
        <w:t> </w:t>
      </w:r>
      <w:r>
        <w:rPr>
          <w:sz w:val="23"/>
        </w:rPr>
        <w:t>Doc.</w:t>
      </w:r>
    </w:p>
    <w:p>
      <w:pPr>
        <w:pStyle w:val="ListParagraph"/>
        <w:numPr>
          <w:ilvl w:val="0"/>
          <w:numId w:val="15"/>
        </w:numPr>
        <w:tabs>
          <w:tab w:pos="640" w:val="left" w:leader="none"/>
          <w:tab w:pos="641" w:val="left" w:leader="none"/>
        </w:tabs>
        <w:spacing w:line="261" w:lineRule="exact" w:before="0" w:after="0"/>
        <w:ind w:left="640" w:right="0" w:hanging="528"/>
        <w:jc w:val="left"/>
        <w:rPr>
          <w:sz w:val="23"/>
        </w:rPr>
      </w:pPr>
      <w:r>
        <w:rPr>
          <w:sz w:val="23"/>
        </w:rPr>
        <w:t>1751 at 6-7, noting that reliance on </w:t>
      </w:r>
      <w:r>
        <w:rPr>
          <w:i/>
          <w:sz w:val="23"/>
        </w:rPr>
        <w:t>Amuso </w:t>
      </w:r>
      <w:r>
        <w:rPr>
          <w:sz w:val="23"/>
        </w:rPr>
        <w:t>is misplaced as the court explicitly condemned</w:t>
      </w:r>
      <w:r>
        <w:rPr>
          <w:spacing w:val="-21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15"/>
        </w:numPr>
        <w:tabs>
          <w:tab w:pos="640" w:val="left" w:leader="none"/>
          <w:tab w:pos="641" w:val="left" w:leader="none"/>
        </w:tabs>
        <w:spacing w:line="153" w:lineRule="auto" w:before="36" w:after="0"/>
        <w:ind w:left="640" w:right="0" w:hanging="528"/>
        <w:jc w:val="left"/>
        <w:rPr>
          <w:sz w:val="23"/>
        </w:rPr>
      </w:pPr>
      <w:r>
        <w:rPr>
          <w:sz w:val="23"/>
        </w:rPr>
        <w:t>admission of police expert testimony that is cumulative of testimony supplied by fact</w:t>
      </w:r>
      <w:r>
        <w:rPr>
          <w:spacing w:val="-28"/>
          <w:sz w:val="23"/>
        </w:rPr>
        <w:t> </w:t>
      </w:r>
      <w:r>
        <w:rPr>
          <w:sz w:val="23"/>
        </w:rPr>
        <w:t>witnesses).</w:t>
      </w:r>
    </w:p>
    <w:p>
      <w:pPr>
        <w:spacing w:line="192" w:lineRule="exact" w:before="0"/>
        <w:ind w:left="1360" w:right="0" w:firstLine="0"/>
        <w:jc w:val="left"/>
        <w:rPr>
          <w:sz w:val="22"/>
        </w:rPr>
      </w:pPr>
      <w:r>
        <w:rPr>
          <w:sz w:val="22"/>
        </w:rPr>
        <w:t>See also, United States v. Willock, 696 F.Supp.2d 536, 548 (D. Md. 2010) (presented at Doc.</w:t>
      </w:r>
    </w:p>
    <w:p>
      <w:pPr>
        <w:pStyle w:val="ListParagraph"/>
        <w:numPr>
          <w:ilvl w:val="0"/>
          <w:numId w:val="15"/>
        </w:numPr>
        <w:tabs>
          <w:tab w:pos="639" w:val="left" w:leader="none"/>
          <w:tab w:pos="640" w:val="left" w:leader="none"/>
        </w:tabs>
        <w:spacing w:line="180" w:lineRule="auto" w:before="35" w:after="0"/>
        <w:ind w:left="639" w:right="420" w:hanging="527"/>
        <w:jc w:val="left"/>
        <w:rPr>
          <w:sz w:val="22"/>
        </w:rPr>
      </w:pPr>
      <w:r>
        <w:rPr>
          <w:sz w:val="22"/>
        </w:rPr>
        <w:t>1731 at 4 and Doc. 1758 at 5, and later at Doc. 2090 at 14); United States v. Prisco, 08-CR-885 (NRB) (S.D.N.Y. April 14, 2009) (presented at Doc. 1758 at 5, and later at Doc. 2090 at 15); United States</w:t>
      </w:r>
      <w:r>
        <w:rPr>
          <w:spacing w:val="-28"/>
          <w:sz w:val="22"/>
        </w:rPr>
        <w:t> </w:t>
      </w:r>
      <w:r>
        <w:rPr>
          <w:sz w:val="22"/>
        </w:rPr>
        <w:t>v.</w:t>
      </w:r>
    </w:p>
    <w:p>
      <w:pPr>
        <w:pStyle w:val="ListParagraph"/>
        <w:numPr>
          <w:ilvl w:val="0"/>
          <w:numId w:val="15"/>
        </w:numPr>
        <w:tabs>
          <w:tab w:pos="639" w:val="left" w:leader="none"/>
          <w:tab w:pos="640" w:val="left" w:leader="none"/>
        </w:tabs>
        <w:spacing w:line="196" w:lineRule="auto" w:before="44" w:after="0"/>
        <w:ind w:left="639" w:right="609" w:hanging="527"/>
        <w:jc w:val="left"/>
        <w:rPr>
          <w:sz w:val="22"/>
        </w:rPr>
      </w:pPr>
      <w:r>
        <w:rPr>
          <w:sz w:val="22"/>
        </w:rPr>
        <w:t>Umana, 2010 WL 1439111, at *1-2 (W.D.N.C. April 9, 2010) (presented at Doc. 1731 at 4 and Doc. 1758 at 5, and later at Doc. 2090 at 5, 7, 14); United States v. Uvino, 07-CR-725-JBW</w:t>
      </w:r>
      <w:r>
        <w:rPr>
          <w:spacing w:val="-16"/>
          <w:sz w:val="22"/>
        </w:rPr>
        <w:t> </w:t>
      </w:r>
      <w:r>
        <w:rPr>
          <w:sz w:val="22"/>
        </w:rPr>
        <w:t>(E.D.N.Y.</w:t>
      </w:r>
    </w:p>
    <w:p>
      <w:pPr>
        <w:tabs>
          <w:tab w:pos="639" w:val="left" w:leader="none"/>
        </w:tabs>
        <w:spacing w:before="1"/>
        <w:ind w:left="111" w:right="0" w:firstLine="0"/>
        <w:jc w:val="left"/>
        <w:rPr>
          <w:sz w:val="22"/>
        </w:rPr>
      </w:pPr>
      <w:r>
        <w:rPr>
          <w:sz w:val="24"/>
        </w:rPr>
        <w:t>25</w:t>
        <w:tab/>
      </w:r>
      <w:r>
        <w:rPr>
          <w:position w:val="1"/>
          <w:sz w:val="22"/>
        </w:rPr>
        <w:t>December 3, 2008) (presented at Doc. 1758 at 6, and later at Doc. 2090 at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15).</w:t>
      </w:r>
    </w:p>
    <w:p>
      <w:pPr>
        <w:pStyle w:val="ListParagraph"/>
        <w:numPr>
          <w:ilvl w:val="0"/>
          <w:numId w:val="16"/>
        </w:numPr>
        <w:tabs>
          <w:tab w:pos="1359" w:val="left" w:leader="none"/>
          <w:tab w:pos="1360" w:val="left" w:leader="none"/>
        </w:tabs>
        <w:spacing w:line="240" w:lineRule="auto" w:before="195" w:after="0"/>
        <w:ind w:left="639" w:right="366" w:hanging="527"/>
        <w:jc w:val="left"/>
        <w:rPr>
          <w:sz w:val="23"/>
        </w:rPr>
      </w:pPr>
      <w:r>
        <w:rPr/>
        <w:tab/>
      </w:r>
      <w:bookmarkStart w:name="_bookmark5" w:id="10"/>
      <w:bookmarkEnd w:id="10"/>
      <w:r>
        <w:rPr/>
      </w:r>
      <w:bookmarkStart w:name="_bookmark5" w:id="11"/>
      <w:bookmarkEnd w:id="11"/>
      <w:r>
        <w:rPr>
          <w:position w:val="10"/>
          <w:sz w:val="14"/>
        </w:rPr>
        <w:t>6</w:t>
      </w:r>
      <w:r>
        <w:rPr>
          <w:position w:val="10"/>
          <w:sz w:val="14"/>
        </w:rPr>
        <w:t> </w:t>
      </w:r>
      <w:r>
        <w:rPr>
          <w:sz w:val="23"/>
        </w:rPr>
        <w:t>Likewise, in </w:t>
      </w:r>
      <w:r>
        <w:rPr>
          <w:i/>
          <w:sz w:val="23"/>
        </w:rPr>
        <w:t>United States v. Alfaro</w:t>
      </w:r>
      <w:r>
        <w:rPr>
          <w:sz w:val="23"/>
        </w:rPr>
        <w:t>, 09-CR-466-R (C.D.C.A. May 13, 2010) (attached as Exhibit H to Doc. 2092), the order states only that the Court found the expert qualified to</w:t>
      </w:r>
      <w:r>
        <w:rPr>
          <w:spacing w:val="-21"/>
          <w:sz w:val="23"/>
        </w:rPr>
        <w:t> </w:t>
      </w:r>
      <w:r>
        <w:rPr>
          <w:sz w:val="23"/>
        </w:rPr>
        <w:t>testify</w:t>
      </w:r>
    </w:p>
    <w:p>
      <w:pPr>
        <w:pStyle w:val="ListParagraph"/>
        <w:numPr>
          <w:ilvl w:val="0"/>
          <w:numId w:val="16"/>
        </w:numPr>
        <w:tabs>
          <w:tab w:pos="639" w:val="left" w:leader="none"/>
          <w:tab w:pos="640" w:val="left" w:leader="none"/>
        </w:tabs>
        <w:spacing w:line="264" w:lineRule="exact" w:before="0" w:after="0"/>
        <w:ind w:left="639" w:right="0" w:hanging="527"/>
        <w:jc w:val="left"/>
        <w:rPr>
          <w:sz w:val="23"/>
        </w:rPr>
      </w:pPr>
      <w:r>
        <w:rPr>
          <w:sz w:val="23"/>
        </w:rPr>
        <w:t>following an evidentiary hearing “for reasons as stated on the record,” but does not describe</w:t>
      </w:r>
      <w:r>
        <w:rPr>
          <w:spacing w:val="-26"/>
          <w:sz w:val="23"/>
        </w:rPr>
        <w:t> </w:t>
      </w:r>
      <w:r>
        <w:rPr>
          <w:sz w:val="23"/>
        </w:rPr>
        <w:t>what</w:t>
      </w:r>
    </w:p>
    <w:p>
      <w:pPr>
        <w:pStyle w:val="ListParagraph"/>
        <w:numPr>
          <w:ilvl w:val="0"/>
          <w:numId w:val="16"/>
        </w:numPr>
        <w:tabs>
          <w:tab w:pos="639" w:val="left" w:leader="none"/>
          <w:tab w:pos="640" w:val="left" w:leader="none"/>
        </w:tabs>
        <w:spacing w:line="172" w:lineRule="auto" w:before="36" w:after="0"/>
        <w:ind w:left="639" w:right="860" w:hanging="527"/>
        <w:jc w:val="left"/>
        <w:rPr>
          <w:sz w:val="23"/>
        </w:rPr>
      </w:pPr>
      <w:r>
        <w:rPr>
          <w:sz w:val="23"/>
        </w:rPr>
        <w:t>those reasons were. Such an order does not support an assertion that unspecified, un-tethered “training and experience” sufficed in that case, or that it should suffice</w:t>
      </w:r>
      <w:r>
        <w:rPr>
          <w:spacing w:val="-16"/>
          <w:sz w:val="23"/>
        </w:rPr>
        <w:t> </w:t>
      </w:r>
      <w:r>
        <w:rPr>
          <w:sz w:val="23"/>
        </w:rPr>
        <w:t>here.</w:t>
      </w:r>
    </w:p>
    <w:p>
      <w:pPr>
        <w:spacing w:after="0" w:line="172" w:lineRule="auto"/>
        <w:jc w:val="left"/>
        <w:rPr>
          <w:sz w:val="23"/>
        </w:rPr>
        <w:sectPr>
          <w:pgSz w:w="12240" w:h="15840"/>
          <w:pgMar w:header="0" w:footer="787" w:top="0" w:bottom="980" w:left="1520" w:right="62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100.425003pt;margin-top:0pt;width:4.350pt;height:792pt;mso-position-horizontal-relative:page;mso-position-vertical-relative:page;z-index:-15544" coordorigin="2009,0" coordsize="87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08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Heading1"/>
        <w:spacing w:before="92"/>
        <w:ind w:left="767"/>
      </w:pPr>
      <w:r>
        <w:rPr>
          <w:color w:val="0000FF"/>
        </w:rPr>
        <w:t>Case3:08-cr-00730-WHA Document2641 Filed11/19/10 Page8 of 10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2"/>
        <w:ind w:left="0"/>
        <w:rPr>
          <w:rFonts w:ascii="Arial"/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1359" w:val="left" w:leader="none"/>
          <w:tab w:pos="1360" w:val="left" w:leader="none"/>
        </w:tabs>
        <w:spacing w:line="240" w:lineRule="auto" w:before="91" w:after="0"/>
        <w:ind w:left="1360" w:right="0" w:hanging="1128"/>
        <w:jc w:val="left"/>
        <w:rPr>
          <w:sz w:val="23"/>
        </w:rPr>
      </w:pPr>
      <w:r>
        <w:rPr>
          <w:position w:val="1"/>
          <w:sz w:val="23"/>
        </w:rPr>
        <w:t>Finally, with regard to the retrials of the </w:t>
      </w:r>
      <w:r>
        <w:rPr>
          <w:i/>
          <w:position w:val="1"/>
          <w:sz w:val="23"/>
        </w:rPr>
        <w:t>Mejia </w:t>
      </w:r>
      <w:r>
        <w:rPr>
          <w:position w:val="1"/>
          <w:sz w:val="23"/>
        </w:rPr>
        <w:t>defendants, the government cites</w:t>
      </w:r>
      <w:r>
        <w:rPr>
          <w:spacing w:val="-23"/>
          <w:position w:val="1"/>
          <w:sz w:val="23"/>
        </w:rPr>
        <w:t> </w:t>
      </w:r>
      <w:r>
        <w:rPr>
          <w:position w:val="1"/>
          <w:sz w:val="23"/>
        </w:rPr>
        <w:t>several</w:t>
      </w:r>
    </w:p>
    <w:p>
      <w:pPr>
        <w:pStyle w:val="ListParagraph"/>
        <w:numPr>
          <w:ilvl w:val="1"/>
          <w:numId w:val="16"/>
        </w:numPr>
        <w:tabs>
          <w:tab w:pos="639" w:val="left" w:leader="none"/>
          <w:tab w:pos="640" w:val="left" w:leader="none"/>
        </w:tabs>
        <w:spacing w:line="240" w:lineRule="auto" w:before="179" w:after="0"/>
        <w:ind w:left="640" w:right="0" w:hanging="408"/>
        <w:jc w:val="left"/>
        <w:rPr>
          <w:sz w:val="23"/>
        </w:rPr>
      </w:pPr>
      <w:r>
        <w:rPr>
          <w:sz w:val="23"/>
        </w:rPr>
        <w:t>district court rulings from the Eastern District of New York. The first, </w:t>
      </w:r>
      <w:r>
        <w:rPr>
          <w:i/>
          <w:sz w:val="23"/>
        </w:rPr>
        <w:t>United States v.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Vasquez</w:t>
      </w:r>
      <w:r>
        <w:rPr>
          <w:sz w:val="23"/>
        </w:rPr>
        <w:t>,</w:t>
      </w:r>
    </w:p>
    <w:p>
      <w:pPr>
        <w:pStyle w:val="ListParagraph"/>
        <w:numPr>
          <w:ilvl w:val="1"/>
          <w:numId w:val="16"/>
        </w:numPr>
        <w:tabs>
          <w:tab w:pos="639" w:val="left" w:leader="none"/>
          <w:tab w:pos="640" w:val="left" w:leader="none"/>
        </w:tabs>
        <w:spacing w:line="240" w:lineRule="auto" w:before="167" w:after="0"/>
        <w:ind w:left="640" w:right="0" w:hanging="408"/>
        <w:jc w:val="left"/>
        <w:rPr>
          <w:sz w:val="23"/>
        </w:rPr>
      </w:pPr>
      <w:r>
        <w:rPr>
          <w:sz w:val="23"/>
        </w:rPr>
        <w:t>03-CR-851-ADS (E.D.N.Y. May 20, 2009) (attached as Exhibit D to Doc. 2092), did not find</w:t>
      </w:r>
      <w:r>
        <w:rPr>
          <w:spacing w:val="-16"/>
          <w:sz w:val="23"/>
        </w:rPr>
        <w:t> </w:t>
      </w:r>
      <w:r>
        <w:rPr>
          <w:sz w:val="23"/>
        </w:rPr>
        <w:t>that</w:t>
      </w:r>
    </w:p>
    <w:p>
      <w:pPr>
        <w:pStyle w:val="ListParagraph"/>
        <w:numPr>
          <w:ilvl w:val="1"/>
          <w:numId w:val="16"/>
        </w:numPr>
        <w:tabs>
          <w:tab w:pos="639" w:val="left" w:leader="none"/>
          <w:tab w:pos="640" w:val="left" w:leader="none"/>
        </w:tabs>
        <w:spacing w:line="240" w:lineRule="auto" w:before="150" w:after="0"/>
        <w:ind w:left="640" w:right="0" w:hanging="408"/>
        <w:jc w:val="left"/>
        <w:rPr>
          <w:sz w:val="23"/>
        </w:rPr>
      </w:pPr>
      <w:r>
        <w:rPr>
          <w:sz w:val="23"/>
        </w:rPr>
        <w:t>based on the government’s generalized descriptions of “training and experience,” the</w:t>
      </w:r>
      <w:r>
        <w:rPr>
          <w:spacing w:val="-21"/>
          <w:sz w:val="23"/>
        </w:rPr>
        <w:t> </w:t>
      </w:r>
      <w:r>
        <w:rPr>
          <w:sz w:val="23"/>
        </w:rPr>
        <w:t>proposed</w:t>
      </w:r>
    </w:p>
    <w:p>
      <w:pPr>
        <w:pStyle w:val="ListParagraph"/>
        <w:numPr>
          <w:ilvl w:val="1"/>
          <w:numId w:val="16"/>
        </w:numPr>
        <w:tabs>
          <w:tab w:pos="639" w:val="left" w:leader="none"/>
          <w:tab w:pos="640" w:val="left" w:leader="none"/>
        </w:tabs>
        <w:spacing w:line="240" w:lineRule="auto" w:before="129" w:after="0"/>
        <w:ind w:left="640" w:right="0" w:hanging="408"/>
        <w:jc w:val="left"/>
        <w:rPr>
          <w:sz w:val="23"/>
        </w:rPr>
      </w:pPr>
      <w:r>
        <w:rPr>
          <w:sz w:val="23"/>
        </w:rPr>
        <w:t>gang-expert evidence was admissible at trial. Rather, the district court held only that</w:t>
      </w:r>
      <w:r>
        <w:rPr>
          <w:spacing w:val="-19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1"/>
          <w:numId w:val="16"/>
        </w:numPr>
        <w:tabs>
          <w:tab w:pos="639" w:val="left" w:leader="none"/>
          <w:tab w:pos="640" w:val="left" w:leader="none"/>
        </w:tabs>
        <w:spacing w:line="240" w:lineRule="auto" w:before="117" w:after="0"/>
        <w:ind w:left="640" w:right="0" w:hanging="408"/>
        <w:jc w:val="left"/>
        <w:rPr>
          <w:sz w:val="23"/>
        </w:rPr>
      </w:pPr>
      <w:r>
        <w:rPr>
          <w:sz w:val="23"/>
        </w:rPr>
        <w:t>government disclosures were “sufficient to give Castro a fair and adequate opportunity to</w:t>
      </w:r>
      <w:r>
        <w:rPr>
          <w:spacing w:val="-27"/>
          <w:sz w:val="23"/>
        </w:rPr>
        <w:t> </w:t>
      </w:r>
      <w:r>
        <w:rPr>
          <w:sz w:val="23"/>
        </w:rPr>
        <w:t>challenge</w:t>
      </w:r>
    </w:p>
    <w:p>
      <w:pPr>
        <w:pStyle w:val="ListParagraph"/>
        <w:numPr>
          <w:ilvl w:val="1"/>
          <w:numId w:val="16"/>
        </w:numPr>
        <w:tabs>
          <w:tab w:pos="639" w:val="left" w:leader="none"/>
          <w:tab w:pos="640" w:val="left" w:leader="none"/>
        </w:tabs>
        <w:spacing w:line="240" w:lineRule="auto" w:before="109" w:after="0"/>
        <w:ind w:left="640" w:right="0" w:hanging="408"/>
        <w:jc w:val="left"/>
        <w:rPr>
          <w:sz w:val="23"/>
        </w:rPr>
      </w:pPr>
      <w:r>
        <w:rPr>
          <w:sz w:val="23"/>
        </w:rPr>
        <w:t>Tariche’s expert testimony in a </w:t>
      </w:r>
      <w:r>
        <w:rPr>
          <w:i/>
          <w:sz w:val="23"/>
        </w:rPr>
        <w:t>Daubert </w:t>
      </w:r>
      <w:r>
        <w:rPr>
          <w:sz w:val="23"/>
        </w:rPr>
        <w:t>motion. 509 U.S. 579 (1993).” (Order at 14.) Moreover,</w:t>
      </w:r>
      <w:r>
        <w:rPr>
          <w:spacing w:val="-21"/>
          <w:sz w:val="23"/>
        </w:rPr>
        <w:t> </w:t>
      </w:r>
      <w:r>
        <w:rPr>
          <w:sz w:val="23"/>
        </w:rPr>
        <w:t>as</w:t>
      </w:r>
    </w:p>
    <w:p>
      <w:pPr>
        <w:pStyle w:val="ListParagraph"/>
        <w:numPr>
          <w:ilvl w:val="1"/>
          <w:numId w:val="16"/>
        </w:numPr>
        <w:tabs>
          <w:tab w:pos="639" w:val="left" w:leader="none"/>
          <w:tab w:pos="640" w:val="left" w:leader="none"/>
        </w:tabs>
        <w:spacing w:line="240" w:lineRule="auto" w:before="87" w:after="0"/>
        <w:ind w:left="640" w:right="0" w:hanging="408"/>
        <w:jc w:val="left"/>
        <w:rPr>
          <w:sz w:val="23"/>
        </w:rPr>
      </w:pPr>
      <w:r>
        <w:rPr>
          <w:sz w:val="23"/>
        </w:rPr>
        <w:t>the government again failed to mention, the district court later </w:t>
      </w:r>
      <w:r>
        <w:rPr>
          <w:i/>
          <w:sz w:val="23"/>
        </w:rPr>
        <w:t>did </w:t>
      </w:r>
      <w:r>
        <w:rPr>
          <w:sz w:val="23"/>
        </w:rPr>
        <w:t>schedule “a </w:t>
      </w:r>
      <w:r>
        <w:rPr>
          <w:i/>
          <w:sz w:val="23"/>
        </w:rPr>
        <w:t>Daubert </w:t>
      </w:r>
      <w:r>
        <w:rPr>
          <w:sz w:val="23"/>
        </w:rPr>
        <w:t>hearing</w:t>
      </w:r>
      <w:r>
        <w:rPr>
          <w:spacing w:val="-25"/>
          <w:sz w:val="23"/>
        </w:rPr>
        <w:t> </w:t>
      </w:r>
      <w:r>
        <w:rPr>
          <w:sz w:val="23"/>
        </w:rPr>
        <w:t>to</w:t>
      </w:r>
    </w:p>
    <w:p>
      <w:pPr>
        <w:pStyle w:val="ListParagraph"/>
        <w:numPr>
          <w:ilvl w:val="1"/>
          <w:numId w:val="16"/>
        </w:numPr>
        <w:tabs>
          <w:tab w:pos="639" w:val="left" w:leader="none"/>
          <w:tab w:pos="640" w:val="left" w:leader="none"/>
        </w:tabs>
        <w:spacing w:line="240" w:lineRule="auto" w:before="70" w:after="0"/>
        <w:ind w:left="640" w:right="0" w:hanging="408"/>
        <w:jc w:val="left"/>
        <w:rPr>
          <w:sz w:val="23"/>
        </w:rPr>
      </w:pPr>
      <w:r>
        <w:rPr>
          <w:sz w:val="23"/>
        </w:rPr>
        <w:t>address Castro’s concerns with respect to the proposed testimony of Special Agent Tariche.”</w:t>
      </w:r>
      <w:r>
        <w:rPr>
          <w:spacing w:val="-28"/>
          <w:sz w:val="23"/>
        </w:rPr>
        <w:t> </w:t>
      </w:r>
      <w:r>
        <w:rPr>
          <w:sz w:val="23"/>
        </w:rPr>
        <w:t>(See</w:t>
      </w:r>
    </w:p>
    <w:p>
      <w:pPr>
        <w:pStyle w:val="BodyText"/>
        <w:tabs>
          <w:tab w:pos="639" w:val="left" w:leader="none"/>
        </w:tabs>
        <w:spacing w:before="57"/>
        <w:ind w:left="111"/>
      </w:pPr>
      <w:r>
        <w:rPr>
          <w:position w:val="-14"/>
          <w:sz w:val="24"/>
        </w:rPr>
        <w:t>10</w:t>
        <w:tab/>
      </w:r>
      <w:r>
        <w:rPr/>
        <w:t>October 3, 2009 Order at 7, attached as Exhibit A to Doc. 2154.) In the other two cases tried by</w:t>
      </w:r>
      <w:r>
        <w:rPr>
          <w:spacing w:val="-33"/>
        </w:rPr>
        <w:t> </w:t>
      </w:r>
      <w:r>
        <w:rPr/>
        <w:t>the</w:t>
      </w:r>
    </w:p>
    <w:p>
      <w:pPr>
        <w:pStyle w:val="ListParagraph"/>
        <w:numPr>
          <w:ilvl w:val="0"/>
          <w:numId w:val="17"/>
        </w:numPr>
        <w:tabs>
          <w:tab w:pos="639" w:val="left" w:leader="none"/>
          <w:tab w:pos="640" w:val="left" w:leader="none"/>
        </w:tabs>
        <w:spacing w:line="240" w:lineRule="auto" w:before="39" w:after="0"/>
        <w:ind w:left="640" w:right="0" w:hanging="528"/>
        <w:jc w:val="left"/>
        <w:rPr>
          <w:sz w:val="23"/>
        </w:rPr>
      </w:pPr>
      <w:r>
        <w:rPr>
          <w:sz w:val="23"/>
        </w:rPr>
        <w:t>same judicial officer -- </w:t>
      </w:r>
      <w:r>
        <w:rPr>
          <w:i/>
          <w:sz w:val="23"/>
        </w:rPr>
        <w:t>United States v. Rubi-Gonzales</w:t>
      </w:r>
      <w:r>
        <w:rPr>
          <w:sz w:val="23"/>
        </w:rPr>
        <w:t>, 03-CR-851-ADS (E.D.N.Y. July 16,</w:t>
      </w:r>
      <w:r>
        <w:rPr>
          <w:spacing w:val="-18"/>
          <w:sz w:val="23"/>
        </w:rPr>
        <w:t> </w:t>
      </w:r>
      <w:r>
        <w:rPr>
          <w:sz w:val="23"/>
        </w:rPr>
        <w:t>2009)</w:t>
      </w:r>
    </w:p>
    <w:p>
      <w:pPr>
        <w:pStyle w:val="ListParagraph"/>
        <w:numPr>
          <w:ilvl w:val="0"/>
          <w:numId w:val="17"/>
        </w:numPr>
        <w:tabs>
          <w:tab w:pos="639" w:val="left" w:leader="none"/>
          <w:tab w:pos="640" w:val="left" w:leader="none"/>
        </w:tabs>
        <w:spacing w:line="280" w:lineRule="atLeast" w:before="29" w:after="0"/>
        <w:ind w:left="640" w:right="257" w:hanging="528"/>
        <w:jc w:val="left"/>
        <w:rPr>
          <w:sz w:val="23"/>
        </w:rPr>
      </w:pPr>
      <w:r>
        <w:rPr>
          <w:sz w:val="23"/>
        </w:rPr>
        <w:t>at 14, 102-137 (attached as Exhibit K to Doc. 2092) and </w:t>
      </w:r>
      <w:r>
        <w:rPr>
          <w:i/>
          <w:sz w:val="23"/>
        </w:rPr>
        <w:t>United States v. Castro</w:t>
      </w:r>
      <w:r>
        <w:rPr>
          <w:sz w:val="23"/>
        </w:rPr>
        <w:t>, 03-CR-851-ADS (E.D.N.Y. Sept. 29, 2009) at 333, 341-365 (attached as Exhibits L and M to Doc. 2092) -- the</w:t>
      </w:r>
      <w:r>
        <w:rPr>
          <w:spacing w:val="-21"/>
          <w:sz w:val="23"/>
        </w:rPr>
        <w:t> </w:t>
      </w:r>
      <w:r>
        <w:rPr>
          <w:sz w:val="23"/>
        </w:rPr>
        <w:t>Court</w:t>
      </w:r>
    </w:p>
    <w:p>
      <w:pPr>
        <w:pStyle w:val="Heading1"/>
        <w:spacing w:line="193" w:lineRule="exact"/>
        <w:rPr>
          <w:rFonts w:ascii="Times New Roman"/>
        </w:rPr>
      </w:pPr>
      <w:r>
        <w:rPr>
          <w:rFonts w:ascii="Times New Roman"/>
        </w:rPr>
        <w:t>13</w:t>
      </w:r>
    </w:p>
    <w:p>
      <w:pPr>
        <w:pStyle w:val="BodyText"/>
        <w:spacing w:line="229" w:lineRule="exact"/>
      </w:pPr>
      <w:r>
        <w:rPr/>
        <w:t>stressed that courts must be very careful with this kind of “gang expert” (Exhibit L at 24-27), and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14</w:t>
      </w:r>
    </w:p>
    <w:p>
      <w:pPr>
        <w:pStyle w:val="BodyText"/>
        <w:spacing w:line="229" w:lineRule="exact"/>
      </w:pPr>
      <w:r>
        <w:rPr/>
        <w:t>noted that the FBI Agent Tariche was able to completely set aside in-custody interviews, any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15</w:t>
      </w:r>
    </w:p>
    <w:p>
      <w:pPr>
        <w:pStyle w:val="BodyText"/>
        <w:spacing w:line="229" w:lineRule="exact"/>
      </w:pPr>
      <w:r>
        <w:rPr/>
        <w:t>information he obtained from the defendants, and did not rely on the previous agent who testified in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16</w:t>
      </w:r>
    </w:p>
    <w:p>
      <w:pPr>
        <w:pStyle w:val="BodyText"/>
        <w:spacing w:line="229" w:lineRule="exact"/>
      </w:pPr>
      <w:r>
        <w:rPr/>
        <w:t>the case (id. at 30).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17</w:t>
      </w:r>
    </w:p>
    <w:p>
      <w:pPr>
        <w:pStyle w:val="Heading2"/>
        <w:numPr>
          <w:ilvl w:val="2"/>
          <w:numId w:val="6"/>
        </w:numPr>
        <w:tabs>
          <w:tab w:pos="1359" w:val="left" w:leader="none"/>
          <w:tab w:pos="1360" w:val="left" w:leader="none"/>
        </w:tabs>
        <w:spacing w:line="228" w:lineRule="exact" w:before="0" w:after="0"/>
        <w:ind w:left="1360" w:right="0" w:hanging="720"/>
        <w:jc w:val="left"/>
      </w:pPr>
      <w:r>
        <w:rPr/>
        <w:t>This Court Should Not Be Distracted by Government Hyperbole from Examining</w:t>
      </w:r>
      <w:r>
        <w:rPr>
          <w:spacing w:val="-17"/>
        </w:rPr>
        <w:t> </w:t>
      </w:r>
      <w:r>
        <w:rPr/>
        <w:t>the</w:t>
      </w:r>
    </w:p>
    <w:p>
      <w:pPr>
        <w:pStyle w:val="ListParagraph"/>
        <w:numPr>
          <w:ilvl w:val="0"/>
          <w:numId w:val="18"/>
        </w:numPr>
        <w:tabs>
          <w:tab w:pos="1359" w:val="left" w:leader="none"/>
          <w:tab w:pos="1360" w:val="left" w:leader="none"/>
        </w:tabs>
        <w:spacing w:line="271" w:lineRule="exact" w:before="0" w:after="0"/>
        <w:ind w:left="1360" w:right="0" w:hanging="1248"/>
        <w:jc w:val="left"/>
        <w:rPr>
          <w:b/>
          <w:sz w:val="23"/>
        </w:rPr>
      </w:pPr>
      <w:r>
        <w:rPr>
          <w:b/>
          <w:sz w:val="23"/>
        </w:rPr>
        <w:t>Proffered Experts’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Qualifications.</w:t>
      </w:r>
    </w:p>
    <w:p>
      <w:pPr>
        <w:pStyle w:val="ListParagraph"/>
        <w:numPr>
          <w:ilvl w:val="0"/>
          <w:numId w:val="18"/>
        </w:numPr>
        <w:tabs>
          <w:tab w:pos="1359" w:val="left" w:leader="none"/>
          <w:tab w:pos="1360" w:val="left" w:leader="none"/>
        </w:tabs>
        <w:spacing w:line="240" w:lineRule="auto" w:before="195" w:after="0"/>
        <w:ind w:left="1360" w:right="0" w:hanging="1248"/>
        <w:jc w:val="left"/>
        <w:rPr>
          <w:sz w:val="23"/>
        </w:rPr>
      </w:pPr>
      <w:r>
        <w:rPr>
          <w:sz w:val="23"/>
        </w:rPr>
        <w:t>Despite the fact that two of the three “experts” have never been qualified in federal</w:t>
      </w:r>
      <w:r>
        <w:rPr>
          <w:spacing w:val="-25"/>
          <w:sz w:val="23"/>
        </w:rPr>
        <w:t> </w:t>
      </w:r>
      <w:r>
        <w:rPr>
          <w:sz w:val="23"/>
        </w:rPr>
        <w:t>court,</w:t>
      </w:r>
    </w:p>
    <w:p>
      <w:pPr>
        <w:pStyle w:val="ListParagraph"/>
        <w:numPr>
          <w:ilvl w:val="0"/>
          <w:numId w:val="18"/>
        </w:numPr>
        <w:tabs>
          <w:tab w:pos="639" w:val="left" w:leader="none"/>
          <w:tab w:pos="640" w:val="left" w:leader="none"/>
        </w:tabs>
        <w:spacing w:line="240" w:lineRule="auto" w:before="140" w:after="0"/>
        <w:ind w:left="640" w:right="0" w:hanging="528"/>
        <w:jc w:val="left"/>
        <w:rPr>
          <w:sz w:val="23"/>
        </w:rPr>
      </w:pPr>
      <w:r>
        <w:rPr>
          <w:sz w:val="23"/>
        </w:rPr>
        <w:t>that none have any academic experience, that Molina only read part of one book and one</w:t>
      </w:r>
      <w:r>
        <w:rPr>
          <w:spacing w:val="-23"/>
          <w:sz w:val="23"/>
        </w:rPr>
        <w:t> </w:t>
      </w:r>
      <w:r>
        <w:rPr>
          <w:sz w:val="23"/>
        </w:rPr>
        <w:t>article</w:t>
      </w:r>
    </w:p>
    <w:p>
      <w:pPr>
        <w:pStyle w:val="ListParagraph"/>
        <w:numPr>
          <w:ilvl w:val="0"/>
          <w:numId w:val="18"/>
        </w:numPr>
        <w:tabs>
          <w:tab w:pos="639" w:val="left" w:leader="none"/>
          <w:tab w:pos="640" w:val="left" w:leader="none"/>
        </w:tabs>
        <w:spacing w:line="240" w:lineRule="auto" w:before="152" w:after="0"/>
        <w:ind w:left="640" w:right="0" w:hanging="528"/>
        <w:jc w:val="left"/>
        <w:rPr>
          <w:sz w:val="23"/>
        </w:rPr>
      </w:pPr>
      <w:r>
        <w:rPr>
          <w:sz w:val="23"/>
        </w:rPr>
        <w:t>regarding gangs, and admitted for the first time on cross-examination that he had virtually</w:t>
      </w:r>
      <w:r>
        <w:rPr>
          <w:spacing w:val="-27"/>
          <w:sz w:val="23"/>
        </w:rPr>
        <w:t> </w:t>
      </w:r>
      <w:r>
        <w:rPr>
          <w:sz w:val="23"/>
        </w:rPr>
        <w:t>nothing</w:t>
      </w:r>
    </w:p>
    <w:p>
      <w:pPr>
        <w:pStyle w:val="ListParagraph"/>
        <w:numPr>
          <w:ilvl w:val="0"/>
          <w:numId w:val="18"/>
        </w:numPr>
        <w:tabs>
          <w:tab w:pos="639" w:val="left" w:leader="none"/>
          <w:tab w:pos="640" w:val="left" w:leader="none"/>
        </w:tabs>
        <w:spacing w:line="240" w:lineRule="auto" w:before="172" w:after="0"/>
        <w:ind w:left="640" w:right="0" w:hanging="528"/>
        <w:jc w:val="left"/>
        <w:rPr>
          <w:sz w:val="23"/>
        </w:rPr>
      </w:pPr>
      <w:r>
        <w:rPr>
          <w:sz w:val="23"/>
        </w:rPr>
        <w:t>to do with MS-13 after October of 2008 (without clarifying this in the expert disclosures),</w:t>
      </w:r>
      <w:r>
        <w:rPr>
          <w:spacing w:val="-23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18"/>
        </w:numPr>
        <w:tabs>
          <w:tab w:pos="639" w:val="left" w:leader="none"/>
          <w:tab w:pos="640" w:val="left" w:leader="none"/>
        </w:tabs>
        <w:spacing w:line="240" w:lineRule="auto" w:before="182" w:after="0"/>
        <w:ind w:left="640" w:right="0" w:hanging="528"/>
        <w:jc w:val="left"/>
        <w:rPr>
          <w:sz w:val="23"/>
        </w:rPr>
      </w:pPr>
      <w:r>
        <w:rPr>
          <w:sz w:val="23"/>
        </w:rPr>
        <w:t>government calls the defense’s argument highlighting these deficiencies “ridiculous.” (Doc. 2619</w:t>
      </w:r>
      <w:r>
        <w:rPr>
          <w:spacing w:val="-28"/>
          <w:sz w:val="23"/>
        </w:rPr>
        <w:t> </w:t>
      </w:r>
      <w:r>
        <w:rPr>
          <w:sz w:val="23"/>
        </w:rPr>
        <w:t>at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92" w:after="0"/>
        <w:ind w:left="640" w:right="0" w:hanging="528"/>
        <w:jc w:val="left"/>
        <w:rPr>
          <w:sz w:val="23"/>
        </w:rPr>
      </w:pPr>
      <w:r>
        <w:rPr>
          <w:position w:val="1"/>
          <w:sz w:val="23"/>
        </w:rPr>
        <w:t>16-17.) This hyperbole should not distract the Court from its critical gatekeeping</w:t>
      </w:r>
      <w:r>
        <w:rPr>
          <w:spacing w:val="-14"/>
          <w:position w:val="1"/>
          <w:sz w:val="23"/>
        </w:rPr>
        <w:t> </w:t>
      </w:r>
      <w:r>
        <w:rPr>
          <w:position w:val="1"/>
          <w:sz w:val="23"/>
        </w:rPr>
        <w:t>function.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  <w:tab w:pos="1361" w:val="left" w:leader="none"/>
        </w:tabs>
        <w:spacing w:line="240" w:lineRule="auto" w:before="172" w:after="0"/>
        <w:ind w:left="1360" w:right="0" w:hanging="1248"/>
        <w:jc w:val="left"/>
        <w:rPr>
          <w:sz w:val="23"/>
        </w:rPr>
      </w:pPr>
      <w:r>
        <w:rPr>
          <w:i/>
          <w:sz w:val="23"/>
        </w:rPr>
        <w:t>United States v. Patterson, </w:t>
      </w:r>
      <w:r>
        <w:rPr>
          <w:sz w:val="23"/>
        </w:rPr>
        <w:t>819 F.2d 1495 (9</w:t>
      </w:r>
      <w:r>
        <w:rPr>
          <w:sz w:val="23"/>
          <w:vertAlign w:val="superscript"/>
        </w:rPr>
        <w:t>th</w:t>
      </w:r>
      <w:r>
        <w:rPr>
          <w:sz w:val="23"/>
          <w:vertAlign w:val="baseline"/>
        </w:rPr>
        <w:t> Cir. 1987) -- cited by the government</w:t>
      </w:r>
      <w:r>
        <w:rPr>
          <w:spacing w:val="-16"/>
          <w:sz w:val="23"/>
          <w:vertAlign w:val="baseline"/>
        </w:rPr>
        <w:t> </w:t>
      </w:r>
      <w:r>
        <w:rPr>
          <w:sz w:val="23"/>
          <w:vertAlign w:val="baseline"/>
        </w:rPr>
        <w:t>(Doc.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59" w:after="0"/>
        <w:ind w:left="640" w:right="0" w:hanging="528"/>
        <w:jc w:val="left"/>
        <w:rPr>
          <w:sz w:val="23"/>
        </w:rPr>
      </w:pPr>
      <w:r>
        <w:rPr>
          <w:sz w:val="23"/>
        </w:rPr>
        <w:t>2619 at 14) -- does not support the theory that experience alone establishes the adequacy of</w:t>
      </w:r>
      <w:r>
        <w:rPr>
          <w:spacing w:val="-29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37" w:after="0"/>
        <w:ind w:left="640" w:right="0" w:hanging="528"/>
        <w:jc w:val="left"/>
        <w:rPr>
          <w:sz w:val="23"/>
        </w:rPr>
      </w:pPr>
      <w:r>
        <w:rPr>
          <w:sz w:val="23"/>
        </w:rPr>
        <w:t>proffered “experts’” qualifications here. First, </w:t>
      </w:r>
      <w:r>
        <w:rPr>
          <w:i/>
          <w:sz w:val="23"/>
        </w:rPr>
        <w:t>Patterson </w:t>
      </w:r>
      <w:r>
        <w:rPr>
          <w:sz w:val="23"/>
        </w:rPr>
        <w:t>did not involve a RICO</w:t>
      </w:r>
      <w:r>
        <w:rPr>
          <w:spacing w:val="-14"/>
          <w:sz w:val="23"/>
        </w:rPr>
        <w:t> </w:t>
      </w:r>
      <w:r>
        <w:rPr>
          <w:sz w:val="23"/>
        </w:rPr>
        <w:t>conspiracy.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30" w:after="0"/>
        <w:ind w:left="640" w:right="0" w:hanging="528"/>
        <w:jc w:val="left"/>
        <w:rPr>
          <w:sz w:val="23"/>
        </w:rPr>
      </w:pPr>
      <w:r>
        <w:rPr>
          <w:sz w:val="23"/>
        </w:rPr>
        <w:t>Second and moreover, the </w:t>
      </w:r>
      <w:r>
        <w:rPr>
          <w:i/>
          <w:sz w:val="23"/>
        </w:rPr>
        <w:t>Patterson </w:t>
      </w:r>
      <w:r>
        <w:rPr>
          <w:sz w:val="23"/>
        </w:rPr>
        <w:t>court found an officer’s experience with a small,</w:t>
      </w:r>
      <w:r>
        <w:rPr>
          <w:spacing w:val="-23"/>
          <w:sz w:val="23"/>
        </w:rPr>
        <w:t> </w:t>
      </w:r>
      <w:r>
        <w:rPr>
          <w:sz w:val="23"/>
        </w:rPr>
        <w:t>drug-dealing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787" w:top="0" w:bottom="980" w:left="1520" w:right="62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100.425003pt;margin-top:0pt;width:4.350pt;height:792pt;mso-position-horizontal-relative:page;mso-position-vertical-relative:page;z-index:-15496" coordorigin="2009,0" coordsize="87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56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Heading1"/>
        <w:spacing w:before="92"/>
        <w:ind w:left="767"/>
      </w:pPr>
      <w:r>
        <w:rPr>
          <w:color w:val="0000FF"/>
        </w:rPr>
        <w:t>Case3:08-cr-00730-WHA Document2641 Filed11/19/10 Page9 of 10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2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639" w:val="left" w:leader="none"/>
          <w:tab w:pos="640" w:val="left" w:leader="none"/>
        </w:tabs>
        <w:spacing w:line="240" w:lineRule="auto" w:before="91" w:after="0"/>
        <w:ind w:left="640" w:right="0" w:hanging="408"/>
        <w:jc w:val="left"/>
        <w:rPr>
          <w:sz w:val="23"/>
        </w:rPr>
      </w:pPr>
      <w:r>
        <w:rPr>
          <w:position w:val="1"/>
          <w:sz w:val="23"/>
        </w:rPr>
        <w:t>operation in one housing project in Oakland to be sufficient to allow him to testify about</w:t>
      </w:r>
      <w:r>
        <w:rPr>
          <w:spacing w:val="-22"/>
          <w:position w:val="1"/>
          <w:sz w:val="23"/>
        </w:rPr>
        <w:t> </w:t>
      </w:r>
      <w:r>
        <w:rPr>
          <w:position w:val="1"/>
          <w:sz w:val="23"/>
        </w:rPr>
        <w:t>the</w:t>
      </w:r>
    </w:p>
    <w:p>
      <w:pPr>
        <w:pStyle w:val="ListParagraph"/>
        <w:numPr>
          <w:ilvl w:val="0"/>
          <w:numId w:val="19"/>
        </w:numPr>
        <w:tabs>
          <w:tab w:pos="639" w:val="left" w:leader="none"/>
          <w:tab w:pos="640" w:val="left" w:leader="none"/>
        </w:tabs>
        <w:spacing w:line="240" w:lineRule="auto" w:before="179" w:after="0"/>
        <w:ind w:left="640" w:right="0" w:hanging="408"/>
        <w:jc w:val="left"/>
        <w:rPr>
          <w:sz w:val="23"/>
        </w:rPr>
      </w:pPr>
      <w:r>
        <w:rPr>
          <w:sz w:val="23"/>
        </w:rPr>
        <w:t>structure of that ring’s drug enterprise as proof of its </w:t>
      </w:r>
      <w:r>
        <w:rPr>
          <w:i/>
          <w:sz w:val="23"/>
        </w:rPr>
        <w:t>modus operandi</w:t>
      </w:r>
      <w:r>
        <w:rPr>
          <w:sz w:val="23"/>
        </w:rPr>
        <w:t>. But here, the</w:t>
      </w:r>
      <w:r>
        <w:rPr>
          <w:spacing w:val="-24"/>
          <w:sz w:val="23"/>
        </w:rPr>
        <w:t> </w:t>
      </w:r>
      <w:r>
        <w:rPr>
          <w:sz w:val="23"/>
        </w:rPr>
        <w:t>government</w:t>
      </w:r>
    </w:p>
    <w:p>
      <w:pPr>
        <w:pStyle w:val="ListParagraph"/>
        <w:numPr>
          <w:ilvl w:val="0"/>
          <w:numId w:val="19"/>
        </w:numPr>
        <w:tabs>
          <w:tab w:pos="639" w:val="left" w:leader="none"/>
          <w:tab w:pos="640" w:val="left" w:leader="none"/>
        </w:tabs>
        <w:spacing w:line="240" w:lineRule="auto" w:before="167" w:after="0"/>
        <w:ind w:left="640" w:right="0" w:hanging="408"/>
        <w:jc w:val="left"/>
        <w:rPr>
          <w:i/>
          <w:sz w:val="23"/>
        </w:rPr>
      </w:pPr>
      <w:r>
        <w:rPr>
          <w:sz w:val="23"/>
        </w:rPr>
        <w:t>seeks to allow the experts to provide </w:t>
      </w:r>
      <w:r>
        <w:rPr>
          <w:i/>
          <w:sz w:val="23"/>
        </w:rPr>
        <w:t>dozens </w:t>
      </w:r>
      <w:r>
        <w:rPr>
          <w:sz w:val="23"/>
        </w:rPr>
        <w:t>of far broader opinions about </w:t>
      </w:r>
      <w:r>
        <w:rPr>
          <w:i/>
          <w:sz w:val="23"/>
        </w:rPr>
        <w:t>almost every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purported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150" w:after="0"/>
        <w:ind w:left="640" w:right="0" w:hanging="408"/>
        <w:jc w:val="left"/>
        <w:rPr>
          <w:sz w:val="23"/>
        </w:rPr>
      </w:pPr>
      <w:r>
        <w:rPr>
          <w:i/>
          <w:sz w:val="23"/>
        </w:rPr>
        <w:t>aspect </w:t>
      </w:r>
      <w:r>
        <w:rPr>
          <w:sz w:val="23"/>
        </w:rPr>
        <w:t>of MS-13’s operations - locally, regionally, nationally, and internationally. </w:t>
      </w:r>
      <w:r>
        <w:rPr>
          <w:i/>
          <w:sz w:val="23"/>
        </w:rPr>
        <w:t>Patterson</w:t>
      </w:r>
      <w:r>
        <w:rPr>
          <w:i/>
          <w:spacing w:val="-27"/>
          <w:sz w:val="23"/>
        </w:rPr>
        <w:t> </w:t>
      </w:r>
      <w:r>
        <w:rPr>
          <w:sz w:val="23"/>
        </w:rPr>
        <w:t>simply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129" w:after="0"/>
        <w:ind w:left="640" w:right="0" w:hanging="408"/>
        <w:jc w:val="left"/>
        <w:rPr>
          <w:sz w:val="23"/>
        </w:rPr>
      </w:pPr>
      <w:r>
        <w:rPr>
          <w:sz w:val="23"/>
        </w:rPr>
        <w:t>does not provide precedent for qualification of the “experts”</w:t>
      </w:r>
      <w:r>
        <w:rPr>
          <w:spacing w:val="-4"/>
          <w:sz w:val="23"/>
        </w:rPr>
        <w:t> </w:t>
      </w:r>
      <w:r>
        <w:rPr>
          <w:sz w:val="23"/>
        </w:rPr>
        <w:t>here.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  <w:tab w:pos="1361" w:val="left" w:leader="none"/>
        </w:tabs>
        <w:spacing w:line="240" w:lineRule="auto" w:before="117" w:after="0"/>
        <w:ind w:left="1360" w:right="0" w:hanging="1128"/>
        <w:jc w:val="left"/>
        <w:rPr>
          <w:sz w:val="23"/>
        </w:rPr>
      </w:pPr>
      <w:r>
        <w:rPr>
          <w:sz w:val="23"/>
        </w:rPr>
        <w:t>For example, Detective Flores knows nothing about MS-13 in San Francisco or about</w:t>
      </w:r>
      <w:r>
        <w:rPr>
          <w:spacing w:val="-17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109" w:after="0"/>
        <w:ind w:left="640" w:right="0" w:hanging="408"/>
        <w:jc w:val="left"/>
        <w:rPr>
          <w:sz w:val="23"/>
        </w:rPr>
      </w:pPr>
      <w:r>
        <w:rPr>
          <w:sz w:val="23"/>
        </w:rPr>
        <w:t>20</w:t>
      </w:r>
      <w:r>
        <w:rPr>
          <w:sz w:val="23"/>
          <w:vertAlign w:val="superscript"/>
        </w:rPr>
        <w:t>th</w:t>
      </w:r>
      <w:r>
        <w:rPr>
          <w:sz w:val="23"/>
          <w:vertAlign w:val="baseline"/>
        </w:rPr>
        <w:t> Street clique. The government </w:t>
      </w:r>
      <w:r>
        <w:rPr>
          <w:i/>
          <w:sz w:val="23"/>
          <w:vertAlign w:val="baseline"/>
        </w:rPr>
        <w:t>wholly ignores </w:t>
      </w:r>
      <w:r>
        <w:rPr>
          <w:sz w:val="23"/>
          <w:vertAlign w:val="baseline"/>
        </w:rPr>
        <w:t>this damaging reality and glosses over</w:t>
      </w:r>
      <w:r>
        <w:rPr>
          <w:spacing w:val="-28"/>
          <w:sz w:val="23"/>
          <w:vertAlign w:val="baseline"/>
        </w:rPr>
        <w:t> </w:t>
      </w:r>
      <w:r>
        <w:rPr>
          <w:sz w:val="23"/>
          <w:vertAlign w:val="baseline"/>
        </w:rPr>
        <w:t>defendant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87" w:after="0"/>
        <w:ind w:left="640" w:right="0" w:hanging="408"/>
        <w:jc w:val="left"/>
        <w:rPr>
          <w:i/>
          <w:sz w:val="23"/>
        </w:rPr>
      </w:pPr>
      <w:r>
        <w:rPr>
          <w:sz w:val="23"/>
        </w:rPr>
        <w:t>Velasquez’s assertion that it </w:t>
      </w:r>
      <w:r>
        <w:rPr>
          <w:i/>
          <w:sz w:val="23"/>
        </w:rPr>
        <w:t>has not provided the Court with evidence upon which it could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conclude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70" w:after="0"/>
        <w:ind w:left="640" w:right="0" w:hanging="408"/>
        <w:jc w:val="left"/>
        <w:rPr>
          <w:sz w:val="23"/>
        </w:rPr>
      </w:pPr>
      <w:r>
        <w:rPr>
          <w:i/>
          <w:sz w:val="23"/>
        </w:rPr>
        <w:t>that knowledge about L.A.’s MS-13 translates to San Francisco’s MS-13 </w:t>
      </w:r>
      <w:r>
        <w:rPr>
          <w:sz w:val="23"/>
        </w:rPr>
        <w:t>by insisting that</w:t>
      </w:r>
      <w:r>
        <w:rPr>
          <w:spacing w:val="-19"/>
          <w:sz w:val="23"/>
        </w:rPr>
        <w:t> </w:t>
      </w:r>
      <w:r>
        <w:rPr>
          <w:sz w:val="23"/>
        </w:rPr>
        <w:t>since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57" w:after="0"/>
        <w:ind w:left="640" w:right="0" w:hanging="528"/>
        <w:jc w:val="left"/>
        <w:rPr>
          <w:sz w:val="23"/>
        </w:rPr>
      </w:pPr>
      <w:r>
        <w:rPr>
          <w:sz w:val="23"/>
        </w:rPr>
        <w:t>Flores has significant gang experience in L.A. and previously testified in federal court, he</w:t>
      </w:r>
      <w:r>
        <w:rPr>
          <w:spacing w:val="-27"/>
          <w:sz w:val="23"/>
        </w:rPr>
        <w:t> </w:t>
      </w:r>
      <w:r>
        <w:rPr>
          <w:sz w:val="23"/>
        </w:rPr>
        <w:t>should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39" w:after="0"/>
        <w:ind w:left="640" w:right="0" w:hanging="528"/>
        <w:jc w:val="left"/>
        <w:rPr>
          <w:sz w:val="23"/>
        </w:rPr>
      </w:pPr>
      <w:r>
        <w:rPr>
          <w:sz w:val="23"/>
        </w:rPr>
        <w:t>testify in this case. (Doc. 2619 at 7-8.) This position should be</w:t>
      </w:r>
      <w:r>
        <w:rPr>
          <w:spacing w:val="-12"/>
          <w:sz w:val="23"/>
        </w:rPr>
        <w:t> </w:t>
      </w:r>
      <w:r>
        <w:rPr>
          <w:sz w:val="23"/>
        </w:rPr>
        <w:t>rejected.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  <w:tab w:pos="1361" w:val="left" w:leader="none"/>
        </w:tabs>
        <w:spacing w:line="280" w:lineRule="atLeast" w:before="29" w:after="0"/>
        <w:ind w:left="640" w:right="483" w:hanging="528"/>
        <w:jc w:val="left"/>
        <w:rPr>
          <w:sz w:val="23"/>
        </w:rPr>
      </w:pPr>
      <w:r>
        <w:rPr/>
        <w:tab/>
      </w:r>
      <w:r>
        <w:rPr>
          <w:sz w:val="23"/>
        </w:rPr>
        <w:t>The government similarly disregards the fact that neither McDonnell nor Molina have qualified to testify in federal court and inadvertently misleads the Court about the fact that</w:t>
      </w:r>
      <w:r>
        <w:rPr>
          <w:spacing w:val="-41"/>
          <w:sz w:val="23"/>
        </w:rPr>
        <w:t> </w:t>
      </w:r>
      <w:r>
        <w:rPr>
          <w:sz w:val="23"/>
        </w:rPr>
        <w:t>almost</w:t>
      </w:r>
    </w:p>
    <w:p>
      <w:pPr>
        <w:pStyle w:val="Heading1"/>
        <w:spacing w:line="193" w:lineRule="exact"/>
        <w:rPr>
          <w:rFonts w:ascii="Times New Roman"/>
        </w:rPr>
      </w:pPr>
      <w:r>
        <w:rPr>
          <w:rFonts w:ascii="Times New Roman"/>
        </w:rPr>
        <w:t>13</w:t>
      </w:r>
    </w:p>
    <w:p>
      <w:pPr>
        <w:pStyle w:val="BodyText"/>
        <w:spacing w:line="229" w:lineRule="exact"/>
      </w:pPr>
      <w:r>
        <w:rPr/>
        <w:t>all of Molina’s testimony has been in juvenile court without a jury. (R.T. at 10:11-13; 12: 4-8.)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14</w:t>
      </w:r>
    </w:p>
    <w:p>
      <w:pPr>
        <w:pStyle w:val="BodyText"/>
        <w:spacing w:line="229" w:lineRule="exact"/>
      </w:pPr>
      <w:r>
        <w:rPr/>
        <w:t>State testimony regarding gang activity differs significantly from that which a federal court will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15</w:t>
      </w:r>
    </w:p>
    <w:p>
      <w:pPr>
        <w:pStyle w:val="BodyText"/>
        <w:spacing w:line="229" w:lineRule="exact"/>
      </w:pPr>
      <w:r>
        <w:rPr/>
        <w:t>allow, because under California law, a gang expert in state court is called to interpret and apply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16</w:t>
      </w:r>
    </w:p>
    <w:p>
      <w:pPr>
        <w:pStyle w:val="BodyText"/>
        <w:spacing w:line="229" w:lineRule="exact"/>
      </w:pPr>
      <w:r>
        <w:rPr/>
        <w:t>Penal Code section 186.22, which is specifically defined in the statute as the definition of “gang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17</w:t>
      </w:r>
    </w:p>
    <w:p>
      <w:pPr>
        <w:pStyle w:val="BodyText"/>
        <w:spacing w:line="228" w:lineRule="exact"/>
      </w:pPr>
      <w:r>
        <w:rPr/>
        <w:t>member.” Here, the experts will be called to show that MS-13 is a RICO enterprise, that all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18</w:t>
      </w:r>
    </w:p>
    <w:p>
      <w:pPr>
        <w:pStyle w:val="BodyText"/>
        <w:spacing w:line="227" w:lineRule="exact"/>
      </w:pPr>
      <w:r>
        <w:rPr/>
        <w:t>members are necessarily participants in the enterprise, and that the goal of the enterprise is the</w:t>
      </w:r>
    </w:p>
    <w:p>
      <w:pPr>
        <w:pStyle w:val="Heading1"/>
        <w:spacing w:line="230" w:lineRule="exact" w:before="5"/>
        <w:rPr>
          <w:rFonts w:ascii="Times New Roman"/>
        </w:rPr>
      </w:pPr>
      <w:r>
        <w:rPr>
          <w:rFonts w:ascii="Times New Roman"/>
        </w:rPr>
        <w:t>19</w:t>
      </w:r>
    </w:p>
    <w:p>
      <w:pPr>
        <w:pStyle w:val="BodyText"/>
        <w:spacing w:line="219" w:lineRule="exact"/>
      </w:pPr>
      <w:r>
        <w:rPr/>
        <w:t>commission of violent acts.</w:t>
      </w:r>
    </w:p>
    <w:p>
      <w:pPr>
        <w:pStyle w:val="Heading2"/>
        <w:numPr>
          <w:ilvl w:val="0"/>
          <w:numId w:val="20"/>
        </w:numPr>
        <w:tabs>
          <w:tab w:pos="640" w:val="left" w:leader="none"/>
          <w:tab w:pos="641" w:val="left" w:leader="none"/>
          <w:tab w:pos="1360" w:val="left" w:leader="none"/>
        </w:tabs>
        <w:spacing w:line="434" w:lineRule="exact" w:before="22" w:after="0"/>
        <w:ind w:left="640" w:right="0" w:hanging="528"/>
        <w:jc w:val="left"/>
      </w:pPr>
      <w:r>
        <w:rPr/>
        <w:t>F.</w:t>
        <w:tab/>
        <w:t>The Government Apparently Concedes That Mr. Molina Should Not Be Able</w:t>
      </w:r>
      <w:r>
        <w:rPr>
          <w:spacing w:val="-12"/>
        </w:rPr>
        <w:t> </w:t>
      </w:r>
      <w:r>
        <w:rPr/>
        <w:t>To</w:t>
      </w:r>
    </w:p>
    <w:p>
      <w:pPr>
        <w:pStyle w:val="ListParagraph"/>
        <w:numPr>
          <w:ilvl w:val="0"/>
          <w:numId w:val="20"/>
        </w:numPr>
        <w:tabs>
          <w:tab w:pos="1360" w:val="left" w:leader="none"/>
          <w:tab w:pos="1361" w:val="left" w:leader="none"/>
        </w:tabs>
        <w:spacing w:line="199" w:lineRule="auto" w:before="30" w:after="0"/>
        <w:ind w:left="1360" w:right="399" w:hanging="1248"/>
        <w:jc w:val="left"/>
        <w:rPr>
          <w:b/>
          <w:sz w:val="23"/>
        </w:rPr>
      </w:pPr>
      <w:r>
        <w:rPr>
          <w:b/>
          <w:sz w:val="23"/>
        </w:rPr>
        <w:t>Testify About, or Based Upon, Any Gang-Related Events (or Evidence Thereof) That Took Place After October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2008.</w:t>
      </w:r>
    </w:p>
    <w:p>
      <w:pPr>
        <w:spacing w:line="264" w:lineRule="exact" w:before="0"/>
        <w:ind w:left="111" w:right="0" w:firstLine="0"/>
        <w:jc w:val="left"/>
        <w:rPr>
          <w:sz w:val="24"/>
        </w:rPr>
      </w:pPr>
      <w:r>
        <w:rPr>
          <w:sz w:val="24"/>
        </w:rPr>
        <w:t>22</w:t>
      </w:r>
    </w:p>
    <w:p>
      <w:pPr>
        <w:pStyle w:val="BodyText"/>
        <w:spacing w:line="224" w:lineRule="exact" w:before="11"/>
        <w:ind w:left="1360"/>
      </w:pPr>
      <w:r>
        <w:rPr/>
        <w:t>Based on testimony elicited during the </w:t>
      </w:r>
      <w:r>
        <w:rPr>
          <w:i/>
        </w:rPr>
        <w:t>Daubert </w:t>
      </w:r>
      <w:r>
        <w:rPr/>
        <w:t>hearing on November 5, 2010, defendant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23</w:t>
      </w:r>
    </w:p>
    <w:p>
      <w:pPr>
        <w:pStyle w:val="BodyText"/>
        <w:spacing w:line="228" w:lineRule="exact"/>
      </w:pPr>
      <w:r>
        <w:rPr/>
        <w:t>Velasquez argued that since Molina admitted he had significantly diminished gang contacts after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24</w:t>
      </w:r>
    </w:p>
    <w:p>
      <w:pPr>
        <w:pStyle w:val="BodyText"/>
        <w:spacing w:line="229" w:lineRule="exact"/>
      </w:pPr>
      <w:r>
        <w:rPr/>
        <w:t>October 2008 (when the “take down” occurred), he should not be able to give opinions about or</w:t>
      </w:r>
    </w:p>
    <w:p>
      <w:pPr>
        <w:pStyle w:val="Heading1"/>
        <w:spacing w:line="233" w:lineRule="exact"/>
        <w:rPr>
          <w:rFonts w:ascii="Times New Roman"/>
        </w:rPr>
      </w:pPr>
      <w:r>
        <w:rPr>
          <w:rFonts w:ascii="Times New Roman"/>
        </w:rPr>
        <w:t>25</w:t>
      </w:r>
    </w:p>
    <w:p>
      <w:pPr>
        <w:pStyle w:val="BodyText"/>
        <w:spacing w:line="229" w:lineRule="exact"/>
      </w:pPr>
      <w:r>
        <w:rPr/>
        <w:t>based on events taking place after that time. (Doc. 2586 at 11:1-21). The government did not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26</w:t>
      </w:r>
    </w:p>
    <w:p>
      <w:pPr>
        <w:pStyle w:val="BodyText"/>
        <w:spacing w:line="229" w:lineRule="exact"/>
      </w:pPr>
      <w:r>
        <w:rPr/>
        <w:t>address this argument in its response.</w:t>
      </w:r>
    </w:p>
    <w:p>
      <w:pPr>
        <w:pStyle w:val="Heading1"/>
        <w:spacing w:line="234" w:lineRule="exact"/>
        <w:rPr>
          <w:rFonts w:ascii="Times New Roman"/>
        </w:rPr>
      </w:pPr>
      <w:r>
        <w:rPr>
          <w:rFonts w:ascii="Times New Roman"/>
        </w:rPr>
        <w:t>27</w:t>
      </w:r>
    </w:p>
    <w:p>
      <w:pPr>
        <w:pStyle w:val="BodyText"/>
        <w:spacing w:line="229" w:lineRule="exact"/>
      </w:pPr>
      <w:r>
        <w:rPr/>
        <w:t>///</w:t>
      </w:r>
    </w:p>
    <w:p>
      <w:pPr>
        <w:pStyle w:val="Heading1"/>
        <w:spacing w:line="272" w:lineRule="exact"/>
        <w:rPr>
          <w:rFonts w:ascii="Times New Roman"/>
        </w:rPr>
      </w:pPr>
      <w:r>
        <w:rPr>
          <w:rFonts w:ascii="Times New Roman"/>
        </w:rPr>
        <w:t>28</w:t>
      </w:r>
    </w:p>
    <w:p>
      <w:pPr>
        <w:spacing w:after="0" w:line="272" w:lineRule="exact"/>
        <w:rPr>
          <w:rFonts w:ascii="Times New Roman"/>
        </w:rPr>
        <w:sectPr>
          <w:pgSz w:w="12240" w:h="15840"/>
          <w:pgMar w:header="0" w:footer="787" w:top="0" w:bottom="980" w:left="1520" w:right="62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100.425003pt;margin-top:0pt;width:151.6pt;height:792pt;mso-position-horizontal-relative:page;mso-position-vertical-relative:page;z-index:-15448" coordorigin="2009,0" coordsize="3032,15840">
            <v:line style="position:absolute" from="2088,0" to="2088,15840" stroked="true" strokeweight=".75pt" strokecolor="#000000">
              <v:stroke dashstyle="solid"/>
            </v:line>
            <v:line style="position:absolute" from="2016,0" to="2016,15840" stroked="true" strokeweight=".75pt" strokecolor="#000000">
              <v:stroke dashstyle="solid"/>
            </v:line>
            <v:line style="position:absolute" from="2160,13045" to="5040,13045" stroked="true" strokeweight=".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04" from="576pt,0pt" to="576pt,792pt" stroked="true" strokeweight=".75pt" strokecolor="#000000">
            <v:stroke dashstyle="solid"/>
            <w10:wrap type="none"/>
          </v:line>
        </w:pict>
      </w:r>
    </w:p>
    <w:p>
      <w:pPr>
        <w:spacing w:before="92"/>
        <w:ind w:left="700" w:right="0" w:firstLine="0"/>
        <w:jc w:val="left"/>
        <w:rPr>
          <w:rFonts w:ascii="Arial"/>
          <w:sz w:val="24"/>
        </w:rPr>
      </w:pPr>
      <w:r>
        <w:rPr>
          <w:rFonts w:ascii="Arial"/>
          <w:color w:val="0000FF"/>
          <w:sz w:val="24"/>
        </w:rPr>
        <w:t>Case3:08-cr-00730-WHA Document2641 Filed11/19/10 Page10 of 10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2"/>
        <w:ind w:left="0"/>
        <w:rPr>
          <w:rFonts w:ascii="Arial"/>
          <w:sz w:val="25"/>
        </w:rPr>
      </w:pPr>
    </w:p>
    <w:p>
      <w:pPr>
        <w:pStyle w:val="Heading2"/>
        <w:tabs>
          <w:tab w:pos="639" w:val="left" w:leader="none"/>
          <w:tab w:pos="1359" w:val="left" w:leader="none"/>
        </w:tabs>
        <w:spacing w:line="228" w:lineRule="auto" w:before="102"/>
        <w:ind w:right="713" w:hanging="1128"/>
      </w:pPr>
      <w:r>
        <w:rPr>
          <w:b w:val="0"/>
          <w:sz w:val="24"/>
        </w:rPr>
        <w:t>1</w:t>
        <w:tab/>
      </w:r>
      <w:r>
        <w:rPr>
          <w:position w:val="1"/>
        </w:rPr>
        <w:t>G.</w:t>
        <w:tab/>
        <w:t>The Government Fails to Address the Fact that </w:t>
      </w:r>
      <w:r>
        <w:rPr>
          <w:i/>
          <w:position w:val="1"/>
        </w:rPr>
        <w:t>Crawford </w:t>
      </w:r>
      <w:r>
        <w:rPr>
          <w:position w:val="1"/>
        </w:rPr>
        <w:t>Bars the Presentation of</w:t>
      </w:r>
      <w:r>
        <w:rPr/>
        <w:t> Testimonial Statements in the Guise of Expert</w:t>
      </w:r>
      <w:r>
        <w:rPr>
          <w:spacing w:val="-1"/>
        </w:rPr>
        <w:t> </w:t>
      </w:r>
      <w:r>
        <w:rPr/>
        <w:t>Opinion.</w:t>
      </w:r>
    </w:p>
    <w:p>
      <w:pPr>
        <w:spacing w:line="222" w:lineRule="exact" w:before="0"/>
        <w:ind w:left="231" w:right="0" w:firstLine="0"/>
        <w:jc w:val="left"/>
        <w:rPr>
          <w:sz w:val="24"/>
        </w:rPr>
      </w:pPr>
      <w:r>
        <w:rPr>
          <w:sz w:val="24"/>
        </w:rPr>
        <w:t>2</w:t>
      </w:r>
    </w:p>
    <w:p>
      <w:pPr>
        <w:pStyle w:val="ListParagraph"/>
        <w:numPr>
          <w:ilvl w:val="0"/>
          <w:numId w:val="21"/>
        </w:numPr>
        <w:tabs>
          <w:tab w:pos="1359" w:val="left" w:leader="none"/>
          <w:tab w:pos="1360" w:val="left" w:leader="none"/>
        </w:tabs>
        <w:spacing w:line="240" w:lineRule="auto" w:before="48" w:after="0"/>
        <w:ind w:left="1360" w:right="0" w:hanging="1128"/>
        <w:jc w:val="left"/>
        <w:rPr>
          <w:sz w:val="23"/>
        </w:rPr>
      </w:pPr>
      <w:r>
        <w:rPr>
          <w:sz w:val="23"/>
        </w:rPr>
        <w:t>The government correctly suggests that experts are permitted to rely upon hearsay.</w:t>
      </w:r>
      <w:r>
        <w:rPr>
          <w:spacing w:val="32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21"/>
        </w:numPr>
        <w:tabs>
          <w:tab w:pos="639" w:val="left" w:leader="none"/>
          <w:tab w:pos="640" w:val="left" w:leader="none"/>
        </w:tabs>
        <w:spacing w:line="240" w:lineRule="auto" w:before="44" w:after="0"/>
        <w:ind w:left="640" w:right="0" w:hanging="408"/>
        <w:jc w:val="left"/>
        <w:rPr>
          <w:sz w:val="23"/>
        </w:rPr>
      </w:pPr>
      <w:r>
        <w:rPr>
          <w:sz w:val="23"/>
        </w:rPr>
        <w:t>government simply does not address the limitations imposed by F.R.E. 702 which requires that</w:t>
      </w:r>
      <w:r>
        <w:rPr>
          <w:spacing w:val="2"/>
          <w:sz w:val="23"/>
        </w:rPr>
        <w:t> </w:t>
      </w:r>
      <w:r>
        <w:rPr>
          <w:sz w:val="23"/>
        </w:rPr>
        <w:t>this</w:t>
      </w:r>
    </w:p>
    <w:p>
      <w:pPr>
        <w:pStyle w:val="ListParagraph"/>
        <w:numPr>
          <w:ilvl w:val="0"/>
          <w:numId w:val="21"/>
        </w:numPr>
        <w:tabs>
          <w:tab w:pos="639" w:val="left" w:leader="none"/>
          <w:tab w:pos="640" w:val="left" w:leader="none"/>
          <w:tab w:pos="2838" w:val="left" w:leader="none"/>
        </w:tabs>
        <w:spacing w:line="240" w:lineRule="auto" w:before="43" w:after="0"/>
        <w:ind w:left="640" w:right="0" w:hanging="408"/>
        <w:jc w:val="left"/>
        <w:rPr>
          <w:sz w:val="23"/>
        </w:rPr>
      </w:pPr>
      <w:r>
        <w:rPr>
          <w:sz w:val="23"/>
        </w:rPr>
        <w:t>hearsay </w:t>
      </w:r>
      <w:r>
        <w:rPr>
          <w:spacing w:val="11"/>
          <w:sz w:val="23"/>
        </w:rPr>
        <w:t> </w:t>
      </w:r>
      <w:r>
        <w:rPr>
          <w:sz w:val="23"/>
        </w:rPr>
        <w:t>be </w:t>
      </w:r>
      <w:r>
        <w:rPr>
          <w:spacing w:val="17"/>
          <w:sz w:val="23"/>
        </w:rPr>
        <w:t> </w:t>
      </w:r>
      <w:r>
        <w:rPr>
          <w:sz w:val="23"/>
        </w:rPr>
        <w:t>reliable.</w:t>
        <w:tab/>
        <w:t>More</w:t>
      </w:r>
      <w:r>
        <w:rPr>
          <w:spacing w:val="15"/>
          <w:sz w:val="23"/>
        </w:rPr>
        <w:t> </w:t>
      </w:r>
      <w:r>
        <w:rPr>
          <w:sz w:val="23"/>
        </w:rPr>
        <w:t>importantly,</w:t>
      </w:r>
      <w:r>
        <w:rPr>
          <w:spacing w:val="15"/>
          <w:sz w:val="23"/>
        </w:rPr>
        <w:t> </w:t>
      </w:r>
      <w:r>
        <w:rPr>
          <w:sz w:val="23"/>
        </w:rPr>
        <w:t>the</w:t>
      </w:r>
      <w:r>
        <w:rPr>
          <w:spacing w:val="15"/>
          <w:sz w:val="23"/>
        </w:rPr>
        <w:t> </w:t>
      </w:r>
      <w:r>
        <w:rPr>
          <w:sz w:val="23"/>
        </w:rPr>
        <w:t>government</w:t>
      </w:r>
      <w:r>
        <w:rPr>
          <w:spacing w:val="16"/>
          <w:sz w:val="23"/>
        </w:rPr>
        <w:t> </w:t>
      </w:r>
      <w:r>
        <w:rPr>
          <w:sz w:val="23"/>
        </w:rPr>
        <w:t>ignores</w:t>
      </w:r>
      <w:r>
        <w:rPr>
          <w:spacing w:val="14"/>
          <w:sz w:val="23"/>
        </w:rPr>
        <w:t> </w:t>
      </w:r>
      <w:r>
        <w:rPr>
          <w:sz w:val="23"/>
        </w:rPr>
        <w:t>the</w:t>
      </w:r>
      <w:r>
        <w:rPr>
          <w:spacing w:val="13"/>
          <w:sz w:val="23"/>
        </w:rPr>
        <w:t> </w:t>
      </w:r>
      <w:r>
        <w:rPr>
          <w:sz w:val="23"/>
        </w:rPr>
        <w:t>limitations</w:t>
      </w:r>
      <w:r>
        <w:rPr>
          <w:spacing w:val="14"/>
          <w:sz w:val="23"/>
        </w:rPr>
        <w:t> </w:t>
      </w:r>
      <w:r>
        <w:rPr>
          <w:sz w:val="23"/>
        </w:rPr>
        <w:t>imposed</w:t>
      </w:r>
      <w:r>
        <w:rPr>
          <w:spacing w:val="16"/>
          <w:sz w:val="23"/>
        </w:rPr>
        <w:t> </w:t>
      </w:r>
      <w:r>
        <w:rPr>
          <w:sz w:val="23"/>
        </w:rPr>
        <w:t>by</w:t>
      </w:r>
    </w:p>
    <w:p>
      <w:pPr>
        <w:pStyle w:val="ListParagraph"/>
        <w:numPr>
          <w:ilvl w:val="0"/>
          <w:numId w:val="21"/>
        </w:numPr>
        <w:tabs>
          <w:tab w:pos="639" w:val="left" w:leader="none"/>
          <w:tab w:pos="640" w:val="left" w:leader="none"/>
        </w:tabs>
        <w:spacing w:line="240" w:lineRule="auto" w:before="42" w:after="0"/>
        <w:ind w:left="640" w:right="0" w:hanging="408"/>
        <w:jc w:val="left"/>
        <w:rPr>
          <w:sz w:val="23"/>
        </w:rPr>
      </w:pPr>
      <w:r>
        <w:rPr>
          <w:i/>
          <w:sz w:val="23"/>
        </w:rPr>
        <w:t>Crawford </w:t>
      </w:r>
      <w:r>
        <w:rPr>
          <w:sz w:val="23"/>
        </w:rPr>
        <w:t>on the prosecution's use of inculpatory hearsay statements not subject to</w:t>
      </w:r>
      <w:r>
        <w:rPr>
          <w:spacing w:val="19"/>
          <w:sz w:val="23"/>
        </w:rPr>
        <w:t> </w:t>
      </w:r>
      <w:r>
        <w:rPr>
          <w:sz w:val="23"/>
        </w:rPr>
        <w:t>confrontation.</w:t>
      </w:r>
    </w:p>
    <w:p>
      <w:pPr>
        <w:pStyle w:val="ListParagraph"/>
        <w:numPr>
          <w:ilvl w:val="0"/>
          <w:numId w:val="21"/>
        </w:numPr>
        <w:tabs>
          <w:tab w:pos="639" w:val="left" w:leader="none"/>
          <w:tab w:pos="640" w:val="left" w:leader="none"/>
        </w:tabs>
        <w:spacing w:line="240" w:lineRule="auto" w:before="43" w:after="0"/>
        <w:ind w:left="640" w:right="0" w:hanging="408"/>
        <w:jc w:val="left"/>
        <w:rPr>
          <w:sz w:val="23"/>
        </w:rPr>
      </w:pPr>
      <w:r>
        <w:rPr>
          <w:sz w:val="23"/>
        </w:rPr>
        <w:t>These</w:t>
      </w:r>
      <w:r>
        <w:rPr>
          <w:spacing w:val="49"/>
          <w:sz w:val="23"/>
        </w:rPr>
        <w:t> </w:t>
      </w:r>
      <w:r>
        <w:rPr>
          <w:sz w:val="23"/>
        </w:rPr>
        <w:t>statements,</w:t>
      </w:r>
      <w:r>
        <w:rPr>
          <w:spacing w:val="49"/>
          <w:sz w:val="23"/>
        </w:rPr>
        <w:t> </w:t>
      </w:r>
      <w:r>
        <w:rPr>
          <w:sz w:val="23"/>
        </w:rPr>
        <w:t>obviously,</w:t>
      </w:r>
      <w:r>
        <w:rPr>
          <w:spacing w:val="49"/>
          <w:sz w:val="23"/>
        </w:rPr>
        <w:t> </w:t>
      </w:r>
      <w:r>
        <w:rPr>
          <w:sz w:val="23"/>
        </w:rPr>
        <w:t>raise</w:t>
      </w:r>
      <w:r>
        <w:rPr>
          <w:spacing w:val="50"/>
          <w:sz w:val="23"/>
        </w:rPr>
        <w:t> </w:t>
      </w:r>
      <w:r>
        <w:rPr>
          <w:sz w:val="23"/>
        </w:rPr>
        <w:t>profound</w:t>
      </w:r>
      <w:r>
        <w:rPr>
          <w:spacing w:val="49"/>
          <w:sz w:val="23"/>
        </w:rPr>
        <w:t> </w:t>
      </w:r>
      <w:r>
        <w:rPr>
          <w:sz w:val="23"/>
        </w:rPr>
        <w:t>concerns</w:t>
      </w:r>
      <w:r>
        <w:rPr>
          <w:spacing w:val="47"/>
          <w:sz w:val="23"/>
        </w:rPr>
        <w:t> </w:t>
      </w:r>
      <w:r>
        <w:rPr>
          <w:sz w:val="23"/>
        </w:rPr>
        <w:t>--</w:t>
      </w:r>
      <w:r>
        <w:rPr>
          <w:spacing w:val="49"/>
          <w:sz w:val="23"/>
        </w:rPr>
        <w:t> </w:t>
      </w:r>
      <w:r>
        <w:rPr>
          <w:sz w:val="23"/>
        </w:rPr>
        <w:t>concerns</w:t>
      </w:r>
      <w:r>
        <w:rPr>
          <w:spacing w:val="48"/>
          <w:sz w:val="23"/>
        </w:rPr>
        <w:t> </w:t>
      </w:r>
      <w:r>
        <w:rPr>
          <w:sz w:val="23"/>
        </w:rPr>
        <w:t>which</w:t>
      </w:r>
      <w:r>
        <w:rPr>
          <w:spacing w:val="49"/>
          <w:sz w:val="23"/>
        </w:rPr>
        <w:t> </w:t>
      </w:r>
      <w:r>
        <w:rPr>
          <w:sz w:val="23"/>
        </w:rPr>
        <w:t>are</w:t>
      </w:r>
      <w:r>
        <w:rPr>
          <w:spacing w:val="49"/>
          <w:sz w:val="23"/>
        </w:rPr>
        <w:t> </w:t>
      </w:r>
      <w:r>
        <w:rPr>
          <w:sz w:val="23"/>
        </w:rPr>
        <w:t>heightened</w:t>
      </w:r>
      <w:r>
        <w:rPr>
          <w:spacing w:val="48"/>
          <w:sz w:val="23"/>
        </w:rPr>
        <w:t> </w:t>
      </w:r>
      <w:r>
        <w:rPr>
          <w:sz w:val="23"/>
        </w:rPr>
        <w:t>in</w:t>
      </w:r>
      <w:r>
        <w:rPr>
          <w:spacing w:val="46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21"/>
        </w:numPr>
        <w:tabs>
          <w:tab w:pos="639" w:val="left" w:leader="none"/>
          <w:tab w:pos="640" w:val="left" w:leader="none"/>
        </w:tabs>
        <w:spacing w:line="240" w:lineRule="auto" w:before="44" w:after="0"/>
        <w:ind w:left="640" w:right="0" w:hanging="408"/>
        <w:jc w:val="left"/>
        <w:rPr>
          <w:sz w:val="23"/>
        </w:rPr>
      </w:pPr>
      <w:r>
        <w:rPr>
          <w:sz w:val="23"/>
        </w:rPr>
        <w:t>context of gang expert testimony based upon informant statements, particularly</w:t>
      </w:r>
      <w:r>
        <w:rPr>
          <w:spacing w:val="56"/>
          <w:sz w:val="23"/>
        </w:rPr>
        <w:t> </w:t>
      </w:r>
      <w:r>
        <w:rPr>
          <w:sz w:val="23"/>
        </w:rPr>
        <w:t>in-custody</w:t>
      </w:r>
    </w:p>
    <w:p>
      <w:pPr>
        <w:pStyle w:val="ListParagraph"/>
        <w:numPr>
          <w:ilvl w:val="0"/>
          <w:numId w:val="21"/>
        </w:numPr>
        <w:tabs>
          <w:tab w:pos="639" w:val="left" w:leader="none"/>
          <w:tab w:pos="640" w:val="left" w:leader="none"/>
        </w:tabs>
        <w:spacing w:line="240" w:lineRule="auto" w:before="44" w:after="0"/>
        <w:ind w:left="640" w:right="0" w:hanging="408"/>
        <w:jc w:val="left"/>
        <w:rPr>
          <w:sz w:val="23"/>
        </w:rPr>
      </w:pPr>
      <w:r>
        <w:rPr>
          <w:sz w:val="23"/>
        </w:rPr>
        <w:t>statements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unknown</w:t>
      </w:r>
      <w:r>
        <w:rPr>
          <w:spacing w:val="7"/>
          <w:sz w:val="23"/>
        </w:rPr>
        <w:t> </w:t>
      </w:r>
      <w:r>
        <w:rPr>
          <w:sz w:val="23"/>
        </w:rPr>
        <w:t>informants</w:t>
      </w:r>
      <w:r>
        <w:rPr>
          <w:spacing w:val="7"/>
          <w:sz w:val="23"/>
        </w:rPr>
        <w:t> </w:t>
      </w:r>
      <w:r>
        <w:rPr>
          <w:sz w:val="23"/>
        </w:rPr>
        <w:t>faced</w:t>
      </w:r>
      <w:r>
        <w:rPr>
          <w:spacing w:val="8"/>
          <w:sz w:val="23"/>
        </w:rPr>
        <w:t> </w:t>
      </w:r>
      <w:r>
        <w:rPr>
          <w:sz w:val="23"/>
        </w:rPr>
        <w:t>with</w:t>
      </w:r>
      <w:r>
        <w:rPr>
          <w:spacing w:val="7"/>
          <w:sz w:val="23"/>
        </w:rPr>
        <w:t> </w:t>
      </w:r>
      <w:r>
        <w:rPr>
          <w:sz w:val="23"/>
        </w:rPr>
        <w:t>great</w:t>
      </w:r>
      <w:r>
        <w:rPr>
          <w:spacing w:val="5"/>
          <w:sz w:val="23"/>
        </w:rPr>
        <w:t> </w:t>
      </w:r>
      <w:r>
        <w:rPr>
          <w:sz w:val="23"/>
        </w:rPr>
        <w:t>incentives</w:t>
      </w:r>
      <w:r>
        <w:rPr>
          <w:spacing w:val="6"/>
          <w:sz w:val="23"/>
        </w:rPr>
        <w:t> </w:t>
      </w:r>
      <w:r>
        <w:rPr>
          <w:sz w:val="23"/>
        </w:rPr>
        <w:t>to</w:t>
      </w:r>
      <w:r>
        <w:rPr>
          <w:spacing w:val="7"/>
          <w:sz w:val="23"/>
        </w:rPr>
        <w:t> </w:t>
      </w:r>
      <w:r>
        <w:rPr>
          <w:sz w:val="23"/>
        </w:rPr>
        <w:t>fabricate</w:t>
      </w:r>
      <w:r>
        <w:rPr>
          <w:spacing w:val="7"/>
          <w:sz w:val="23"/>
        </w:rPr>
        <w:t> </w:t>
      </w:r>
      <w:r>
        <w:rPr>
          <w:sz w:val="23"/>
        </w:rPr>
        <w:t>or</w:t>
      </w:r>
      <w:r>
        <w:rPr>
          <w:spacing w:val="5"/>
          <w:sz w:val="23"/>
        </w:rPr>
        <w:t> </w:t>
      </w:r>
      <w:r>
        <w:rPr>
          <w:sz w:val="23"/>
        </w:rPr>
        <w:t>exaggerate.</w:t>
      </w:r>
      <w:r>
        <w:rPr>
          <w:spacing w:val="13"/>
          <w:sz w:val="23"/>
        </w:rPr>
        <w:t> </w:t>
      </w:r>
      <w:r>
        <w:rPr>
          <w:sz w:val="23"/>
        </w:rPr>
        <w:t>With</w:t>
      </w:r>
      <w:r>
        <w:rPr>
          <w:spacing w:val="8"/>
          <w:sz w:val="23"/>
        </w:rPr>
        <w:t> </w:t>
      </w:r>
      <w:r>
        <w:rPr>
          <w:sz w:val="23"/>
        </w:rPr>
        <w:t>the</w:t>
      </w:r>
    </w:p>
    <w:p>
      <w:pPr>
        <w:pStyle w:val="ListParagraph"/>
        <w:numPr>
          <w:ilvl w:val="0"/>
          <w:numId w:val="21"/>
        </w:numPr>
        <w:tabs>
          <w:tab w:pos="639" w:val="left" w:leader="none"/>
          <w:tab w:pos="640" w:val="left" w:leader="none"/>
        </w:tabs>
        <w:spacing w:line="240" w:lineRule="auto" w:before="44" w:after="0"/>
        <w:ind w:left="640" w:right="0" w:hanging="528"/>
        <w:jc w:val="left"/>
        <w:rPr>
          <w:sz w:val="23"/>
        </w:rPr>
      </w:pPr>
      <w:r>
        <w:rPr>
          <w:sz w:val="23"/>
        </w:rPr>
        <w:t>exception</w:t>
      </w:r>
      <w:r>
        <w:rPr>
          <w:spacing w:val="37"/>
          <w:sz w:val="23"/>
        </w:rPr>
        <w:t> </w:t>
      </w:r>
      <w:r>
        <w:rPr>
          <w:sz w:val="23"/>
        </w:rPr>
        <w:t>of</w:t>
      </w:r>
      <w:r>
        <w:rPr>
          <w:spacing w:val="38"/>
          <w:sz w:val="23"/>
        </w:rPr>
        <w:t> </w:t>
      </w:r>
      <w:r>
        <w:rPr>
          <w:i/>
          <w:sz w:val="23"/>
        </w:rPr>
        <w:t>Mejia</w:t>
      </w:r>
      <w:r>
        <w:rPr>
          <w:i/>
          <w:spacing w:val="37"/>
          <w:sz w:val="23"/>
        </w:rPr>
        <w:t> </w:t>
      </w:r>
      <w:r>
        <w:rPr>
          <w:sz w:val="23"/>
        </w:rPr>
        <w:t>and</w:t>
      </w:r>
      <w:r>
        <w:rPr>
          <w:spacing w:val="38"/>
          <w:sz w:val="23"/>
        </w:rPr>
        <w:t> </w:t>
      </w:r>
      <w:r>
        <w:rPr>
          <w:i/>
          <w:sz w:val="23"/>
        </w:rPr>
        <w:t>Diaz,</w:t>
      </w:r>
      <w:r>
        <w:rPr>
          <w:i/>
          <w:spacing w:val="39"/>
          <w:sz w:val="23"/>
        </w:rPr>
        <w:t> </w:t>
      </w:r>
      <w:r>
        <w:rPr>
          <w:sz w:val="23"/>
        </w:rPr>
        <w:t>the</w:t>
      </w:r>
      <w:r>
        <w:rPr>
          <w:spacing w:val="38"/>
          <w:sz w:val="23"/>
        </w:rPr>
        <w:t> </w:t>
      </w:r>
      <w:r>
        <w:rPr>
          <w:sz w:val="23"/>
        </w:rPr>
        <w:t>government</w:t>
      </w:r>
      <w:r>
        <w:rPr>
          <w:spacing w:val="38"/>
          <w:sz w:val="23"/>
        </w:rPr>
        <w:t> </w:t>
      </w:r>
      <w:r>
        <w:rPr>
          <w:sz w:val="23"/>
        </w:rPr>
        <w:t>cites</w:t>
      </w:r>
      <w:r>
        <w:rPr>
          <w:spacing w:val="38"/>
          <w:sz w:val="23"/>
        </w:rPr>
        <w:t> </w:t>
      </w:r>
      <w:r>
        <w:rPr>
          <w:sz w:val="23"/>
        </w:rPr>
        <w:t>obsolete</w:t>
      </w:r>
      <w:r>
        <w:rPr>
          <w:spacing w:val="39"/>
          <w:sz w:val="23"/>
        </w:rPr>
        <w:t> </w:t>
      </w:r>
      <w:r>
        <w:rPr>
          <w:sz w:val="23"/>
        </w:rPr>
        <w:t>pre-</w:t>
      </w:r>
      <w:r>
        <w:rPr>
          <w:i/>
          <w:sz w:val="23"/>
        </w:rPr>
        <w:t>Crawford</w:t>
      </w:r>
      <w:r>
        <w:rPr>
          <w:i/>
          <w:spacing w:val="39"/>
          <w:sz w:val="23"/>
        </w:rPr>
        <w:t> </w:t>
      </w:r>
      <w:r>
        <w:rPr>
          <w:sz w:val="23"/>
        </w:rPr>
        <w:t>case</w:t>
      </w:r>
      <w:r>
        <w:rPr>
          <w:spacing w:val="38"/>
          <w:sz w:val="23"/>
        </w:rPr>
        <w:t> </w:t>
      </w:r>
      <w:r>
        <w:rPr>
          <w:sz w:val="23"/>
        </w:rPr>
        <w:t>law.</w:t>
      </w:r>
      <w:r>
        <w:rPr>
          <w:spacing w:val="22"/>
          <w:sz w:val="23"/>
        </w:rPr>
        <w:t> </w:t>
      </w:r>
      <w:r>
        <w:rPr>
          <w:i/>
          <w:sz w:val="23"/>
        </w:rPr>
        <w:t>Mejia</w:t>
      </w:r>
      <w:r>
        <w:rPr>
          <w:sz w:val="23"/>
        </w:rPr>
        <w:t>,</w:t>
      </w:r>
      <w:r>
        <w:rPr>
          <w:spacing w:val="39"/>
          <w:sz w:val="23"/>
        </w:rPr>
        <w:t> </w:t>
      </w:r>
      <w:r>
        <w:rPr>
          <w:sz w:val="23"/>
        </w:rPr>
        <w:t>of</w:t>
      </w:r>
    </w:p>
    <w:p>
      <w:pPr>
        <w:pStyle w:val="ListParagraph"/>
        <w:numPr>
          <w:ilvl w:val="0"/>
          <w:numId w:val="21"/>
        </w:numPr>
        <w:tabs>
          <w:tab w:pos="639" w:val="left" w:leader="none"/>
          <w:tab w:pos="640" w:val="left" w:leader="none"/>
        </w:tabs>
        <w:spacing w:line="300" w:lineRule="atLeast" w:before="44" w:after="0"/>
        <w:ind w:left="640" w:right="242" w:hanging="528"/>
        <w:jc w:val="left"/>
        <w:rPr>
          <w:sz w:val="23"/>
        </w:rPr>
      </w:pPr>
      <w:r>
        <w:rPr>
          <w:sz w:val="23"/>
        </w:rPr>
        <w:t>course, supports the defense objection. </w:t>
      </w:r>
      <w:r>
        <w:rPr>
          <w:i/>
          <w:sz w:val="23"/>
        </w:rPr>
        <w:t>Diaz</w:t>
      </w:r>
      <w:r>
        <w:rPr>
          <w:sz w:val="23"/>
        </w:rPr>
        <w:t>, as this Court knows, concerned much, much </w:t>
      </w:r>
      <w:r>
        <w:rPr>
          <w:spacing w:val="-3"/>
          <w:sz w:val="23"/>
        </w:rPr>
        <w:t>more </w:t>
      </w:r>
      <w:r>
        <w:rPr>
          <w:sz w:val="23"/>
        </w:rPr>
        <w:t>limited testimony than the testimony offered</w:t>
      </w:r>
      <w:r>
        <w:rPr>
          <w:spacing w:val="-15"/>
          <w:sz w:val="23"/>
        </w:rPr>
        <w:t> </w:t>
      </w:r>
      <w:r>
        <w:rPr>
          <w:sz w:val="23"/>
        </w:rPr>
        <w:t>here.</w:t>
      </w:r>
      <w:hyperlink w:history="true" w:anchor="_bookmark6">
        <w:r>
          <w:rPr>
            <w:sz w:val="23"/>
            <w:vertAlign w:val="superscript"/>
          </w:rPr>
          <w:t>7</w:t>
        </w:r>
      </w:hyperlink>
    </w:p>
    <w:p>
      <w:pPr>
        <w:pStyle w:val="Heading1"/>
        <w:spacing w:line="163" w:lineRule="exact"/>
        <w:rPr>
          <w:rFonts w:ascii="Times New Roman"/>
        </w:rPr>
      </w:pPr>
      <w:r>
        <w:rPr>
          <w:rFonts w:ascii="Times New Roman"/>
        </w:rPr>
        <w:t>12</w:t>
      </w:r>
    </w:p>
    <w:p>
      <w:pPr>
        <w:pStyle w:val="ListParagraph"/>
        <w:numPr>
          <w:ilvl w:val="0"/>
          <w:numId w:val="22"/>
        </w:numPr>
        <w:tabs>
          <w:tab w:pos="1359" w:val="left" w:leader="none"/>
          <w:tab w:pos="1360" w:val="left" w:leader="none"/>
        </w:tabs>
        <w:spacing w:line="223" w:lineRule="auto" w:before="47" w:after="0"/>
        <w:ind w:left="640" w:right="323" w:hanging="528"/>
        <w:jc w:val="left"/>
        <w:rPr>
          <w:sz w:val="23"/>
        </w:rPr>
      </w:pPr>
      <w:r>
        <w:rPr/>
        <w:tab/>
      </w:r>
      <w:r>
        <w:rPr>
          <w:sz w:val="23"/>
        </w:rPr>
        <w:t>The government recognizes that expert witnesses “testify beyond their proper bounds when they simply recite unvarnished hearsay statements” and that having an expert who</w:t>
      </w:r>
      <w:r>
        <w:rPr>
          <w:spacing w:val="-31"/>
          <w:sz w:val="23"/>
        </w:rPr>
        <w:t> </w:t>
      </w:r>
      <w:r>
        <w:rPr>
          <w:sz w:val="23"/>
        </w:rPr>
        <w:t>“essentially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401" w:lineRule="exact" w:before="0" w:after="0"/>
        <w:ind w:left="640" w:right="0" w:hanging="528"/>
        <w:jc w:val="left"/>
        <w:rPr>
          <w:sz w:val="23"/>
        </w:rPr>
      </w:pPr>
      <w:r>
        <w:rPr>
          <w:sz w:val="23"/>
        </w:rPr>
        <w:t>summarized the results of the Task Force investigation” exceeded the boundaries of</w:t>
      </w:r>
      <w:r>
        <w:rPr>
          <w:spacing w:val="-32"/>
          <w:sz w:val="23"/>
        </w:rPr>
        <w:t> </w:t>
      </w:r>
      <w:r>
        <w:rPr>
          <w:sz w:val="23"/>
        </w:rPr>
        <w:t>expert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33" w:after="0"/>
        <w:ind w:left="640" w:right="0" w:hanging="528"/>
        <w:jc w:val="left"/>
        <w:rPr>
          <w:sz w:val="23"/>
        </w:rPr>
      </w:pPr>
      <w:r>
        <w:rPr>
          <w:sz w:val="23"/>
        </w:rPr>
        <w:t>testimony.” The government claims it “does not intend to cross this line.” The</w:t>
      </w:r>
      <w:r>
        <w:rPr>
          <w:spacing w:val="-17"/>
          <w:sz w:val="23"/>
        </w:rPr>
        <w:t> </w:t>
      </w:r>
      <w:r>
        <w:rPr>
          <w:sz w:val="23"/>
        </w:rPr>
        <w:t>government’s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12" w:after="0"/>
        <w:ind w:left="640" w:right="0" w:hanging="528"/>
        <w:jc w:val="left"/>
        <w:rPr>
          <w:sz w:val="23"/>
        </w:rPr>
      </w:pPr>
      <w:r>
        <w:rPr>
          <w:sz w:val="23"/>
        </w:rPr>
        <w:t>description of its proposed expert testimony, however, does exactly that. In this RICO case</w:t>
      </w:r>
      <w:r>
        <w:rPr>
          <w:spacing w:val="-29"/>
          <w:sz w:val="23"/>
        </w:rPr>
        <w:t> </w:t>
      </w:r>
      <w:r>
        <w:rPr>
          <w:sz w:val="23"/>
        </w:rPr>
        <w:t>where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34" w:after="0"/>
        <w:ind w:left="640" w:right="0" w:hanging="528"/>
        <w:jc w:val="left"/>
        <w:rPr>
          <w:sz w:val="23"/>
        </w:rPr>
      </w:pPr>
      <w:r>
        <w:rPr>
          <w:sz w:val="23"/>
        </w:rPr>
        <w:t>MS-13 is charged as the enterprise, the government seeks to introduce un-confrontable</w:t>
      </w:r>
      <w:r>
        <w:rPr>
          <w:spacing w:val="-17"/>
          <w:sz w:val="23"/>
        </w:rPr>
        <w:t> </w:t>
      </w:r>
      <w:r>
        <w:rPr>
          <w:sz w:val="23"/>
        </w:rPr>
        <w:t>testimony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69" w:after="0"/>
        <w:ind w:left="640" w:right="373" w:hanging="528"/>
        <w:jc w:val="left"/>
        <w:rPr>
          <w:sz w:val="23"/>
        </w:rPr>
      </w:pPr>
      <w:r>
        <w:rPr>
          <w:sz w:val="23"/>
        </w:rPr>
        <w:t>about: “MS-13’s origins, development, and evolution in Los Angeles and its spread to other Locations” and “MS-13’s rise in the San Francisco Bay Area, how it established itself and</w:t>
      </w:r>
      <w:r>
        <w:rPr>
          <w:spacing w:val="-33"/>
          <w:sz w:val="23"/>
        </w:rPr>
        <w:t> </w:t>
      </w:r>
      <w:r>
        <w:rPr>
          <w:sz w:val="23"/>
        </w:rPr>
        <w:t>claimed</w:t>
      </w:r>
    </w:p>
    <w:p>
      <w:pPr>
        <w:pStyle w:val="Heading1"/>
        <w:spacing w:line="169" w:lineRule="exact"/>
        <w:rPr>
          <w:rFonts w:ascii="Times New Roman"/>
        </w:rPr>
      </w:pPr>
      <w:r>
        <w:rPr>
          <w:rFonts w:ascii="Times New Roman"/>
        </w:rPr>
        <w:t>19</w:t>
      </w:r>
    </w:p>
    <w:p>
      <w:pPr>
        <w:pStyle w:val="BodyText"/>
        <w:spacing w:line="228" w:lineRule="exact"/>
      </w:pPr>
      <w:r>
        <w:rPr/>
        <w:t>territory in the Mission District around 20th Street, and the territories claimed by the various gangs</w:t>
      </w:r>
    </w:p>
    <w:p>
      <w:pPr>
        <w:pStyle w:val="BodyText"/>
        <w:tabs>
          <w:tab w:pos="639" w:val="left" w:leader="none"/>
        </w:tabs>
        <w:spacing w:before="2"/>
        <w:ind w:left="111"/>
      </w:pPr>
      <w:r>
        <w:rPr>
          <w:position w:val="12"/>
          <w:sz w:val="24"/>
        </w:rPr>
        <w:t>20</w:t>
        <w:tab/>
      </w:r>
      <w:r>
        <w:rPr/>
        <w:t>of San Francisco.” This summarization of the investigation is exactly what </w:t>
      </w:r>
      <w:r>
        <w:rPr>
          <w:i/>
        </w:rPr>
        <w:t>Mejia</w:t>
      </w:r>
      <w:r>
        <w:rPr>
          <w:i/>
          <w:spacing w:val="-22"/>
        </w:rPr>
        <w:t> </w:t>
      </w:r>
      <w:r>
        <w:rPr/>
        <w:t>forbids.</w:t>
      </w:r>
    </w:p>
    <w:p>
      <w:pPr>
        <w:pStyle w:val="Heading1"/>
        <w:spacing w:line="269" w:lineRule="exact" w:before="77"/>
        <w:rPr>
          <w:rFonts w:ascii="Times New Roman"/>
        </w:rPr>
      </w:pPr>
      <w:r>
        <w:rPr>
          <w:rFonts w:ascii="Times New Roman"/>
        </w:rPr>
        <w:t>21</w:t>
      </w:r>
    </w:p>
    <w:p>
      <w:pPr>
        <w:pStyle w:val="BodyText"/>
        <w:tabs>
          <w:tab w:pos="5679" w:val="left" w:leader="none"/>
        </w:tabs>
        <w:spacing w:line="229" w:lineRule="exact"/>
        <w:ind w:left="639"/>
      </w:pPr>
      <w:r>
        <w:rPr/>
        <w:t>Dated: November</w:t>
      </w:r>
      <w:r>
        <w:rPr>
          <w:spacing w:val="-4"/>
        </w:rPr>
        <w:t> </w:t>
      </w:r>
      <w:r>
        <w:rPr/>
        <w:t>19,</w:t>
      </w:r>
      <w:r>
        <w:rPr>
          <w:spacing w:val="-2"/>
        </w:rPr>
        <w:t> </w:t>
      </w:r>
      <w:r>
        <w:rPr/>
        <w:t>2010</w:t>
        <w:tab/>
        <w:t>Respectfully</w:t>
      </w:r>
      <w:r>
        <w:rPr>
          <w:spacing w:val="-3"/>
        </w:rPr>
        <w:t> </w:t>
      </w:r>
      <w:r>
        <w:rPr/>
        <w:t>Submitted,</w:t>
      </w:r>
    </w:p>
    <w:p>
      <w:pPr>
        <w:pStyle w:val="Heading1"/>
        <w:spacing w:line="237" w:lineRule="exact"/>
        <w:rPr>
          <w:rFonts w:ascii="Times New Roman"/>
        </w:rPr>
      </w:pPr>
      <w:r>
        <w:rPr>
          <w:rFonts w:ascii="Times New Roman"/>
        </w:rPr>
        <w:t>22</w:t>
      </w:r>
    </w:p>
    <w:p>
      <w:pPr>
        <w:pStyle w:val="BodyText"/>
        <w:tabs>
          <w:tab w:pos="6486" w:val="left" w:leader="none"/>
          <w:tab w:pos="8084" w:val="left" w:leader="none"/>
        </w:tabs>
        <w:spacing w:line="230" w:lineRule="exact"/>
        <w:ind w:left="567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/s/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23"/>
        </w:numPr>
        <w:tabs>
          <w:tab w:pos="5679" w:val="left" w:leader="none"/>
          <w:tab w:pos="5680" w:val="left" w:leader="none"/>
        </w:tabs>
        <w:spacing w:line="290" w:lineRule="exact" w:before="0" w:after="0"/>
        <w:ind w:left="5680" w:right="0" w:hanging="5568"/>
        <w:jc w:val="left"/>
        <w:rPr>
          <w:sz w:val="23"/>
        </w:rPr>
      </w:pPr>
      <w:r>
        <w:rPr>
          <w:sz w:val="23"/>
        </w:rPr>
        <w:t>MARTIN</w:t>
      </w:r>
      <w:r>
        <w:rPr>
          <w:spacing w:val="-2"/>
          <w:sz w:val="23"/>
        </w:rPr>
        <w:t> </w:t>
      </w:r>
      <w:r>
        <w:rPr>
          <w:sz w:val="23"/>
        </w:rPr>
        <w:t>SABELLI</w:t>
      </w:r>
    </w:p>
    <w:p>
      <w:pPr>
        <w:pStyle w:val="ListParagraph"/>
        <w:numPr>
          <w:ilvl w:val="0"/>
          <w:numId w:val="23"/>
        </w:numPr>
        <w:tabs>
          <w:tab w:pos="5679" w:val="left" w:leader="none"/>
          <w:tab w:pos="5680" w:val="left" w:leader="none"/>
        </w:tabs>
        <w:spacing w:line="228" w:lineRule="auto" w:before="2" w:after="0"/>
        <w:ind w:left="5680" w:right="0" w:hanging="5568"/>
        <w:jc w:val="left"/>
        <w:rPr>
          <w:sz w:val="23"/>
        </w:rPr>
      </w:pPr>
      <w:r>
        <w:rPr>
          <w:sz w:val="23"/>
        </w:rPr>
        <w:t>Attorney for Guillermo</w:t>
      </w:r>
      <w:r>
        <w:rPr>
          <w:spacing w:val="-5"/>
          <w:sz w:val="23"/>
        </w:rPr>
        <w:t> </w:t>
      </w:r>
      <w:r>
        <w:rPr>
          <w:sz w:val="23"/>
        </w:rPr>
        <w:t>Herrera</w:t>
      </w:r>
    </w:p>
    <w:p>
      <w:pPr>
        <w:pStyle w:val="Heading1"/>
        <w:spacing w:line="246" w:lineRule="exact" w:before="206"/>
        <w:rPr>
          <w:rFonts w:ascii="Times New Roman"/>
        </w:rPr>
      </w:pPr>
      <w:bookmarkStart w:name="_bookmark6" w:id="12"/>
      <w:bookmarkEnd w:id="12"/>
      <w:r>
        <w:rPr/>
      </w:r>
      <w:r>
        <w:rPr>
          <w:rFonts w:ascii="Times New Roman"/>
        </w:rPr>
        <w:t>25</w:t>
      </w:r>
    </w:p>
    <w:p>
      <w:pPr>
        <w:pStyle w:val="BodyText"/>
        <w:spacing w:line="252" w:lineRule="exact"/>
        <w:ind w:left="1360"/>
      </w:pPr>
      <w:r>
        <w:rPr>
          <w:position w:val="11"/>
          <w:sz w:val="16"/>
        </w:rPr>
        <w:t>7 </w:t>
      </w:r>
      <w:r>
        <w:rPr/>
        <w:t>The use of “expert” testimony to establish the RICO enterprise is several steps beyond the</w:t>
      </w:r>
    </w:p>
    <w:p>
      <w:pPr>
        <w:pStyle w:val="ListParagraph"/>
        <w:numPr>
          <w:ilvl w:val="0"/>
          <w:numId w:val="24"/>
        </w:numPr>
        <w:tabs>
          <w:tab w:pos="640" w:val="left" w:leader="none"/>
          <w:tab w:pos="641" w:val="left" w:leader="none"/>
        </w:tabs>
        <w:spacing w:line="264" w:lineRule="exact" w:before="36" w:after="0"/>
        <w:ind w:left="640" w:right="457" w:hanging="528"/>
        <w:jc w:val="left"/>
        <w:rPr>
          <w:sz w:val="23"/>
        </w:rPr>
      </w:pPr>
      <w:r>
        <w:rPr>
          <w:sz w:val="23"/>
        </w:rPr>
        <w:t>use of expert testimony to translate street jargon that this Court allowed in </w:t>
      </w:r>
      <w:r>
        <w:rPr>
          <w:i/>
          <w:sz w:val="23"/>
        </w:rPr>
        <w:t>United States v. Diaz</w:t>
      </w:r>
      <w:r>
        <w:rPr>
          <w:sz w:val="23"/>
        </w:rPr>
        <w:t>, 2006 WL 2699042. Moreover in </w:t>
      </w:r>
      <w:r>
        <w:rPr>
          <w:i/>
          <w:sz w:val="23"/>
        </w:rPr>
        <w:t>Diaz</w:t>
      </w:r>
      <w:r>
        <w:rPr>
          <w:sz w:val="23"/>
        </w:rPr>
        <w:t>, the government was ordered to provide the specific</w:t>
      </w:r>
      <w:r>
        <w:rPr>
          <w:spacing w:val="-25"/>
          <w:sz w:val="23"/>
        </w:rPr>
        <w:t> </w:t>
      </w:r>
      <w:r>
        <w:rPr>
          <w:sz w:val="23"/>
        </w:rPr>
        <w:t>police</w:t>
      </w:r>
    </w:p>
    <w:p>
      <w:pPr>
        <w:pStyle w:val="ListParagraph"/>
        <w:numPr>
          <w:ilvl w:val="0"/>
          <w:numId w:val="24"/>
        </w:numPr>
        <w:tabs>
          <w:tab w:pos="640" w:val="left" w:leader="none"/>
          <w:tab w:pos="641" w:val="left" w:leader="none"/>
        </w:tabs>
        <w:spacing w:line="261" w:lineRule="exact" w:before="0" w:after="0"/>
        <w:ind w:left="640" w:right="0" w:hanging="528"/>
        <w:jc w:val="left"/>
        <w:rPr>
          <w:sz w:val="23"/>
        </w:rPr>
      </w:pPr>
      <w:r>
        <w:rPr>
          <w:sz w:val="23"/>
        </w:rPr>
        <w:t>reports on which the experts’ opinions were based. Here, the hearings establish that the</w:t>
      </w:r>
      <w:r>
        <w:rPr>
          <w:spacing w:val="-22"/>
          <w:sz w:val="23"/>
        </w:rPr>
        <w:t> </w:t>
      </w:r>
      <w:r>
        <w:rPr>
          <w:sz w:val="23"/>
        </w:rPr>
        <w:t>opinions</w:t>
      </w:r>
    </w:p>
    <w:p>
      <w:pPr>
        <w:pStyle w:val="ListParagraph"/>
        <w:numPr>
          <w:ilvl w:val="0"/>
          <w:numId w:val="24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528"/>
        <w:jc w:val="left"/>
        <w:rPr>
          <w:sz w:val="23"/>
        </w:rPr>
      </w:pPr>
      <w:r>
        <w:rPr>
          <w:sz w:val="23"/>
        </w:rPr>
        <w:t>are based upon the impressionistic result of many interviews, experience, and</w:t>
      </w:r>
      <w:r>
        <w:rPr>
          <w:spacing w:val="-19"/>
          <w:sz w:val="23"/>
        </w:rPr>
        <w:t> </w:t>
      </w:r>
      <w:r>
        <w:rPr>
          <w:sz w:val="23"/>
        </w:rPr>
        <w:t>training.</w:t>
      </w:r>
    </w:p>
    <w:sectPr>
      <w:footerReference w:type="default" r:id="rId7"/>
      <w:pgSz w:w="12240" w:h="15840"/>
      <w:pgMar w:footer="787" w:header="0" w:top="0" w:bottom="980" w:left="1520" w:right="620"/>
      <w:pgNumType w:start="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559998pt;margin-top:741.651184pt;width:466.7pt;height:16.4pt;mso-position-horizontal-relative:page;mso-position-vertical-relative:page;z-index:-15904" type="#_x0000_t202" filled="false" stroked="false">
          <v:textbox inset="0,0,0,0">
            <w:txbxContent>
              <w:p>
                <w:pPr>
                  <w:tabs>
                    <w:tab w:pos="4584" w:val="left" w:leader="none"/>
                    <w:tab w:pos="9293" w:val="left" w:leader="none"/>
                  </w:tabs>
                  <w:spacing w:before="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9"/>
                    <w:sz w:val="26"/>
                    <w:u w:val="single"/>
                  </w:rPr>
                  <w:t> </w:t>
                </w:r>
                <w:r>
                  <w:rPr>
                    <w:sz w:val="26"/>
                    <w:u w:val="single"/>
                  </w:rPr>
                  <w:tab/>
                </w:r>
                <w:r>
                  <w:rPr/>
                  <w:fldChar w:fldCharType="begin"/>
                </w:r>
                <w:r>
                  <w:rPr>
                    <w:sz w:val="26"/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6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5.559998pt;margin-top:741.651184pt;width:466.7pt;height:16.4pt;mso-position-horizontal-relative:page;mso-position-vertical-relative:page;z-index:-15880" type="#_x0000_t202" filled="false" stroked="false">
          <v:textbox inset="0,0,0,0">
            <w:txbxContent>
              <w:p>
                <w:pPr>
                  <w:tabs>
                    <w:tab w:pos="4519" w:val="left" w:leader="none"/>
                    <w:tab w:pos="9293" w:val="left" w:leader="none"/>
                  </w:tabs>
                  <w:spacing w:before="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9"/>
                    <w:sz w:val="26"/>
                    <w:u w:val="single"/>
                  </w:rPr>
                  <w:t> </w:t>
                </w:r>
                <w:r>
                  <w:rPr>
                    <w:sz w:val="26"/>
                    <w:u w:val="single"/>
                  </w:rPr>
                  <w:tab/>
                </w:r>
                <w:r>
                  <w:rPr/>
                  <w:fldChar w:fldCharType="begin"/>
                </w:r>
                <w:r>
                  <w:rPr>
                    <w:sz w:val="26"/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6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26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5"/>
        <w:w w:val="100"/>
        <w:position w:val="5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5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5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5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5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5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5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529"/>
      </w:pPr>
      <w:rPr>
        <w:rFonts w:hint="default"/>
      </w:rPr>
    </w:lvl>
  </w:abstractNum>
  <w:abstractNum w:abstractNumId="22">
    <w:multiLevelType w:val="hybridMultilevel"/>
    <w:lvl w:ilvl="0">
      <w:start w:val="23"/>
      <w:numFmt w:val="decimal"/>
      <w:lvlText w:val="%1"/>
      <w:lvlJc w:val="left"/>
      <w:pPr>
        <w:ind w:left="5680" w:hanging="5568"/>
        <w:jc w:val="left"/>
      </w:pPr>
      <w:rPr>
        <w:rFonts w:hint="default" w:ascii="Times New Roman" w:hAnsi="Times New Roman" w:eastAsia="Times New Roman" w:cs="Times New Roman"/>
        <w:spacing w:val="-3"/>
        <w:w w:val="100"/>
        <w:position w:val="4"/>
        <w:sz w:val="24"/>
        <w:szCs w:val="24"/>
      </w:rPr>
    </w:lvl>
    <w:lvl w:ilvl="1">
      <w:start w:val="0"/>
      <w:numFmt w:val="bullet"/>
      <w:lvlText w:val="•"/>
      <w:lvlJc w:val="left"/>
      <w:pPr>
        <w:ind w:left="6122" w:hanging="55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64" w:hanging="5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06" w:hanging="5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48" w:hanging="5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90" w:hanging="5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32" w:hanging="5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74" w:hanging="5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6" w:hanging="5568"/>
      </w:pPr>
      <w:rPr>
        <w:rFonts w:hint="default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640" w:hanging="1248"/>
        <w:jc w:val="left"/>
      </w:pPr>
      <w:rPr>
        <w:rFonts w:hint="default" w:ascii="Times New Roman" w:hAnsi="Times New Roman" w:eastAsia="Times New Roman" w:cs="Times New Roman"/>
        <w:spacing w:val="-5"/>
        <w:w w:val="100"/>
        <w:position w:val="-15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1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1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1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1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1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1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1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1248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1360" w:hanging="1128"/>
        <w:jc w:val="right"/>
      </w:pPr>
      <w:rPr>
        <w:rFonts w:hint="default" w:ascii="Times New Roman" w:hAnsi="Times New Roman" w:eastAsia="Times New Roman" w:cs="Times New Roman"/>
        <w:spacing w:val="-28"/>
        <w:w w:val="100"/>
        <w:position w:val="-15"/>
        <w:sz w:val="24"/>
        <w:szCs w:val="24"/>
      </w:rPr>
    </w:lvl>
    <w:lvl w:ilvl="1">
      <w:start w:val="0"/>
      <w:numFmt w:val="bullet"/>
      <w:lvlText w:val="•"/>
      <w:lvlJc w:val="left"/>
      <w:pPr>
        <w:ind w:left="2234" w:hanging="1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2" w:hanging="1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6" w:hanging="1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1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1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1128"/>
      </w:pPr>
      <w:rPr>
        <w:rFonts w:hint="default"/>
      </w:rPr>
    </w:lvl>
  </w:abstractNum>
  <w:abstractNum w:abstractNumId="19">
    <w:multiLevelType w:val="hybridMultilevel"/>
    <w:lvl w:ilvl="0">
      <w:start w:val="20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w w:val="100"/>
        <w:position w:val="16"/>
        <w:sz w:val="24"/>
        <w:szCs w:val="24"/>
      </w:rPr>
    </w:lvl>
    <w:lvl w:ilvl="1">
      <w:start w:val="0"/>
      <w:numFmt w:val="bullet"/>
      <w:lvlText w:val="•"/>
      <w:lvlJc w:val="left"/>
      <w:pPr>
        <w:ind w:left="1360" w:hanging="5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1" w:hanging="5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5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3" w:hanging="5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4" w:hanging="5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5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5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52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640" w:hanging="408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4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408"/>
      </w:pPr>
      <w:rPr>
        <w:rFonts w:hint="default"/>
      </w:rPr>
    </w:lvl>
  </w:abstractNum>
  <w:abstractNum w:abstractNumId="17">
    <w:multiLevelType w:val="hybridMultilevel"/>
    <w:lvl w:ilvl="0">
      <w:start w:val="18"/>
      <w:numFmt w:val="decimal"/>
      <w:lvlText w:val="%1"/>
      <w:lvlJc w:val="left"/>
      <w:pPr>
        <w:ind w:left="1360" w:hanging="124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34" w:hanging="1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2" w:hanging="1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6" w:hanging="1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1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1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1248"/>
      </w:pPr>
      <w:rPr>
        <w:rFonts w:hint="default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640" w:hanging="528"/>
        <w:jc w:val="left"/>
      </w:pPr>
      <w:rPr>
        <w:rFonts w:hint="default" w:ascii="Times New Roman" w:hAnsi="Times New Roman" w:eastAsia="Times New Roman" w:cs="Times New Roman"/>
        <w:spacing w:val="-5"/>
        <w:w w:val="100"/>
        <w:position w:val="-15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5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5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5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5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5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5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528"/>
      </w:pPr>
      <w:rPr>
        <w:rFonts w:hint="default"/>
      </w:rPr>
    </w:lvl>
  </w:abstractNum>
  <w:abstractNum w:abstractNumId="15">
    <w:multiLevelType w:val="hybridMultilevel"/>
    <w:lvl w:ilvl="0">
      <w:start w:val="26"/>
      <w:numFmt w:val="decimal"/>
      <w:lvlText w:val="%1"/>
      <w:lvlJc w:val="left"/>
      <w:pPr>
        <w:ind w:left="639" w:hanging="1248"/>
        <w:jc w:val="left"/>
      </w:pPr>
      <w:rPr>
        <w:rFonts w:hint="default" w:ascii="Times New Roman" w:hAnsi="Times New Roman" w:eastAsia="Times New Roman" w:cs="Times New Roman"/>
        <w:spacing w:val="-11"/>
        <w:w w:val="99"/>
        <w:position w:val="5"/>
        <w:sz w:val="24"/>
        <w:szCs w:val="24"/>
      </w:rPr>
    </w:lvl>
    <w:lvl w:ilvl="1">
      <w:start w:val="1"/>
      <w:numFmt w:val="decimal"/>
      <w:lvlText w:val="%2"/>
      <w:lvlJc w:val="left"/>
      <w:pPr>
        <w:ind w:left="1360" w:hanging="112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331" w:hanging="1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1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3" w:hanging="1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4" w:hanging="1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1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1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1128"/>
      </w:pPr>
      <w:rPr>
        <w:rFonts w:hint="default"/>
      </w:rPr>
    </w:lvl>
  </w:abstractNum>
  <w:abstractNum w:abstractNumId="14">
    <w:multiLevelType w:val="hybridMultilevel"/>
    <w:lvl w:ilvl="0">
      <w:start w:val="17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4"/>
        <w:w w:val="100"/>
        <w:position w:val="11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5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5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5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5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5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5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529"/>
      </w:pPr>
      <w:rPr>
        <w:rFonts w:hint="default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639" w:hanging="1248"/>
        <w:jc w:val="left"/>
      </w:pPr>
      <w:rPr>
        <w:rFonts w:hint="default" w:ascii="Times New Roman" w:hAnsi="Times New Roman" w:eastAsia="Times New Roman" w:cs="Times New Roman"/>
        <w:spacing w:val="-13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1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1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1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1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1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1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1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1248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640" w:hanging="408"/>
        <w:jc w:val="left"/>
      </w:pPr>
      <w:rPr>
        <w:rFonts w:hint="default" w:ascii="Times New Roman" w:hAnsi="Times New Roman" w:eastAsia="Times New Roman" w:cs="Times New Roman"/>
        <w:spacing w:val="-5"/>
        <w:w w:val="100"/>
        <w:position w:val="-9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4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408"/>
      </w:pPr>
      <w:rPr>
        <w:rFonts w:hint="default"/>
      </w:rPr>
    </w:lvl>
  </w:abstractNum>
  <w:abstractNum w:abstractNumId="11">
    <w:multiLevelType w:val="hybridMultilevel"/>
    <w:lvl w:ilvl="0">
      <w:start w:val="27"/>
      <w:numFmt w:val="decimal"/>
      <w:lvlText w:val="%1"/>
      <w:lvlJc w:val="left"/>
      <w:pPr>
        <w:ind w:left="640" w:hanging="1248"/>
        <w:jc w:val="left"/>
      </w:pPr>
      <w:rPr>
        <w:rFonts w:hint="default" w:ascii="Times New Roman" w:hAnsi="Times New Roman" w:eastAsia="Times New Roman" w:cs="Times New Roman"/>
        <w:spacing w:val="-14"/>
        <w:w w:val="99"/>
        <w:position w:val="-12"/>
        <w:sz w:val="24"/>
        <w:szCs w:val="24"/>
      </w:rPr>
    </w:lvl>
    <w:lvl w:ilvl="1">
      <w:start w:val="1"/>
      <w:numFmt w:val="decimal"/>
      <w:lvlText w:val="%2"/>
      <w:lvlJc w:val="left"/>
      <w:pPr>
        <w:ind w:left="640" w:hanging="4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532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408"/>
      </w:pPr>
      <w:rPr>
        <w:rFonts w:hint="default"/>
      </w:rPr>
    </w:lvl>
  </w:abstractNum>
  <w:abstractNum w:abstractNumId="10">
    <w:multiLevelType w:val="hybridMultilevel"/>
    <w:lvl w:ilvl="0">
      <w:start w:val="16"/>
      <w:numFmt w:val="decimal"/>
      <w:lvlText w:val="%1"/>
      <w:lvlJc w:val="left"/>
      <w:pPr>
        <w:ind w:left="1360" w:hanging="1248"/>
        <w:jc w:val="left"/>
      </w:pPr>
      <w:rPr>
        <w:rFonts w:hint="default" w:ascii="Times New Roman" w:hAnsi="Times New Roman" w:eastAsia="Times New Roman" w:cs="Times New Roman"/>
        <w:spacing w:val="-9"/>
        <w:w w:val="99"/>
        <w:position w:val="5"/>
        <w:sz w:val="24"/>
        <w:szCs w:val="24"/>
      </w:rPr>
    </w:lvl>
    <w:lvl w:ilvl="1">
      <w:start w:val="0"/>
      <w:numFmt w:val="bullet"/>
      <w:lvlText w:val="•"/>
      <w:lvlJc w:val="left"/>
      <w:pPr>
        <w:ind w:left="2234" w:hanging="1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2" w:hanging="1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6" w:hanging="1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1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1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1248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360" w:hanging="1128"/>
        <w:jc w:val="right"/>
      </w:pPr>
      <w:rPr>
        <w:rFonts w:hint="default" w:ascii="Times New Roman" w:hAnsi="Times New Roman" w:eastAsia="Times New Roman" w:cs="Times New Roman"/>
        <w:spacing w:val="-5"/>
        <w:w w:val="100"/>
        <w:position w:val="-2"/>
        <w:sz w:val="24"/>
        <w:szCs w:val="24"/>
      </w:rPr>
    </w:lvl>
    <w:lvl w:ilvl="1">
      <w:start w:val="0"/>
      <w:numFmt w:val="bullet"/>
      <w:lvlText w:val="•"/>
      <w:lvlJc w:val="left"/>
      <w:pPr>
        <w:ind w:left="2234" w:hanging="1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2" w:hanging="1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6" w:hanging="1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1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1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1128"/>
      </w:pPr>
      <w:rPr>
        <w:rFonts w:hint="default"/>
      </w:rPr>
    </w:lvl>
  </w:abstractNum>
  <w:abstractNum w:abstractNumId="8">
    <w:multiLevelType w:val="hybridMultilevel"/>
    <w:lvl w:ilvl="0">
      <w:start w:val="20"/>
      <w:numFmt w:val="decimal"/>
      <w:lvlText w:val="%1"/>
      <w:lvlJc w:val="left"/>
      <w:pPr>
        <w:ind w:left="640" w:hanging="528"/>
        <w:jc w:val="left"/>
      </w:pPr>
      <w:rPr>
        <w:rFonts w:hint="default" w:ascii="Times New Roman" w:hAnsi="Times New Roman" w:eastAsia="Times New Roman" w:cs="Times New Roman"/>
        <w:spacing w:val="-4"/>
        <w:w w:val="100"/>
        <w:position w:val="16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5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5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5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5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5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5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528"/>
      </w:pPr>
      <w:rPr>
        <w:rFonts w:hint="default"/>
      </w:rPr>
    </w:lvl>
  </w:abstractNum>
  <w:abstractNum w:abstractNumId="7">
    <w:multiLevelType w:val="hybridMultilevel"/>
    <w:lvl w:ilvl="0">
      <w:start w:val="25"/>
      <w:numFmt w:val="decimal"/>
      <w:lvlText w:val="%1"/>
      <w:lvlJc w:val="left"/>
      <w:pPr>
        <w:ind w:left="640" w:hanging="1248"/>
        <w:jc w:val="left"/>
      </w:pPr>
      <w:rPr>
        <w:rFonts w:hint="default" w:ascii="Times New Roman" w:hAnsi="Times New Roman" w:eastAsia="Times New Roman" w:cs="Times New Roman"/>
        <w:spacing w:val="-14"/>
        <w:w w:val="99"/>
        <w:position w:val="6"/>
        <w:sz w:val="24"/>
        <w:szCs w:val="24"/>
      </w:rPr>
    </w:lvl>
    <w:lvl w:ilvl="1">
      <w:start w:val="1"/>
      <w:numFmt w:val="decimal"/>
      <w:lvlText w:val="%2"/>
      <w:lvlJc w:val="left"/>
      <w:pPr>
        <w:ind w:left="640" w:hanging="408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532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408"/>
      </w:pPr>
      <w:rPr>
        <w:rFonts w:hint="default"/>
      </w:rPr>
    </w:lvl>
  </w:abstractNum>
  <w:abstractNum w:abstractNumId="6">
    <w:multiLevelType w:val="hybridMultilevel"/>
    <w:lvl w:ilvl="0">
      <w:start w:val="15"/>
      <w:numFmt w:val="decimal"/>
      <w:lvlText w:val="%1"/>
      <w:lvlJc w:val="left"/>
      <w:pPr>
        <w:ind w:left="1360" w:hanging="1248"/>
        <w:jc w:val="left"/>
      </w:pPr>
      <w:rPr>
        <w:rFonts w:hint="default" w:ascii="Times New Roman" w:hAnsi="Times New Roman" w:eastAsia="Times New Roman" w:cs="Times New Roman"/>
        <w:spacing w:val="-3"/>
        <w:w w:val="100"/>
        <w:position w:val="5"/>
        <w:sz w:val="24"/>
        <w:szCs w:val="24"/>
      </w:rPr>
    </w:lvl>
    <w:lvl w:ilvl="1">
      <w:start w:val="0"/>
      <w:numFmt w:val="bullet"/>
      <w:lvlText w:val="•"/>
      <w:lvlJc w:val="left"/>
      <w:pPr>
        <w:ind w:left="2234" w:hanging="1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2" w:hanging="1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6" w:hanging="1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1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1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1248"/>
      </w:pPr>
      <w:rPr>
        <w:rFonts w:hint="default"/>
      </w:rPr>
    </w:lvl>
  </w:abstractNum>
  <w:abstractNum w:abstractNumId="5">
    <w:multiLevelType w:val="hybridMultilevel"/>
    <w:lvl w:ilvl="0">
      <w:start w:val="20"/>
      <w:numFmt w:val="decimal"/>
      <w:lvlText w:val="%1"/>
      <w:lvlJc w:val="left"/>
      <w:pPr>
        <w:ind w:left="1360" w:hanging="1249"/>
        <w:jc w:val="left"/>
      </w:pPr>
      <w:rPr>
        <w:rFonts w:hint="default" w:ascii="Times New Roman" w:hAnsi="Times New Roman" w:eastAsia="Times New Roman" w:cs="Times New Roman"/>
        <w:spacing w:val="-3"/>
        <w:w w:val="100"/>
        <w:position w:val="4"/>
        <w:sz w:val="24"/>
        <w:szCs w:val="24"/>
      </w:rPr>
    </w:lvl>
    <w:lvl w:ilvl="1">
      <w:start w:val="1"/>
      <w:numFmt w:val="decimal"/>
      <w:lvlText w:val="%2"/>
      <w:lvlJc w:val="left"/>
      <w:pPr>
        <w:ind w:left="640" w:hanging="408"/>
        <w:jc w:val="righ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</w:rPr>
    </w:lvl>
    <w:lvl w:ilvl="2">
      <w:start w:val="3"/>
      <w:numFmt w:val="upperLetter"/>
      <w:lvlText w:val="%3."/>
      <w:lvlJc w:val="left"/>
      <w:pPr>
        <w:ind w:left="1360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3"/>
        <w:szCs w:val="23"/>
      </w:rPr>
    </w:lvl>
    <w:lvl w:ilvl="3">
      <w:start w:val="0"/>
      <w:numFmt w:val="bullet"/>
      <w:lvlText w:val="•"/>
      <w:lvlJc w:val="left"/>
      <w:pPr>
        <w:ind w:left="330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7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640" w:hanging="408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4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408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3"/>
        <w:w w:val="100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5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5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5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5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5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5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529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639" w:hanging="408"/>
        <w:jc w:val="right"/>
      </w:pPr>
      <w:rPr>
        <w:rFonts w:hint="default" w:ascii="Times New Roman" w:hAnsi="Times New Roman" w:eastAsia="Times New Roman" w:cs="Times New Roman"/>
        <w:spacing w:val="-5"/>
        <w:w w:val="100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586" w:hanging="4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408"/>
      </w:pPr>
      <w:rPr>
        <w:rFonts w:hint="default"/>
      </w:rPr>
    </w:lvl>
  </w:abstractNum>
  <w:abstractNum w:abstractNumId="1">
    <w:multiLevelType w:val="hybridMultilevel"/>
    <w:lvl w:ilvl="0">
      <w:start w:val="27"/>
      <w:numFmt w:val="decimal"/>
      <w:lvlText w:val="%1"/>
      <w:lvlJc w:val="left"/>
      <w:pPr>
        <w:ind w:left="1360" w:hanging="1248"/>
        <w:jc w:val="left"/>
      </w:pPr>
      <w:rPr>
        <w:rFonts w:hint="default" w:ascii="Times New Roman" w:hAnsi="Times New Roman" w:eastAsia="Times New Roman" w:cs="Times New Roman"/>
        <w:spacing w:val="-14"/>
        <w:w w:val="99"/>
        <w:position w:val="12"/>
        <w:sz w:val="24"/>
        <w:szCs w:val="24"/>
      </w:rPr>
    </w:lvl>
    <w:lvl w:ilvl="1">
      <w:start w:val="1"/>
      <w:numFmt w:val="decimal"/>
      <w:lvlText w:val="%2"/>
      <w:lvlJc w:val="left"/>
      <w:pPr>
        <w:ind w:left="640" w:hanging="40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331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3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4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408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"/>
      <w:lvlJc w:val="left"/>
      <w:pPr>
        <w:ind w:left="1360" w:hanging="1248"/>
        <w:jc w:val="left"/>
      </w:pPr>
      <w:rPr>
        <w:rFonts w:hint="default" w:ascii="Times New Roman" w:hAnsi="Times New Roman" w:eastAsia="Times New Roman" w:cs="Times New Roman"/>
        <w:spacing w:val="-4"/>
        <w:w w:val="100"/>
        <w:position w:val="13"/>
        <w:sz w:val="24"/>
        <w:szCs w:val="24"/>
      </w:rPr>
    </w:lvl>
    <w:lvl w:ilvl="1">
      <w:start w:val="0"/>
      <w:numFmt w:val="bullet"/>
      <w:lvlText w:val="•"/>
      <w:lvlJc w:val="left"/>
      <w:pPr>
        <w:ind w:left="2234" w:hanging="1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8" w:hanging="1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2" w:hanging="1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6" w:hanging="1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1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1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1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124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640"/>
    </w:pPr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360" w:hanging="1248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40" w:hanging="52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sabelli@comcast.net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2019-02-19T17:17:12Z</dcterms:created>
  <dcterms:modified xsi:type="dcterms:W3CDTF">2019-02-19T17:17:12Z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2019-02-19T00:00:00Z</vt:filetime>
  </property>
</Properties>
</file>