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22"/>
        <w:ind w:left="2155" w:right="2159" w:firstLine="7"/>
        <w:jc w:val="center"/>
      </w:pPr>
      <w:r>
        <w:rPr/>
        <w:t>IN THE UNITED STATES DISTRICT COURT FOR THE NORTHERN DISTRICT OF</w:t>
      </w:r>
      <w:r>
        <w:rPr>
          <w:spacing w:val="-21"/>
        </w:rPr>
        <w:t> </w:t>
      </w:r>
      <w:r>
        <w:rPr/>
        <w:t>ILLINOIS EASTERN DIVISION</w:t>
      </w:r>
    </w:p>
    <w:p>
      <w:pPr>
        <w:pStyle w:val="BodyText"/>
        <w:spacing w:before="7"/>
        <w:rPr>
          <w:b/>
          <w:sz w:val="23"/>
        </w:rPr>
      </w:pPr>
    </w:p>
    <w:p>
      <w:pPr>
        <w:pStyle w:val="BodyText"/>
        <w:tabs>
          <w:tab w:pos="4439" w:val="left" w:leader="none"/>
        </w:tabs>
        <w:ind w:left="120"/>
      </w:pPr>
      <w:r>
        <w:rPr/>
        <w:t>UNITED STATES</w:t>
      </w:r>
      <w:r>
        <w:rPr>
          <w:spacing w:val="-9"/>
        </w:rPr>
        <w:t> </w:t>
      </w:r>
      <w:r>
        <w:rPr/>
        <w:t>OF</w:t>
      </w:r>
      <w:r>
        <w:rPr>
          <w:spacing w:val="-4"/>
        </w:rPr>
        <w:t> </w:t>
      </w:r>
      <w:r>
        <w:rPr/>
        <w:t>AMERICA,</w:t>
        <w:tab/>
        <w:t>)</w:t>
      </w:r>
    </w:p>
    <w:p>
      <w:pPr>
        <w:pStyle w:val="BodyText"/>
        <w:spacing w:before="41"/>
        <w:ind w:right="638"/>
        <w:jc w:val="center"/>
      </w:pPr>
      <w:r>
        <w:rPr>
          <w:w w:val="99"/>
        </w:rPr>
        <w:t>)</w:t>
      </w:r>
    </w:p>
    <w:p>
      <w:pPr>
        <w:pStyle w:val="BodyText"/>
        <w:tabs>
          <w:tab w:pos="4439" w:val="left" w:leader="none"/>
        </w:tabs>
        <w:spacing w:line="275" w:lineRule="exact" w:before="2"/>
        <w:ind w:left="2280"/>
      </w:pPr>
      <w:r>
        <w:rPr/>
        <w:t>Plaintiff,</w:t>
        <w:tab/>
        <w:t>)</w:t>
      </w:r>
    </w:p>
    <w:p>
      <w:pPr>
        <w:pStyle w:val="BodyText"/>
        <w:spacing w:line="275" w:lineRule="exact"/>
        <w:ind w:right="638"/>
        <w:jc w:val="center"/>
      </w:pPr>
      <w:r>
        <w:rPr>
          <w:w w:val="99"/>
        </w:rPr>
        <w:t>)</w:t>
      </w:r>
    </w:p>
    <w:p>
      <w:pPr>
        <w:pStyle w:val="BodyText"/>
        <w:tabs>
          <w:tab w:pos="4439" w:val="left" w:leader="none"/>
          <w:tab w:pos="5159" w:val="left" w:leader="none"/>
        </w:tabs>
        <w:spacing w:line="275" w:lineRule="exact" w:before="2"/>
        <w:ind w:left="840"/>
      </w:pPr>
      <w:r>
        <w:rPr>
          <w:spacing w:val="-3"/>
        </w:rPr>
        <w:t>v.</w:t>
        <w:tab/>
      </w:r>
      <w:r>
        <w:rPr/>
        <w:t>)</w:t>
        <w:tab/>
        <w:t>No. 11 CR</w:t>
      </w:r>
      <w:r>
        <w:rPr>
          <w:spacing w:val="2"/>
        </w:rPr>
        <w:t> </w:t>
      </w:r>
      <w:r>
        <w:rPr/>
        <w:t>401</w:t>
      </w:r>
    </w:p>
    <w:p>
      <w:pPr>
        <w:pStyle w:val="BodyText"/>
        <w:tabs>
          <w:tab w:pos="5159" w:val="left" w:leader="none"/>
        </w:tabs>
        <w:spacing w:line="275" w:lineRule="exact"/>
        <w:ind w:left="4440"/>
      </w:pPr>
      <w:r>
        <w:rPr/>
        <w:t>)</w:t>
        <w:tab/>
        <w:t>Judge John </w:t>
      </w:r>
      <w:r>
        <w:rPr>
          <w:spacing w:val="-3"/>
        </w:rPr>
        <w:t>W.</w:t>
      </w:r>
      <w:r>
        <w:rPr>
          <w:spacing w:val="1"/>
        </w:rPr>
        <w:t> </w:t>
      </w:r>
      <w:r>
        <w:rPr/>
        <w:t>Darrah</w:t>
      </w:r>
    </w:p>
    <w:p>
      <w:pPr>
        <w:pStyle w:val="BodyText"/>
        <w:tabs>
          <w:tab w:pos="4439" w:val="left" w:leader="none"/>
        </w:tabs>
        <w:spacing w:line="275" w:lineRule="exact" w:before="3"/>
        <w:ind w:left="120"/>
      </w:pPr>
      <w:r>
        <w:rPr/>
        <w:t>EUGENE</w:t>
      </w:r>
      <w:r>
        <w:rPr>
          <w:spacing w:val="-3"/>
        </w:rPr>
        <w:t> </w:t>
      </w:r>
      <w:r>
        <w:rPr/>
        <w:t>KLEIN,</w:t>
        <w:tab/>
        <w:t>)</w:t>
      </w:r>
    </w:p>
    <w:p>
      <w:pPr>
        <w:pStyle w:val="BodyText"/>
        <w:spacing w:line="275" w:lineRule="exact"/>
        <w:ind w:right="638"/>
        <w:jc w:val="center"/>
      </w:pPr>
      <w:r>
        <w:rPr>
          <w:w w:val="99"/>
        </w:rPr>
        <w:t>)</w:t>
      </w:r>
    </w:p>
    <w:p>
      <w:pPr>
        <w:pStyle w:val="BodyText"/>
        <w:tabs>
          <w:tab w:pos="4439" w:val="left" w:leader="none"/>
        </w:tabs>
        <w:spacing w:before="2"/>
        <w:ind w:left="2280"/>
      </w:pPr>
      <w:r>
        <w:rPr/>
        <w:t>Defendant.</w:t>
        <w:tab/>
        <w:t>)</w:t>
      </w:r>
    </w:p>
    <w:p>
      <w:pPr>
        <w:pStyle w:val="BodyText"/>
        <w:spacing w:before="5"/>
      </w:pPr>
    </w:p>
    <w:p>
      <w:pPr>
        <w:pStyle w:val="Heading1"/>
        <w:spacing w:line="275" w:lineRule="exact"/>
        <w:ind w:left="1072" w:right="1071"/>
        <w:jc w:val="center"/>
      </w:pPr>
      <w:r>
        <w:rPr/>
        <w:t>DEFENDANT'S MOTION TO DISMISS COUNT ONE</w:t>
      </w:r>
    </w:p>
    <w:p>
      <w:pPr>
        <w:spacing w:line="275" w:lineRule="exact" w:before="0"/>
        <w:ind w:left="1072" w:right="1073" w:firstLine="0"/>
        <w:jc w:val="center"/>
        <w:rPr>
          <w:b/>
          <w:sz w:val="24"/>
        </w:rPr>
      </w:pPr>
      <w:r>
        <w:rPr>
          <w:b/>
          <w:sz w:val="24"/>
          <w:u w:val="thick"/>
        </w:rPr>
        <w:t>FOR FAILURE TO CHARGE AN OFFENSE AND FOR VAGUENESS</w:t>
      </w:r>
    </w:p>
    <w:p>
      <w:pPr>
        <w:pStyle w:val="BodyText"/>
        <w:spacing w:before="9"/>
        <w:rPr>
          <w:b/>
          <w:sz w:val="15"/>
        </w:rPr>
      </w:pPr>
    </w:p>
    <w:p>
      <w:pPr>
        <w:pStyle w:val="BodyText"/>
        <w:spacing w:line="477" w:lineRule="auto" w:before="90"/>
        <w:ind w:left="119" w:right="117" w:firstLine="720"/>
        <w:jc w:val="both"/>
      </w:pPr>
      <w:r>
        <w:rPr/>
        <w:t>Defendant, </w:t>
      </w:r>
      <w:r>
        <w:rPr>
          <w:b/>
        </w:rPr>
        <w:t>EUGENE KLEIN</w:t>
      </w:r>
      <w:r>
        <w:rPr/>
        <w:t>, by and through his attorneys, </w:t>
      </w:r>
      <w:r>
        <w:rPr>
          <w:b/>
        </w:rPr>
        <w:t>THOMAS ANTHONY DURKIN, JANIS D. ROBERTS</w:t>
      </w:r>
      <w:r>
        <w:rPr/>
        <w:t>, and </w:t>
      </w:r>
      <w:r>
        <w:rPr>
          <w:b/>
        </w:rPr>
        <w:t>JOHN D. CLINE</w:t>
      </w:r>
      <w:r>
        <w:rPr/>
        <w:t>, respectfully moves for an Order dismissing Count One for failure to charge an offense and because the underlying statute </w:t>
      </w:r>
      <w:r>
        <w:rPr>
          <w:rFonts w:ascii="Calibri" w:hAnsi="Calibri"/>
          <w:sz w:val="22"/>
        </w:rPr>
        <w:t>– </w:t>
      </w:r>
      <w:r>
        <w:rPr/>
        <w:t>the conspiracy to defraud the United States prong of 18 U.S.C. § 371 </w:t>
      </w:r>
      <w:r>
        <w:rPr>
          <w:rFonts w:ascii="Calibri" w:hAnsi="Calibri"/>
          <w:sz w:val="22"/>
        </w:rPr>
        <w:t>– </w:t>
      </w:r>
      <w:r>
        <w:rPr/>
        <w:t>is void for vagueness as applied in this case. Count One represents an unprecedented effort to stretch both § 371 and the underlying Special Administrative Measures (SAMs) far beyond their language and purpose to prosecute a prison priest. Count One seeks to punish Fr. Klein.</w:t>
      </w:r>
      <w:r>
        <w:rPr>
          <w:rFonts w:ascii="Calibri" w:hAnsi="Calibri"/>
          <w:sz w:val="22"/>
        </w:rPr>
        <w:t>– </w:t>
      </w:r>
      <w:r>
        <w:rPr/>
        <w:t>who is not a party to the SAMs</w:t>
      </w:r>
      <w:r>
        <w:rPr>
          <w:rFonts w:ascii="Calibri" w:hAnsi="Calibri"/>
          <w:sz w:val="22"/>
        </w:rPr>
        <w:t>– </w:t>
      </w:r>
      <w:r>
        <w:rPr/>
        <w:t>for alleged conduct that has nothing to do with the only lawful purpose of the SAMs: preventing inmates from fomenting violence and terrorism. The prosecution under Count One represents an abuse both of § 371 and of the controversial SAM program.</w:t>
      </w:r>
    </w:p>
    <w:p>
      <w:pPr>
        <w:spacing w:after="0" w:line="477" w:lineRule="auto"/>
        <w:jc w:val="both"/>
        <w:sectPr>
          <w:headerReference w:type="default" r:id="rId5"/>
          <w:type w:val="continuous"/>
          <w:pgSz w:w="12240" w:h="15840"/>
          <w:pgMar w:header="283" w:top="1300" w:bottom="280" w:left="1320" w:right="1320"/>
          <w:pgNumType w:start="1"/>
        </w:sectPr>
      </w:pPr>
    </w:p>
    <w:p>
      <w:pPr>
        <w:pStyle w:val="Heading1"/>
        <w:spacing w:before="122"/>
        <w:ind w:left="4084"/>
      </w:pPr>
      <w:r>
        <w:rPr/>
        <w:t>ARGUMENT</w:t>
      </w:r>
    </w:p>
    <w:p>
      <w:pPr>
        <w:pStyle w:val="BodyText"/>
        <w:spacing w:before="2"/>
        <w:rPr>
          <w:b/>
        </w:rPr>
      </w:pPr>
    </w:p>
    <w:p>
      <w:pPr>
        <w:pStyle w:val="ListParagraph"/>
        <w:numPr>
          <w:ilvl w:val="0"/>
          <w:numId w:val="1"/>
        </w:numPr>
        <w:tabs>
          <w:tab w:pos="1559" w:val="left" w:leader="none"/>
          <w:tab w:pos="1560" w:val="left" w:leader="none"/>
          <w:tab w:pos="3695" w:val="left" w:leader="none"/>
          <w:tab w:pos="4617" w:val="left" w:leader="none"/>
          <w:tab w:pos="6628" w:val="left" w:leader="none"/>
          <w:tab w:pos="7386" w:val="left" w:leader="none"/>
          <w:tab w:pos="8970" w:val="left" w:leader="none"/>
        </w:tabs>
        <w:spacing w:line="237" w:lineRule="auto" w:before="0" w:after="0"/>
        <w:ind w:left="1560" w:right="121" w:hanging="720"/>
        <w:jc w:val="left"/>
        <w:rPr>
          <w:b/>
          <w:sz w:val="24"/>
        </w:rPr>
      </w:pPr>
      <w:r>
        <w:rPr>
          <w:b/>
          <w:sz w:val="24"/>
        </w:rPr>
        <w:t>INDICTMENTS</w:t>
        <w:tab/>
        <w:t>FOR</w:t>
        <w:tab/>
        <w:t>CONSPIRACY</w:t>
        <w:tab/>
        <w:t>TO</w:t>
        <w:tab/>
        <w:t>DEFRAUD</w:t>
        <w:tab/>
      </w:r>
      <w:r>
        <w:rPr>
          <w:b/>
          <w:spacing w:val="-7"/>
          <w:sz w:val="24"/>
        </w:rPr>
        <w:t>THE </w:t>
      </w:r>
      <w:r>
        <w:rPr>
          <w:b/>
          <w:sz w:val="24"/>
        </w:rPr>
        <w:t>UNITED </w:t>
      </w:r>
      <w:r>
        <w:rPr>
          <w:b/>
          <w:sz w:val="24"/>
          <w:u w:val="thick"/>
        </w:rPr>
        <w:t>STATES MUST BE CAREFULLY</w:t>
      </w:r>
      <w:r>
        <w:rPr>
          <w:b/>
          <w:spacing w:val="-5"/>
          <w:sz w:val="24"/>
          <w:u w:val="thick"/>
        </w:rPr>
        <w:t> </w:t>
      </w:r>
      <w:r>
        <w:rPr>
          <w:b/>
          <w:sz w:val="24"/>
          <w:u w:val="thick"/>
        </w:rPr>
        <w:t>SCRUTINIZED.</w:t>
      </w:r>
    </w:p>
    <w:p>
      <w:pPr>
        <w:pStyle w:val="BodyText"/>
        <w:spacing w:before="9"/>
        <w:rPr>
          <w:b/>
          <w:sz w:val="20"/>
        </w:rPr>
      </w:pPr>
    </w:p>
    <w:p>
      <w:pPr>
        <w:pStyle w:val="BodyText"/>
        <w:spacing w:line="480" w:lineRule="auto"/>
        <w:ind w:left="120" w:right="120" w:firstLine="720"/>
        <w:jc w:val="both"/>
      </w:pPr>
      <w:r>
        <w:rPr/>
        <w:t>Because the offense of conspiracy to defraud the Unites States is so inherently vague and susceptible to tactical manipulation by the government, courts have long subjected indictments charging that offense to careful scrutiny.</w:t>
      </w:r>
    </w:p>
    <w:p>
      <w:pPr>
        <w:pStyle w:val="BodyText"/>
        <w:spacing w:line="480" w:lineRule="auto"/>
        <w:ind w:left="119" w:right="116" w:firstLine="720"/>
        <w:jc w:val="both"/>
      </w:pPr>
      <w:r>
        <w:rPr/>
        <w:t>More than sixty years ago, Justice Jackson declared that "[t]he modern crime </w:t>
      </w:r>
      <w:r>
        <w:rPr>
          <w:spacing w:val="4"/>
        </w:rPr>
        <w:t>of </w:t>
      </w:r>
      <w:r>
        <w:rPr/>
        <w:t>conspiracy [under § 371] </w:t>
      </w:r>
      <w:r>
        <w:rPr>
          <w:spacing w:val="-3"/>
        </w:rPr>
        <w:t>is </w:t>
      </w:r>
      <w:r>
        <w:rPr/>
        <w:t>so vague that </w:t>
      </w:r>
      <w:r>
        <w:rPr>
          <w:spacing w:val="-5"/>
        </w:rPr>
        <w:t>it </w:t>
      </w:r>
      <w:r>
        <w:rPr/>
        <w:t>almost defies definition," and he warned that "loose practice as to this offense constitutes a serious threat to fairness </w:t>
      </w:r>
      <w:r>
        <w:rPr>
          <w:spacing w:val="-3"/>
        </w:rPr>
        <w:t>in </w:t>
      </w:r>
      <w:r>
        <w:rPr/>
        <w:t>our administration of justice." </w:t>
      </w:r>
      <w:r>
        <w:rPr>
          <w:i/>
        </w:rPr>
        <w:t>Krulewitch v. United States</w:t>
      </w:r>
      <w:r>
        <w:rPr/>
        <w:t>, 336 U.S. 440, 455-58 (1949) (Jackson, J., concurring). Ten years later, Professor Goldstein declared that under § 371 "'conspiracy' and 'defraud' have assumed such broad and imprecise proportions as to trench [on] constitutional standards against vagueness and double jeopardy." Goldstein, </w:t>
      </w:r>
      <w:r>
        <w:rPr>
          <w:i/>
        </w:rPr>
        <w:t>Conspiracy to Defraud the United States</w:t>
      </w:r>
      <w:r>
        <w:rPr/>
        <w:t>, 68 </w:t>
      </w:r>
      <w:r>
        <w:rPr>
          <w:spacing w:val="-3"/>
        </w:rPr>
        <w:t>Yale </w:t>
      </w:r>
      <w:r>
        <w:rPr/>
        <w:t>L.J. 405,  408 (1959). After carefully analyzing the unprincipled expansion of the federal conspiracy </w:t>
      </w:r>
      <w:r>
        <w:rPr>
          <w:spacing w:val="2"/>
        </w:rPr>
        <w:t>to </w:t>
      </w:r>
      <w:r>
        <w:rPr/>
        <w:t>defraud offense, </w:t>
      </w:r>
      <w:r>
        <w:rPr>
          <w:spacing w:val="-3"/>
        </w:rPr>
        <w:t>he </w:t>
      </w:r>
      <w:r>
        <w:rPr/>
        <w:t>concluded that until the scope of that offense was limited, "'conspiracy </w:t>
      </w:r>
      <w:r>
        <w:rPr>
          <w:spacing w:val="2"/>
        </w:rPr>
        <w:t>to </w:t>
      </w:r>
      <w:r>
        <w:rPr/>
        <w:t>defraud the United States' will remain on the books as Kafkaesque crime, unknown and unknowable except </w:t>
      </w:r>
      <w:r>
        <w:rPr>
          <w:spacing w:val="-3"/>
        </w:rPr>
        <w:t>in </w:t>
      </w:r>
      <w:r>
        <w:rPr/>
        <w:t>terms of the facts of each case--and even then, </w:t>
      </w:r>
      <w:r>
        <w:rPr>
          <w:spacing w:val="-4"/>
        </w:rPr>
        <w:t>not </w:t>
      </w:r>
      <w:r>
        <w:rPr/>
        <w:t>until the verdict has been handed down." </w:t>
      </w:r>
      <w:r>
        <w:rPr>
          <w:i/>
        </w:rPr>
        <w:t>Id. </w:t>
      </w:r>
      <w:r>
        <w:rPr>
          <w:spacing w:val="-3"/>
        </w:rPr>
        <w:t>at </w:t>
      </w:r>
      <w:r>
        <w:rPr/>
        <w:t>463; </w:t>
      </w:r>
      <w:r>
        <w:rPr>
          <w:i/>
        </w:rPr>
        <w:t>see, e.g., United States v. Tuohey</w:t>
      </w:r>
      <w:r>
        <w:rPr/>
        <w:t>, 867 F.2d 534, 537 (9th </w:t>
      </w:r>
      <w:r>
        <w:rPr>
          <w:spacing w:val="-3"/>
        </w:rPr>
        <w:t>Cir. </w:t>
      </w:r>
      <w:r>
        <w:rPr/>
        <w:t>1989) (describing the Goldstein article as a "thorough and still relevant discussion </w:t>
      </w:r>
      <w:r>
        <w:rPr>
          <w:spacing w:val="2"/>
        </w:rPr>
        <w:t>of </w:t>
      </w:r>
      <w:r>
        <w:rPr/>
        <w:t>section 371").</w:t>
      </w:r>
    </w:p>
    <w:p>
      <w:pPr>
        <w:pStyle w:val="BodyText"/>
        <w:spacing w:before="1"/>
        <w:ind w:left="840"/>
      </w:pPr>
      <w:r>
        <w:rPr/>
        <w:t>The Second Circuit has echoed the concerns of Justice Jackson and Professor Goldstein.</w:t>
      </w:r>
    </w:p>
    <w:p>
      <w:pPr>
        <w:pStyle w:val="BodyText"/>
        <w:spacing w:before="11"/>
        <w:rPr>
          <w:sz w:val="23"/>
        </w:rPr>
      </w:pPr>
    </w:p>
    <w:p>
      <w:pPr>
        <w:pStyle w:val="BodyText"/>
        <w:ind w:left="120"/>
      </w:pPr>
      <w:r>
        <w:rPr/>
        <w:t>Reversing a conviction for conspiracy to defraud the United States, the court declared:</w:t>
      </w:r>
    </w:p>
    <w:p>
      <w:pPr>
        <w:pStyle w:val="BodyText"/>
        <w:spacing w:before="2"/>
      </w:pPr>
    </w:p>
    <w:p>
      <w:pPr>
        <w:pStyle w:val="BodyText"/>
        <w:spacing w:line="237" w:lineRule="auto"/>
        <w:ind w:left="840" w:right="844"/>
      </w:pPr>
      <w:r>
        <w:rPr/>
        <w:t>[t]he terms "conspiracy" and "defraud," when used together, have a peculiar susceptibility to a kind of tactical manipulation which shields from view very real</w:t>
      </w:r>
    </w:p>
    <w:p>
      <w:pPr>
        <w:spacing w:after="0" w:line="237" w:lineRule="auto"/>
        <w:sectPr>
          <w:headerReference w:type="default" r:id="rId6"/>
          <w:footerReference w:type="default" r:id="rId7"/>
          <w:pgSz w:w="12240" w:h="15840"/>
          <w:pgMar w:header="283" w:footer="1089" w:top="1300" w:bottom="1280" w:left="1320" w:right="1320"/>
          <w:pgNumType w:start="2"/>
        </w:sectPr>
      </w:pPr>
    </w:p>
    <w:p>
      <w:pPr>
        <w:pStyle w:val="BodyText"/>
        <w:spacing w:before="118"/>
        <w:ind w:left="840" w:right="844"/>
      </w:pPr>
      <w:r>
        <w:rPr/>
        <w:t>infringements on basic values of our criminal law </w:t>
      </w:r>
      <w:r>
        <w:rPr>
          <w:sz w:val="28"/>
        </w:rPr>
        <w:t>. . . </w:t>
      </w:r>
      <w:r>
        <w:rPr/>
        <w:t>Accordingly, conspiracy- to-defraud prosecutions are scrutinized carefully.</w:t>
      </w:r>
    </w:p>
    <w:p>
      <w:pPr>
        <w:pStyle w:val="BodyText"/>
        <w:rPr>
          <w:sz w:val="21"/>
        </w:rPr>
      </w:pPr>
    </w:p>
    <w:p>
      <w:pPr>
        <w:pStyle w:val="BodyText"/>
        <w:spacing w:line="480" w:lineRule="auto"/>
        <w:ind w:left="120" w:right="113"/>
        <w:jc w:val="both"/>
      </w:pPr>
      <w:r>
        <w:rPr>
          <w:i/>
        </w:rPr>
        <w:t>United States v. Rosenblatt</w:t>
      </w:r>
      <w:r>
        <w:rPr/>
        <w:t>, 554 F.2d 36, 40 (2d Cir. 1977) (quotations omitted). Given the breadth of the "defraud" prong of § 371, "there is a danger that prosecutors may use it arbitrarily to punish activity not properly within the ambit of the . . . criminal sanction." </w:t>
      </w:r>
      <w:r>
        <w:rPr>
          <w:i/>
        </w:rPr>
        <w:t>United States v. </w:t>
      </w:r>
      <w:r>
        <w:rPr>
          <w:i/>
        </w:rPr>
        <w:t>Shoup</w:t>
      </w:r>
      <w:r>
        <w:rPr/>
        <w:t>, 608 F.2d 950, 955-56 (3d Cir. 1979) (footnote omitted).</w:t>
      </w:r>
    </w:p>
    <w:p>
      <w:pPr>
        <w:pStyle w:val="BodyText"/>
        <w:spacing w:line="480" w:lineRule="auto"/>
        <w:ind w:left="119" w:right="113" w:firstLine="720"/>
        <w:jc w:val="both"/>
      </w:pPr>
      <w:r>
        <w:rPr/>
        <w:t>Count One of the indictment </w:t>
      </w:r>
      <w:r>
        <w:rPr>
          <w:spacing w:val="-4"/>
        </w:rPr>
        <w:t>must </w:t>
      </w:r>
      <w:r>
        <w:rPr>
          <w:spacing w:val="-3"/>
        </w:rPr>
        <w:t>be </w:t>
      </w:r>
      <w:r>
        <w:rPr/>
        <w:t>read </w:t>
      </w:r>
      <w:r>
        <w:rPr>
          <w:spacing w:val="-3"/>
        </w:rPr>
        <w:t>in </w:t>
      </w:r>
      <w:r>
        <w:rPr/>
        <w:t>light of six decades of judicial caution against a broad construction of conspiracy-to-defraud clause of § 371. </w:t>
      </w:r>
      <w:r>
        <w:rPr>
          <w:spacing w:val="-3"/>
        </w:rPr>
        <w:t>As </w:t>
      </w:r>
      <w:r>
        <w:rPr/>
        <w:t>the Fifth Circuit has recognized, "It </w:t>
      </w:r>
      <w:r>
        <w:rPr>
          <w:spacing w:val="-5"/>
        </w:rPr>
        <w:t>is </w:t>
      </w:r>
      <w:r>
        <w:rPr/>
        <w:t>[the courts'] affirmative duty </w:t>
      </w:r>
      <w:r>
        <w:rPr>
          <w:spacing w:val="2"/>
        </w:rPr>
        <w:t>to </w:t>
      </w:r>
      <w:r>
        <w:rPr/>
        <w:t>carefully scrutinize indictments under the broad language of the conspiracy statutes because of the possibility, inherent </w:t>
      </w:r>
      <w:r>
        <w:rPr>
          <w:spacing w:val="-3"/>
        </w:rPr>
        <w:t>in </w:t>
      </w:r>
      <w:r>
        <w:rPr/>
        <w:t>a criminal conspiracy charge, that its wide net </w:t>
      </w:r>
      <w:r>
        <w:rPr>
          <w:spacing w:val="-3"/>
        </w:rPr>
        <w:t>may </w:t>
      </w:r>
      <w:r>
        <w:rPr/>
        <w:t>ensnare the innocent as well as the guilty." </w:t>
      </w:r>
      <w:r>
        <w:rPr>
          <w:i/>
        </w:rPr>
        <w:t>United States v. Porter</w:t>
      </w:r>
      <w:r>
        <w:rPr/>
        <w:t>, 591 F.2d 1048, 1057 (5th Cir. 1979); </w:t>
      </w:r>
      <w:r>
        <w:rPr>
          <w:i/>
        </w:rPr>
        <w:t>see United States v. Caldwell</w:t>
      </w:r>
      <w:r>
        <w:rPr/>
        <w:t>, 989 F.2d 1056, 1061 (9th Cir. 1993) (noting potential breadth of § 371 "defraud" prong). Only if the defendant's alleged conduct "plainly and unmistakably" </w:t>
      </w:r>
      <w:r>
        <w:rPr>
          <w:spacing w:val="-3"/>
        </w:rPr>
        <w:t>falls </w:t>
      </w:r>
      <w:r>
        <w:rPr/>
        <w:t>within the proscription </w:t>
      </w:r>
      <w:r>
        <w:rPr>
          <w:spacing w:val="4"/>
        </w:rPr>
        <w:t>of </w:t>
      </w:r>
      <w:r>
        <w:rPr/>
        <w:t>§ 371 </w:t>
      </w:r>
      <w:r>
        <w:rPr>
          <w:spacing w:val="-3"/>
        </w:rPr>
        <w:t>may </w:t>
      </w:r>
      <w:r>
        <w:rPr/>
        <w:t>the indictment </w:t>
      </w:r>
      <w:r>
        <w:rPr>
          <w:spacing w:val="-3"/>
        </w:rPr>
        <w:t>be </w:t>
      </w:r>
      <w:r>
        <w:rPr/>
        <w:t>sustained. </w:t>
      </w:r>
      <w:r>
        <w:rPr>
          <w:i/>
        </w:rPr>
        <w:t>United States v. Gradwell</w:t>
      </w:r>
      <w:r>
        <w:rPr/>
        <w:t>, 243 U.S. 476, 485 (1917); </w:t>
      </w:r>
      <w:r>
        <w:rPr>
          <w:i/>
        </w:rPr>
        <w:t>see, e.g., United States </w:t>
      </w:r>
      <w:r>
        <w:rPr>
          <w:i/>
          <w:spacing w:val="-3"/>
        </w:rPr>
        <w:t>v. </w:t>
      </w:r>
      <w:r>
        <w:rPr>
          <w:i/>
        </w:rPr>
        <w:t>Haga</w:t>
      </w:r>
      <w:r>
        <w:rPr/>
        <w:t>, 821 F.2d 1036, 1038 (5th Cir.</w:t>
      </w:r>
      <w:r>
        <w:rPr>
          <w:spacing w:val="1"/>
        </w:rPr>
        <w:t> </w:t>
      </w:r>
      <w:r>
        <w:rPr/>
        <w:t>1987).</w:t>
      </w:r>
    </w:p>
    <w:p>
      <w:pPr>
        <w:pStyle w:val="BodyText"/>
        <w:spacing w:line="480" w:lineRule="auto"/>
        <w:ind w:left="119" w:right="116" w:firstLine="720"/>
        <w:jc w:val="both"/>
      </w:pPr>
      <w:r>
        <w:rPr/>
        <w:t>Three rules of statutory interpretation compel a narrow reading of </w:t>
      </w:r>
      <w:r>
        <w:rPr>
          <w:spacing w:val="-3"/>
        </w:rPr>
        <w:t>18 </w:t>
      </w:r>
      <w:r>
        <w:rPr/>
        <w:t>U.S.C. § 371. First, under the rule of lenity, "when there are two rational readings of a criminal statute, one harsher than the other, [the Court </w:t>
      </w:r>
      <w:r>
        <w:rPr>
          <w:spacing w:val="-3"/>
        </w:rPr>
        <w:t>is] </w:t>
      </w:r>
      <w:r>
        <w:rPr/>
        <w:t>to choose the harsher only when Congress has spoken </w:t>
      </w:r>
      <w:r>
        <w:rPr>
          <w:spacing w:val="-3"/>
        </w:rPr>
        <w:t>in </w:t>
      </w:r>
      <w:r>
        <w:rPr/>
        <w:t>clear </w:t>
      </w:r>
      <w:r>
        <w:rPr>
          <w:spacing w:val="-4"/>
        </w:rPr>
        <w:t>and</w:t>
      </w:r>
      <w:r>
        <w:rPr>
          <w:spacing w:val="52"/>
        </w:rPr>
        <w:t> </w:t>
      </w:r>
      <w:r>
        <w:rPr/>
        <w:t>definite language." </w:t>
      </w:r>
      <w:r>
        <w:rPr>
          <w:i/>
        </w:rPr>
        <w:t>McNally v. United States</w:t>
      </w:r>
      <w:r>
        <w:rPr/>
        <w:t>, 483 U.S. 350, 359-60 (1987); </w:t>
      </w:r>
      <w:r>
        <w:rPr>
          <w:i/>
        </w:rPr>
        <w:t>see, e.g., Cleveland </w:t>
      </w:r>
      <w:r>
        <w:rPr>
          <w:i/>
        </w:rPr>
        <w:t>v. United States</w:t>
      </w:r>
      <w:r>
        <w:rPr/>
        <w:t>, 531 U.S. 12, 25</w:t>
      </w:r>
      <w:r>
        <w:rPr>
          <w:spacing w:val="4"/>
        </w:rPr>
        <w:t> </w:t>
      </w:r>
      <w:r>
        <w:rPr/>
        <w:t>(2000).</w:t>
      </w:r>
    </w:p>
    <w:p>
      <w:pPr>
        <w:pStyle w:val="BodyText"/>
        <w:spacing w:line="480" w:lineRule="auto"/>
        <w:ind w:left="119" w:right="118" w:firstLine="720"/>
        <w:jc w:val="both"/>
      </w:pPr>
      <w:r>
        <w:rPr/>
        <w:t>Second, the Court must not, by giving the language of § 371 an expansive interpretation, violate the prohibition on federal common law crimes, "a beastie that many decisions say cannot exist." </w:t>
      </w:r>
      <w:r>
        <w:rPr>
          <w:i/>
        </w:rPr>
        <w:t>United States v. Bloom</w:t>
      </w:r>
      <w:r>
        <w:rPr/>
        <w:t>, 149 F.3d 649, 654 (7th Cir. 1998).</w:t>
      </w:r>
    </w:p>
    <w:p>
      <w:pPr>
        <w:spacing w:after="0" w:line="480" w:lineRule="auto"/>
        <w:jc w:val="both"/>
        <w:sectPr>
          <w:headerReference w:type="default" r:id="rId8"/>
          <w:pgSz w:w="12240" w:h="15840"/>
          <w:pgMar w:header="283" w:footer="1089" w:top="1300" w:bottom="1280" w:left="1320" w:right="1320"/>
          <w:pgNumType w:start="3"/>
        </w:sectPr>
      </w:pPr>
    </w:p>
    <w:p>
      <w:pPr>
        <w:pStyle w:val="BodyText"/>
        <w:spacing w:line="480" w:lineRule="auto" w:before="117"/>
        <w:ind w:left="120" w:right="113" w:firstLine="720"/>
        <w:jc w:val="both"/>
      </w:pPr>
      <w:r>
        <w:rPr>
          <w:spacing w:val="-2"/>
        </w:rPr>
        <w:t>Third, </w:t>
      </w:r>
      <w:r>
        <w:rPr/>
        <w:t>under the doctrine of constitutional avoidance, the Court </w:t>
      </w:r>
      <w:r>
        <w:rPr>
          <w:spacing w:val="-3"/>
        </w:rPr>
        <w:t>must </w:t>
      </w:r>
      <w:r>
        <w:rPr/>
        <w:t>interpret § 371 to avoid creating grave constitutional questions. "It </w:t>
      </w:r>
      <w:r>
        <w:rPr>
          <w:spacing w:val="-5"/>
        </w:rPr>
        <w:t>is </w:t>
      </w:r>
      <w:r>
        <w:rPr/>
        <w:t>a cardinal principle of  statutory  interpretation . . . that when an </w:t>
      </w:r>
      <w:r>
        <w:rPr>
          <w:spacing w:val="-3"/>
        </w:rPr>
        <w:t>Act </w:t>
      </w:r>
      <w:r>
        <w:rPr/>
        <w:t>of Congress raises a serious doubt as to its constitutionality, this Court will first ascertain whether a construction of the statute </w:t>
      </w:r>
      <w:r>
        <w:rPr>
          <w:spacing w:val="-5"/>
        </w:rPr>
        <w:t>is </w:t>
      </w:r>
      <w:r>
        <w:rPr/>
        <w:t>fairly possible </w:t>
      </w:r>
      <w:r>
        <w:rPr>
          <w:spacing w:val="2"/>
        </w:rPr>
        <w:t>by </w:t>
      </w:r>
      <w:r>
        <w:rPr/>
        <w:t>which the question may </w:t>
      </w:r>
      <w:r>
        <w:rPr>
          <w:spacing w:val="-3"/>
        </w:rPr>
        <w:t>be </w:t>
      </w:r>
      <w:r>
        <w:rPr/>
        <w:t>avoided." </w:t>
      </w:r>
      <w:r>
        <w:rPr>
          <w:i/>
        </w:rPr>
        <w:t>Zadvydas v. Davis</w:t>
      </w:r>
      <w:r>
        <w:rPr/>
        <w:t>, 533 U.S. 678, 689 (2001) (quotations omitted); </w:t>
      </w:r>
      <w:r>
        <w:rPr>
          <w:i/>
        </w:rPr>
        <w:t>see, e.g., Cheek v. United States</w:t>
      </w:r>
      <w:r>
        <w:rPr/>
        <w:t>, 498 U.S. 192, 203 (1991) (interpreting criminal statute to </w:t>
      </w:r>
      <w:r>
        <w:rPr>
          <w:spacing w:val="-3"/>
        </w:rPr>
        <w:t>avoid </w:t>
      </w:r>
      <w:r>
        <w:rPr/>
        <w:t>constitutional</w:t>
      </w:r>
      <w:r>
        <w:rPr>
          <w:spacing w:val="1"/>
        </w:rPr>
        <w:t> </w:t>
      </w:r>
      <w:r>
        <w:rPr/>
        <w:t>issue).</w:t>
      </w:r>
    </w:p>
    <w:p>
      <w:pPr>
        <w:pStyle w:val="BodyText"/>
        <w:spacing w:line="480" w:lineRule="auto" w:before="1"/>
        <w:ind w:left="119" w:right="118" w:firstLine="720"/>
        <w:jc w:val="both"/>
      </w:pPr>
      <w:r>
        <w:rPr/>
        <w:t>The doctrine of constitutional avoidance has particular force here. If the Court were to uphold the government's conspiracy to defraud theory in this case, it would then have to determine whether § 371, as applied, is void for vagueness. That constitutional question – if the Court were to reach it – would have to be resolved in Fr. Klein's favor. Rather than place the federal judiciary in the position of striking down an Act of Congress, the Court should read the statute as narrowly as its language permits.</w:t>
      </w:r>
    </w:p>
    <w:p>
      <w:pPr>
        <w:pStyle w:val="Heading1"/>
        <w:numPr>
          <w:ilvl w:val="0"/>
          <w:numId w:val="1"/>
        </w:numPr>
        <w:tabs>
          <w:tab w:pos="1559" w:val="left" w:leader="none"/>
          <w:tab w:pos="1560" w:val="left" w:leader="none"/>
          <w:tab w:pos="2327" w:val="left" w:leader="none"/>
          <w:tab w:pos="4171" w:val="left" w:leader="none"/>
          <w:tab w:pos="5087" w:val="left" w:leader="none"/>
          <w:tab w:pos="5870" w:val="left" w:leader="none"/>
          <w:tab w:pos="7127" w:val="left" w:leader="none"/>
          <w:tab w:pos="8068" w:val="left" w:leader="none"/>
          <w:tab w:pos="8707" w:val="left" w:leader="none"/>
        </w:tabs>
        <w:spacing w:line="240" w:lineRule="auto" w:before="5" w:after="0"/>
        <w:ind w:left="1560" w:right="0" w:hanging="720"/>
        <w:jc w:val="left"/>
      </w:pPr>
      <w:r>
        <w:rPr/>
        <w:t>THE</w:t>
        <w:tab/>
        <w:t>INDICTMENT</w:t>
        <w:tab/>
        <w:t>DOES</w:t>
        <w:tab/>
        <w:t>NOT</w:t>
        <w:tab/>
        <w:t>ALLEGE</w:t>
        <w:tab/>
        <w:t>THAT</w:t>
        <w:tab/>
        <w:t>FR.</w:t>
        <w:tab/>
        <w:t>KLEIN</w:t>
      </w:r>
    </w:p>
    <w:p>
      <w:pPr>
        <w:spacing w:line="273" w:lineRule="exact" w:before="0"/>
        <w:ind w:left="1560" w:right="0" w:firstLine="0"/>
        <w:jc w:val="left"/>
        <w:rPr>
          <w:b/>
          <w:sz w:val="24"/>
        </w:rPr>
      </w:pPr>
      <w:r>
        <w:rPr>
          <w:b/>
          <w:sz w:val="24"/>
        </w:rPr>
        <w:t>SOUGHT </w:t>
      </w:r>
      <w:r>
        <w:rPr>
          <w:b/>
          <w:sz w:val="24"/>
          <w:u w:val="thick"/>
        </w:rPr>
        <w:t>TO INTERFERE WITH A "LAWFUL GOVERNMENTAL</w:t>
      </w:r>
    </w:p>
    <w:p>
      <w:pPr>
        <w:spacing w:before="2"/>
        <w:ind w:left="1560" w:right="0" w:firstLine="0"/>
        <w:jc w:val="left"/>
        <w:rPr>
          <w:b/>
          <w:sz w:val="24"/>
        </w:rPr>
      </w:pPr>
      <w:r>
        <w:rPr>
          <w:b/>
          <w:sz w:val="24"/>
          <w:u w:val="thick"/>
        </w:rPr>
        <w:t>FUNCTION."</w:t>
      </w:r>
    </w:p>
    <w:p>
      <w:pPr>
        <w:pStyle w:val="BodyText"/>
        <w:spacing w:line="480" w:lineRule="auto" w:before="233"/>
        <w:ind w:left="120" w:right="111" w:firstLine="720"/>
        <w:jc w:val="both"/>
        <w:rPr>
          <w:i/>
        </w:rPr>
      </w:pPr>
      <w:r>
        <w:rPr/>
        <w:t>To charge an offense under the "defraud" prong of § 371, Count One </w:t>
      </w:r>
      <w:r>
        <w:rPr>
          <w:spacing w:val="-4"/>
        </w:rPr>
        <w:t>must </w:t>
      </w:r>
      <w:r>
        <w:rPr/>
        <w:t>charge that Fr. Klein conspired "to interfere with </w:t>
      </w:r>
      <w:r>
        <w:rPr>
          <w:spacing w:val="2"/>
        </w:rPr>
        <w:t>or </w:t>
      </w:r>
      <w:r>
        <w:rPr/>
        <w:t>obstruct one of [the United States'] lawful governmental functions by deceit, craft, or trickery, or </w:t>
      </w:r>
      <w:r>
        <w:rPr>
          <w:spacing w:val="-3"/>
        </w:rPr>
        <w:t>at </w:t>
      </w:r>
      <w:r>
        <w:rPr/>
        <w:t>least  by means that  are dishonest."  </w:t>
      </w:r>
      <w:r>
        <w:rPr>
          <w:spacing w:val="11"/>
        </w:rPr>
        <w:t> </w:t>
      </w:r>
      <w:r>
        <w:rPr>
          <w:i/>
        </w:rPr>
        <w:t>Hammerschmidt</w:t>
      </w:r>
    </w:p>
    <w:p>
      <w:pPr>
        <w:pStyle w:val="BodyText"/>
        <w:spacing w:line="480" w:lineRule="auto"/>
        <w:ind w:left="120" w:right="116"/>
        <w:jc w:val="both"/>
      </w:pPr>
      <w:r>
        <w:rPr>
          <w:i/>
        </w:rPr>
        <w:t>v. United States</w:t>
      </w:r>
      <w:r>
        <w:rPr/>
        <w:t>, 265 U.S. 182, 188 (1924); </w:t>
      </w:r>
      <w:r>
        <w:rPr>
          <w:i/>
        </w:rPr>
        <w:t>see, e.g., United States v. F.J. Vollmer &amp; Co.</w:t>
      </w:r>
      <w:r>
        <w:rPr/>
        <w:t>, 1 F.3d 1511, 1519-20 (7th </w:t>
      </w:r>
      <w:r>
        <w:rPr>
          <w:spacing w:val="-3"/>
        </w:rPr>
        <w:t>Cir. </w:t>
      </w:r>
      <w:r>
        <w:rPr/>
        <w:t>1993) (discussing sufficiency </w:t>
      </w:r>
      <w:r>
        <w:rPr>
          <w:spacing w:val="4"/>
        </w:rPr>
        <w:t>of </w:t>
      </w:r>
      <w:r>
        <w:rPr/>
        <w:t>§ 371 "defraud" indictment). </w:t>
      </w:r>
      <w:r>
        <w:rPr>
          <w:spacing w:val="-3"/>
        </w:rPr>
        <w:t>The </w:t>
      </w:r>
      <w:r>
        <w:rPr/>
        <w:t>"lawful governmental function" allegedly at </w:t>
      </w:r>
      <w:r>
        <w:rPr>
          <w:spacing w:val="-3"/>
        </w:rPr>
        <w:t>issue in </w:t>
      </w:r>
      <w:r>
        <w:rPr/>
        <w:t>Count One </w:t>
      </w:r>
      <w:r>
        <w:rPr>
          <w:spacing w:val="-5"/>
        </w:rPr>
        <w:t>is </w:t>
      </w:r>
      <w:r>
        <w:rPr/>
        <w:t>the "administration </w:t>
      </w:r>
      <w:r>
        <w:rPr>
          <w:spacing w:val="-3"/>
        </w:rPr>
        <w:t>and </w:t>
      </w:r>
      <w:r>
        <w:rPr/>
        <w:t>enforcement of the Special Administrative Measures for inmate Frank Calabrese  Sr." Indictment, Count  One, ¶ 2.   But  Count  One has a fatal deficiency:</w:t>
      </w:r>
      <w:r>
        <w:rPr>
          <w:spacing w:val="53"/>
        </w:rPr>
        <w:t> </w:t>
      </w:r>
      <w:r>
        <w:rPr/>
        <w:t>the facts alleged, however,</w:t>
      </w:r>
    </w:p>
    <w:p>
      <w:pPr>
        <w:spacing w:after="0" w:line="480" w:lineRule="auto"/>
        <w:jc w:val="both"/>
        <w:sectPr>
          <w:headerReference w:type="default" r:id="rId9"/>
          <w:pgSz w:w="12240" w:h="15840"/>
          <w:pgMar w:header="283" w:footer="1089" w:top="1300" w:bottom="1280" w:left="1320" w:right="1320"/>
        </w:sectPr>
      </w:pPr>
    </w:p>
    <w:p>
      <w:pPr>
        <w:pStyle w:val="BodyText"/>
        <w:spacing w:line="480" w:lineRule="auto" w:before="117"/>
        <w:ind w:left="120" w:right="242"/>
      </w:pPr>
      <w:r>
        <w:rPr/>
        <w:t>do not and cannot show an agreement to interfere with any function that the SAMs lawfully serve.</w:t>
      </w:r>
    </w:p>
    <w:p>
      <w:pPr>
        <w:pStyle w:val="BodyText"/>
        <w:spacing w:line="480" w:lineRule="auto"/>
        <w:ind w:left="119" w:right="113" w:firstLine="720"/>
        <w:jc w:val="both"/>
      </w:pPr>
      <w:r>
        <w:rPr/>
        <w:t>"The Attorney General's power to promulgate SAMs for individual prisoners derives from 28 C.F.R. § 501.3." </w:t>
      </w:r>
      <w:r>
        <w:rPr>
          <w:i/>
        </w:rPr>
        <w:t>United States v. Reid</w:t>
      </w:r>
      <w:r>
        <w:rPr/>
        <w:t>, 369 F.3d 619, 620 (1st </w:t>
      </w:r>
      <w:r>
        <w:rPr>
          <w:spacing w:val="-3"/>
        </w:rPr>
        <w:t>Cir. </w:t>
      </w:r>
      <w:r>
        <w:rPr/>
        <w:t>2004); </w:t>
      </w:r>
      <w:r>
        <w:rPr>
          <w:i/>
        </w:rPr>
        <w:t>see Yousef </w:t>
      </w:r>
      <w:r>
        <w:rPr>
          <w:i/>
          <w:spacing w:val="-6"/>
        </w:rPr>
        <w:t>v. </w:t>
      </w:r>
      <w:r>
        <w:rPr>
          <w:i/>
        </w:rPr>
        <w:t>Reno</w:t>
      </w:r>
      <w:r>
        <w:rPr/>
        <w:t>, 254 F.3d 1214, 1219 (10th Cir. 2001). Section 501.3 thus "set[s] forth the boundaries" </w:t>
      </w:r>
      <w:r>
        <w:rPr>
          <w:spacing w:val="4"/>
        </w:rPr>
        <w:t>of </w:t>
      </w:r>
      <w:r>
        <w:rPr/>
        <w:t>the Attorney General's authority </w:t>
      </w:r>
      <w:r>
        <w:rPr>
          <w:spacing w:val="2"/>
        </w:rPr>
        <w:t>to </w:t>
      </w:r>
      <w:r>
        <w:rPr/>
        <w:t>impose SAMs. </w:t>
      </w:r>
      <w:r>
        <w:rPr>
          <w:i/>
        </w:rPr>
        <w:t>United States v. Stewart</w:t>
      </w:r>
      <w:r>
        <w:rPr/>
        <w:t>, 590 F.3d 93, 112  (2d </w:t>
      </w:r>
      <w:r>
        <w:rPr>
          <w:spacing w:val="-3"/>
        </w:rPr>
        <w:t>Cir. </w:t>
      </w:r>
      <w:r>
        <w:rPr/>
        <w:t>2009), </w:t>
      </w:r>
      <w:r>
        <w:rPr>
          <w:i/>
        </w:rPr>
        <w:t>cert. denied</w:t>
      </w:r>
      <w:r>
        <w:rPr/>
        <w:t>, 130 S. </w:t>
      </w:r>
      <w:r>
        <w:rPr>
          <w:spacing w:val="-3"/>
        </w:rPr>
        <w:t>Ct. </w:t>
      </w:r>
      <w:r>
        <w:rPr/>
        <w:t>1924 (2010). The title of § 501.3 reflects those "boundaries": the only lawful purpose of SAMs </w:t>
      </w:r>
      <w:r>
        <w:rPr>
          <w:spacing w:val="-5"/>
        </w:rPr>
        <w:t>is </w:t>
      </w:r>
      <w:r>
        <w:rPr/>
        <w:t>"[p]revention of acts of violence </w:t>
      </w:r>
      <w:r>
        <w:rPr>
          <w:spacing w:val="-3"/>
        </w:rPr>
        <w:t>and </w:t>
      </w:r>
      <w:r>
        <w:rPr/>
        <w:t>terrorism." Consistent with the title, the regulation permits the imposition of SAMs </w:t>
      </w:r>
      <w:r>
        <w:rPr>
          <w:i/>
        </w:rPr>
        <w:t>only </w:t>
      </w:r>
      <w:r>
        <w:rPr/>
        <w:t>to "protect persons against </w:t>
      </w:r>
      <w:r>
        <w:rPr>
          <w:spacing w:val="-3"/>
        </w:rPr>
        <w:t>risk </w:t>
      </w:r>
      <w:r>
        <w:rPr/>
        <w:t>of death or serious bodily injury." </w:t>
      </w:r>
      <w:r>
        <w:rPr>
          <w:i/>
        </w:rPr>
        <w:t>Id</w:t>
      </w:r>
      <w:r>
        <w:rPr/>
        <w:t>. § 501.3(a); </w:t>
      </w:r>
      <w:r>
        <w:rPr>
          <w:i/>
        </w:rPr>
        <w:t>see id</w:t>
      </w:r>
      <w:r>
        <w:rPr/>
        <w:t>. (SAMs restrictions may </w:t>
      </w:r>
      <w:r>
        <w:rPr>
          <w:spacing w:val="-3"/>
        </w:rPr>
        <w:t>be </w:t>
      </w:r>
      <w:r>
        <w:rPr/>
        <w:t>imposed "as </w:t>
      </w:r>
      <w:r>
        <w:rPr>
          <w:spacing w:val="-3"/>
        </w:rPr>
        <w:t>is </w:t>
      </w:r>
      <w:r>
        <w:rPr/>
        <w:t>reasonably necessary </w:t>
      </w:r>
      <w:r>
        <w:rPr>
          <w:spacing w:val="2"/>
        </w:rPr>
        <w:t>to </w:t>
      </w:r>
      <w:r>
        <w:rPr/>
        <w:t>protect persons against the risk </w:t>
      </w:r>
      <w:r>
        <w:rPr>
          <w:spacing w:val="4"/>
        </w:rPr>
        <w:t>of </w:t>
      </w:r>
      <w:r>
        <w:rPr/>
        <w:t>acts of  violence  or  terrorism");  </w:t>
      </w:r>
      <w:r>
        <w:rPr>
          <w:i/>
        </w:rPr>
        <w:t>United  States  v.  Johnson</w:t>
      </w:r>
      <w:r>
        <w:rPr/>
        <w:t>,  223  F.3d  665,  672  (7th  Cir.  2000) (§ 501.3(a) requires "risk </w:t>
      </w:r>
      <w:r>
        <w:rPr>
          <w:spacing w:val="4"/>
        </w:rPr>
        <w:t>of </w:t>
      </w:r>
      <w:r>
        <w:rPr/>
        <w:t>acts of violence or terrorism"). Nothing </w:t>
      </w:r>
      <w:r>
        <w:rPr>
          <w:spacing w:val="-3"/>
        </w:rPr>
        <w:t>in </w:t>
      </w:r>
      <w:r>
        <w:rPr/>
        <w:t>§ 501.3 permits imposition of SAMs for any purpose other than the prevention of acts of violence and</w:t>
      </w:r>
      <w:r>
        <w:rPr>
          <w:spacing w:val="-38"/>
        </w:rPr>
        <w:t> </w:t>
      </w:r>
      <w:r>
        <w:rPr/>
        <w:t>terrorism.</w:t>
      </w:r>
    </w:p>
    <w:p>
      <w:pPr>
        <w:pStyle w:val="BodyText"/>
        <w:spacing w:line="480" w:lineRule="auto" w:before="1"/>
        <w:ind w:left="120" w:right="117" w:firstLine="720"/>
        <w:jc w:val="both"/>
      </w:pPr>
      <w:r>
        <w:rPr/>
        <w:t>The Calabrese SAMs attempt to expand this narrow, strictly defined purpose. The SAMs purport to permit restrictions on Calabrese's communications not only to "protect persons against risk of death or serious bodily injury," but also to "limit[] the inmate's ability to communicate (send or receive) information relating to criminal activity." SAMs at 3, ¶ 1.c; </w:t>
      </w:r>
      <w:r>
        <w:rPr>
          <w:i/>
        </w:rPr>
        <w:t>see </w:t>
      </w:r>
      <w:r>
        <w:rPr/>
        <w:t>Indictment at</w:t>
      </w:r>
    </w:p>
    <w:p>
      <w:pPr>
        <w:spacing w:after="0" w:line="480" w:lineRule="auto"/>
        <w:jc w:val="both"/>
        <w:sectPr>
          <w:headerReference w:type="default" r:id="rId10"/>
          <w:pgSz w:w="12240" w:h="15840"/>
          <w:pgMar w:header="283" w:footer="1089" w:top="1300" w:bottom="1280" w:left="1320" w:right="1320"/>
          <w:pgNumType w:start="5"/>
        </w:sectPr>
      </w:pPr>
    </w:p>
    <w:p>
      <w:pPr>
        <w:pStyle w:val="BodyText"/>
        <w:ind w:left="120"/>
      </w:pPr>
      <w:r>
        <w:rPr/>
        <w:t>4, ¶ 1.i., j. (reciting this language). </w:t>
      </w:r>
      <w:hyperlink w:history="true" w:anchor="_bookmark0">
        <w:r>
          <w:rPr>
            <w:vertAlign w:val="superscript"/>
          </w:rPr>
          <w:t>1</w:t>
        </w:r>
      </w:hyperlink>
    </w:p>
    <w:p>
      <w:pPr>
        <w:pStyle w:val="BodyText"/>
        <w:ind w:left="120"/>
      </w:pPr>
      <w:r>
        <w:rPr/>
        <w:br w:type="column"/>
      </w:r>
      <w:r>
        <w:rPr/>
        <w:t>The United States Attorney's Office's request for an</w:t>
      </w:r>
    </w:p>
    <w:p>
      <w:pPr>
        <w:spacing w:after="0"/>
        <w:sectPr>
          <w:type w:val="continuous"/>
          <w:pgSz w:w="12240" w:h="15840"/>
          <w:pgMar w:top="1300" w:bottom="280" w:left="1320" w:right="1320"/>
          <w:cols w:num="2" w:equalWidth="0">
            <w:col w:w="3902" w:space="58"/>
            <w:col w:w="5640"/>
          </w:cols>
        </w:sectPr>
      </w:pPr>
    </w:p>
    <w:p>
      <w:pPr>
        <w:pStyle w:val="BodyText"/>
        <w:spacing w:before="2"/>
        <w:rPr>
          <w:sz w:val="16"/>
        </w:rPr>
      </w:pPr>
    </w:p>
    <w:p>
      <w:pPr>
        <w:pStyle w:val="BodyText"/>
        <w:spacing w:line="480" w:lineRule="auto" w:before="90"/>
        <w:ind w:left="119" w:right="114"/>
        <w:jc w:val="both"/>
      </w:pPr>
      <w:r>
        <w:rPr/>
        <w:t>extension of the SAMs, cited at page 1 of the SAMs, underscores this effort to stretch the SAMs beyond their lawful purpose; the letter requests that the SAMs be imposed because Calabrese allegedly "sen[t] an unmonitored coded message in an apparent attempt to shield his assets from</w:t>
      </w:r>
    </w:p>
    <w:p>
      <w:pPr>
        <w:pStyle w:val="BodyText"/>
        <w:spacing w:before="8"/>
        <w:rPr>
          <w:sz w:val="17"/>
        </w:rPr>
      </w:pPr>
      <w:r>
        <w:rPr/>
        <w:pict>
          <v:line style="position:absolute;mso-position-horizontal-relative:page;mso-position-vertical-relative:paragraph;z-index:-1024;mso-wrap-distance-left:0;mso-wrap-distance-right:0" from="72pt,12.548789pt" to="216pt,12.548789pt" stroked="true" strokeweight=".72pt" strokecolor="#000000">
            <v:stroke dashstyle="solid"/>
            <w10:wrap type="topAndBottom"/>
          </v:line>
        </w:pict>
      </w:r>
    </w:p>
    <w:p>
      <w:pPr>
        <w:spacing w:before="42"/>
        <w:ind w:left="120" w:right="0" w:firstLine="0"/>
        <w:jc w:val="left"/>
        <w:rPr>
          <w:sz w:val="20"/>
        </w:rPr>
      </w:pPr>
      <w:bookmarkStart w:name="_bookmark0" w:id="1"/>
      <w:bookmarkEnd w:id="1"/>
      <w:r>
        <w:rPr/>
      </w:r>
      <w:r>
        <w:rPr>
          <w:position w:val="9"/>
          <w:sz w:val="13"/>
        </w:rPr>
        <w:t>1 </w:t>
      </w:r>
      <w:r>
        <w:rPr>
          <w:sz w:val="20"/>
        </w:rPr>
        <w:t>The Calabrese SAMs dated November 12, 2010 are attached as Exhibit A.</w:t>
      </w:r>
    </w:p>
    <w:p>
      <w:pPr>
        <w:spacing w:after="0"/>
        <w:jc w:val="left"/>
        <w:rPr>
          <w:sz w:val="20"/>
        </w:rPr>
        <w:sectPr>
          <w:type w:val="continuous"/>
          <w:pgSz w:w="12240" w:h="15840"/>
          <w:pgMar w:top="1300" w:bottom="280" w:left="1320" w:right="1320"/>
        </w:sectPr>
      </w:pPr>
    </w:p>
    <w:p>
      <w:pPr>
        <w:pStyle w:val="BodyText"/>
        <w:spacing w:before="117"/>
        <w:ind w:left="120"/>
      </w:pPr>
      <w:r>
        <w:rPr/>
        <w:t>seizure by the government." SAMs at 1.</w:t>
      </w:r>
      <w:hyperlink w:history="true" w:anchor="_bookmark1">
        <w:r>
          <w:rPr>
            <w:vertAlign w:val="superscript"/>
          </w:rPr>
          <w:t>2</w:t>
        </w:r>
      </w:hyperlink>
    </w:p>
    <w:p>
      <w:pPr>
        <w:pStyle w:val="BodyText"/>
        <w:spacing w:before="117"/>
        <w:ind w:left="106"/>
      </w:pPr>
      <w:r>
        <w:rPr/>
        <w:br w:type="column"/>
      </w:r>
      <w:r>
        <w:rPr/>
        <w:t>Shielding assets from seizure might or might not be</w:t>
      </w:r>
    </w:p>
    <w:p>
      <w:pPr>
        <w:spacing w:after="0"/>
        <w:sectPr>
          <w:headerReference w:type="default" r:id="rId11"/>
          <w:footerReference w:type="default" r:id="rId12"/>
          <w:pgSz w:w="12240" w:h="15840"/>
          <w:pgMar w:header="283" w:footer="1089" w:top="1300" w:bottom="1280" w:left="1320" w:right="1320"/>
          <w:pgNumType w:start="6"/>
          <w:cols w:num="2" w:equalWidth="0">
            <w:col w:w="4237" w:space="40"/>
            <w:col w:w="5323"/>
          </w:cols>
        </w:sectPr>
      </w:pPr>
    </w:p>
    <w:p>
      <w:pPr>
        <w:pStyle w:val="BodyText"/>
        <w:spacing w:before="2"/>
        <w:rPr>
          <w:sz w:val="16"/>
        </w:rPr>
      </w:pPr>
    </w:p>
    <w:p>
      <w:pPr>
        <w:pStyle w:val="BodyText"/>
        <w:spacing w:line="480" w:lineRule="auto" w:before="90"/>
        <w:ind w:left="120"/>
      </w:pPr>
      <w:r>
        <w:rPr/>
        <w:t>criminal, but it generally does not present any danger of "death or serious bodily injury." Use of the SAMs to prevent an inmate from concealing assets thus exceeds the authority in 28 C.F.R.</w:t>
      </w:r>
    </w:p>
    <w:p>
      <w:pPr>
        <w:pStyle w:val="BodyText"/>
        <w:ind w:left="120"/>
      </w:pPr>
      <w:r>
        <w:rPr/>
        <w:t>§ 501.3 and is not a "lawful" government function.</w:t>
      </w:r>
    </w:p>
    <w:p>
      <w:pPr>
        <w:pStyle w:val="BodyText"/>
        <w:spacing w:before="2"/>
        <w:rPr>
          <w:sz w:val="16"/>
        </w:rPr>
      </w:pPr>
    </w:p>
    <w:p>
      <w:pPr>
        <w:pStyle w:val="BodyText"/>
        <w:spacing w:line="480" w:lineRule="auto" w:before="90"/>
        <w:ind w:left="120" w:right="115" w:firstLine="720"/>
        <w:jc w:val="both"/>
      </w:pPr>
      <w:r>
        <w:rPr/>
        <w:t>The indictment leaves no doubt that the agreement in which Fr. Klein is alleged to have participated in Count One did not have as its object interference with the only lawful function of the SAMs: the protection of persons "against risk of death or serious bodily injury." 28 C.F.R.</w:t>
      </w:r>
    </w:p>
    <w:p>
      <w:pPr>
        <w:pStyle w:val="BodyText"/>
        <w:spacing w:line="480" w:lineRule="auto" w:before="1"/>
        <w:ind w:left="120" w:right="118"/>
        <w:jc w:val="both"/>
      </w:pPr>
      <w:r>
        <w:rPr/>
        <w:t>§ 501.3(a). Count One alleges that Fr. </w:t>
      </w:r>
      <w:r>
        <w:rPr>
          <w:spacing w:val="-3"/>
        </w:rPr>
        <w:t>Klein </w:t>
      </w:r>
      <w:r>
        <w:rPr/>
        <w:t>agreed with Calabrese and others to </w:t>
      </w:r>
      <w:r>
        <w:rPr>
          <w:spacing w:val="-3"/>
        </w:rPr>
        <w:t>help </w:t>
      </w:r>
      <w:r>
        <w:rPr/>
        <w:t>retrieve a Stradavarius violin from a Calabrese home that the government had seized. </w:t>
      </w:r>
      <w:r>
        <w:rPr>
          <w:spacing w:val="-3"/>
        </w:rPr>
        <w:t>As </w:t>
      </w:r>
      <w:r>
        <w:rPr/>
        <w:t>far as the indictment reveals, the alleged conspiracy never progressed beyond a telephone call from Fr. Klein </w:t>
      </w:r>
      <w:r>
        <w:rPr>
          <w:spacing w:val="2"/>
        </w:rPr>
        <w:t>to </w:t>
      </w:r>
      <w:r>
        <w:rPr/>
        <w:t>the realtor </w:t>
      </w:r>
      <w:r>
        <w:rPr>
          <w:spacing w:val="-3"/>
        </w:rPr>
        <w:t>selling </w:t>
      </w:r>
      <w:r>
        <w:rPr/>
        <w:t>the house. Nothing </w:t>
      </w:r>
      <w:r>
        <w:rPr>
          <w:spacing w:val="-3"/>
        </w:rPr>
        <w:t>in </w:t>
      </w:r>
      <w:r>
        <w:rPr/>
        <w:t>the indictment so much as hints that the recovery of the Stradivarius, had </w:t>
      </w:r>
      <w:r>
        <w:rPr>
          <w:spacing w:val="-5"/>
        </w:rPr>
        <w:t>it </w:t>
      </w:r>
      <w:r>
        <w:rPr/>
        <w:t>been accomplished, would have presented any risk of death  or serious bodily injury. The indictment thus fails to </w:t>
      </w:r>
      <w:r>
        <w:rPr>
          <w:spacing w:val="-3"/>
        </w:rPr>
        <w:t>allege </w:t>
      </w:r>
      <w:r>
        <w:rPr/>
        <w:t>facts that constitute an agreement to interfere with a "lawful governmental function," as </w:t>
      </w:r>
      <w:r>
        <w:rPr>
          <w:i/>
        </w:rPr>
        <w:t>Hammerschmidt</w:t>
      </w:r>
      <w:r>
        <w:rPr>
          <w:i/>
          <w:spacing w:val="-10"/>
        </w:rPr>
        <w:t> </w:t>
      </w:r>
      <w:r>
        <w:rPr/>
        <w:t>requires.</w:t>
      </w:r>
    </w:p>
    <w:p>
      <w:pPr>
        <w:pStyle w:val="BodyText"/>
        <w:spacing w:line="480" w:lineRule="auto"/>
        <w:ind w:left="120" w:right="121" w:firstLine="720"/>
        <w:jc w:val="both"/>
      </w:pPr>
      <w:r>
        <w:rPr/>
        <w:t>Because the facts alleged </w:t>
      </w:r>
      <w:r>
        <w:rPr>
          <w:spacing w:val="-3"/>
        </w:rPr>
        <w:t>in </w:t>
      </w:r>
      <w:r>
        <w:rPr/>
        <w:t>Count One do not </w:t>
      </w:r>
      <w:r>
        <w:rPr>
          <w:spacing w:val="-3"/>
        </w:rPr>
        <w:t>amount </w:t>
      </w:r>
      <w:r>
        <w:rPr/>
        <w:t>to a violation of the "defraud" prong of 18 U.S.C. § 371, the Court should dismiss that count for </w:t>
      </w:r>
      <w:r>
        <w:rPr>
          <w:spacing w:val="-3"/>
        </w:rPr>
        <w:t>failure </w:t>
      </w:r>
      <w:r>
        <w:rPr/>
        <w:t>to charge an offense. </w:t>
      </w:r>
      <w:r>
        <w:rPr>
          <w:i/>
        </w:rPr>
        <w:t>See,</w:t>
      </w:r>
      <w:r>
        <w:rPr>
          <w:i/>
          <w:spacing w:val="12"/>
        </w:rPr>
        <w:t> </w:t>
      </w:r>
      <w:r>
        <w:rPr>
          <w:i/>
        </w:rPr>
        <w:t>e.g.,</w:t>
      </w:r>
      <w:r>
        <w:rPr>
          <w:i/>
          <w:spacing w:val="7"/>
        </w:rPr>
        <w:t> </w:t>
      </w:r>
      <w:r>
        <w:rPr>
          <w:i/>
        </w:rPr>
        <w:t>United</w:t>
      </w:r>
      <w:r>
        <w:rPr>
          <w:i/>
          <w:spacing w:val="10"/>
        </w:rPr>
        <w:t> </w:t>
      </w:r>
      <w:r>
        <w:rPr>
          <w:i/>
        </w:rPr>
        <w:t>States</w:t>
      </w:r>
      <w:r>
        <w:rPr>
          <w:i/>
          <w:spacing w:val="8"/>
        </w:rPr>
        <w:t> </w:t>
      </w:r>
      <w:r>
        <w:rPr>
          <w:i/>
          <w:spacing w:val="-3"/>
        </w:rPr>
        <w:t>v.</w:t>
      </w:r>
      <w:r>
        <w:rPr>
          <w:i/>
          <w:spacing w:val="12"/>
        </w:rPr>
        <w:t> </w:t>
      </w:r>
      <w:r>
        <w:rPr>
          <w:i/>
        </w:rPr>
        <w:t>Panarella</w:t>
      </w:r>
      <w:r>
        <w:rPr/>
        <w:t>,</w:t>
      </w:r>
      <w:r>
        <w:rPr>
          <w:spacing w:val="7"/>
        </w:rPr>
        <w:t> </w:t>
      </w:r>
      <w:r>
        <w:rPr/>
        <w:t>277</w:t>
      </w:r>
      <w:r>
        <w:rPr>
          <w:spacing w:val="11"/>
        </w:rPr>
        <w:t> </w:t>
      </w:r>
      <w:r>
        <w:rPr/>
        <w:t>F.3d</w:t>
      </w:r>
      <w:r>
        <w:rPr>
          <w:spacing w:val="5"/>
        </w:rPr>
        <w:t> </w:t>
      </w:r>
      <w:r>
        <w:rPr/>
        <w:t>678,</w:t>
      </w:r>
      <w:r>
        <w:rPr>
          <w:spacing w:val="12"/>
        </w:rPr>
        <w:t> </w:t>
      </w:r>
      <w:r>
        <w:rPr/>
        <w:t>685</w:t>
      </w:r>
      <w:r>
        <w:rPr>
          <w:spacing w:val="6"/>
        </w:rPr>
        <w:t> </w:t>
      </w:r>
      <w:r>
        <w:rPr/>
        <w:t>(3d</w:t>
      </w:r>
      <w:r>
        <w:rPr>
          <w:spacing w:val="5"/>
        </w:rPr>
        <w:t> </w:t>
      </w:r>
      <w:r>
        <w:rPr>
          <w:spacing w:val="-3"/>
        </w:rPr>
        <w:t>Cir.</w:t>
      </w:r>
      <w:r>
        <w:rPr>
          <w:spacing w:val="13"/>
        </w:rPr>
        <w:t> </w:t>
      </w:r>
      <w:r>
        <w:rPr/>
        <w:t>2002)</w:t>
      </w:r>
      <w:r>
        <w:rPr>
          <w:spacing w:val="12"/>
        </w:rPr>
        <w:t> </w:t>
      </w:r>
      <w:r>
        <w:rPr/>
        <w:t>("[F]or</w:t>
      </w:r>
      <w:r>
        <w:rPr>
          <w:spacing w:val="6"/>
        </w:rPr>
        <w:t> </w:t>
      </w:r>
      <w:r>
        <w:rPr/>
        <w:t>purposes</w:t>
      </w:r>
      <w:r>
        <w:rPr>
          <w:spacing w:val="4"/>
        </w:rPr>
        <w:t> </w:t>
      </w:r>
      <w:r>
        <w:rPr/>
        <w:t>of</w:t>
      </w:r>
      <w:r>
        <w:rPr>
          <w:spacing w:val="2"/>
        </w:rPr>
        <w:t> </w:t>
      </w:r>
      <w:r>
        <w:rPr/>
        <w:t>[Fed.</w:t>
      </w:r>
    </w:p>
    <w:p>
      <w:pPr>
        <w:pStyle w:val="BodyText"/>
        <w:spacing w:line="480" w:lineRule="auto"/>
        <w:ind w:left="120" w:right="114"/>
        <w:jc w:val="both"/>
      </w:pPr>
      <w:r>
        <w:rPr/>
        <w:t>R. </w:t>
      </w:r>
      <w:r>
        <w:rPr>
          <w:spacing w:val="-4"/>
        </w:rPr>
        <w:t>Crim. </w:t>
      </w:r>
      <w:r>
        <w:rPr/>
        <w:t>P.] 12(b)(2), a charging document fails to state an offense </w:t>
      </w:r>
      <w:r>
        <w:rPr>
          <w:spacing w:val="-3"/>
        </w:rPr>
        <w:t>if </w:t>
      </w:r>
      <w:r>
        <w:rPr/>
        <w:t>the specific facts alleged </w:t>
      </w:r>
      <w:r>
        <w:rPr>
          <w:spacing w:val="-3"/>
        </w:rPr>
        <w:t>in </w:t>
      </w:r>
      <w:r>
        <w:rPr/>
        <w:t>the charging document fall beyond the scope of the relevant criminal statute, as a matter of statutory interpretation."); </w:t>
      </w:r>
      <w:r>
        <w:rPr>
          <w:i/>
        </w:rPr>
        <w:t>United States v. Varbel</w:t>
      </w:r>
      <w:r>
        <w:rPr/>
        <w:t>, 780 F.2d 758, 762-63 (9th Cir. 1985) (indictment fails </w:t>
      </w:r>
      <w:r>
        <w:rPr>
          <w:spacing w:val="2"/>
        </w:rPr>
        <w:t>to </w:t>
      </w:r>
      <w:r>
        <w:rPr/>
        <w:t>charge offense where alleged conduct does not </w:t>
      </w:r>
      <w:r>
        <w:rPr>
          <w:spacing w:val="-3"/>
        </w:rPr>
        <w:t>fall </w:t>
      </w:r>
      <w:r>
        <w:rPr/>
        <w:t>within scope of statute); </w:t>
      </w:r>
      <w:r>
        <w:rPr>
          <w:i/>
        </w:rPr>
        <w:t>United</w:t>
      </w:r>
      <w:r>
        <w:rPr>
          <w:i/>
          <w:spacing w:val="13"/>
        </w:rPr>
        <w:t> </w:t>
      </w:r>
      <w:r>
        <w:rPr>
          <w:i/>
        </w:rPr>
        <w:t>States</w:t>
      </w:r>
      <w:r>
        <w:rPr>
          <w:i/>
          <w:spacing w:val="8"/>
        </w:rPr>
        <w:t> </w:t>
      </w:r>
      <w:r>
        <w:rPr>
          <w:i/>
        </w:rPr>
        <w:t>v.</w:t>
      </w:r>
      <w:r>
        <w:rPr>
          <w:i/>
          <w:spacing w:val="12"/>
        </w:rPr>
        <w:t> </w:t>
      </w:r>
      <w:r>
        <w:rPr>
          <w:i/>
        </w:rPr>
        <w:t>Cogswell</w:t>
      </w:r>
      <w:r>
        <w:rPr/>
        <w:t>,</w:t>
      </w:r>
      <w:r>
        <w:rPr>
          <w:spacing w:val="12"/>
        </w:rPr>
        <w:t> </w:t>
      </w:r>
      <w:r>
        <w:rPr/>
        <w:t>637</w:t>
      </w:r>
      <w:r>
        <w:rPr>
          <w:spacing w:val="10"/>
        </w:rPr>
        <w:t> </w:t>
      </w:r>
      <w:r>
        <w:rPr/>
        <w:t>F.</w:t>
      </w:r>
      <w:r>
        <w:rPr>
          <w:spacing w:val="12"/>
        </w:rPr>
        <w:t> </w:t>
      </w:r>
      <w:r>
        <w:rPr/>
        <w:t>Supp.</w:t>
      </w:r>
      <w:r>
        <w:rPr>
          <w:spacing w:val="12"/>
        </w:rPr>
        <w:t> </w:t>
      </w:r>
      <w:r>
        <w:rPr/>
        <w:t>295,</w:t>
      </w:r>
      <w:r>
        <w:rPr>
          <w:spacing w:val="12"/>
        </w:rPr>
        <w:t> </w:t>
      </w:r>
      <w:r>
        <w:rPr/>
        <w:t>296</w:t>
      </w:r>
      <w:r>
        <w:rPr>
          <w:spacing w:val="10"/>
        </w:rPr>
        <w:t> </w:t>
      </w:r>
      <w:r>
        <w:rPr/>
        <w:t>n.2</w:t>
      </w:r>
      <w:r>
        <w:rPr>
          <w:spacing w:val="10"/>
        </w:rPr>
        <w:t> </w:t>
      </w:r>
      <w:r>
        <w:rPr/>
        <w:t>(N.D.</w:t>
      </w:r>
      <w:r>
        <w:rPr>
          <w:spacing w:val="12"/>
        </w:rPr>
        <w:t> </w:t>
      </w:r>
      <w:r>
        <w:rPr>
          <w:spacing w:val="-3"/>
        </w:rPr>
        <w:t>Cal.</w:t>
      </w:r>
      <w:r>
        <w:rPr>
          <w:spacing w:val="12"/>
        </w:rPr>
        <w:t> </w:t>
      </w:r>
      <w:r>
        <w:rPr/>
        <w:t>1985)</w:t>
      </w:r>
      <w:r>
        <w:rPr>
          <w:spacing w:val="11"/>
        </w:rPr>
        <w:t> </w:t>
      </w:r>
      <w:r>
        <w:rPr/>
        <w:t>("The</w:t>
      </w:r>
      <w:r>
        <w:rPr>
          <w:spacing w:val="9"/>
        </w:rPr>
        <w:t> </w:t>
      </w:r>
      <w:r>
        <w:rPr/>
        <w:t>district</w:t>
      </w:r>
      <w:r>
        <w:rPr>
          <w:spacing w:val="15"/>
        </w:rPr>
        <w:t> </w:t>
      </w:r>
      <w:r>
        <w:rPr/>
        <w:t>court</w:t>
      </w:r>
      <w:r>
        <w:rPr>
          <w:spacing w:val="15"/>
        </w:rPr>
        <w:t> </w:t>
      </w:r>
      <w:r>
        <w:rPr>
          <w:spacing w:val="-4"/>
        </w:rPr>
        <w:t>must</w:t>
      </w:r>
    </w:p>
    <w:p>
      <w:pPr>
        <w:pStyle w:val="BodyText"/>
        <w:spacing w:before="8"/>
        <w:rPr>
          <w:sz w:val="17"/>
        </w:rPr>
      </w:pPr>
      <w:r>
        <w:rPr/>
        <w:pict>
          <v:line style="position:absolute;mso-position-horizontal-relative:page;mso-position-vertical-relative:paragraph;z-index:-1000;mso-wrap-distance-left:0;mso-wrap-distance-right:0" from="72pt,12.548399pt" to="216pt,12.548399pt" stroked="true" strokeweight=".72pt" strokecolor="#000000">
            <v:stroke dashstyle="solid"/>
            <w10:wrap type="topAndBottom"/>
          </v:line>
        </w:pict>
      </w:r>
    </w:p>
    <w:p>
      <w:pPr>
        <w:spacing w:before="42"/>
        <w:ind w:left="119" w:right="242" w:firstLine="0"/>
        <w:jc w:val="left"/>
        <w:rPr>
          <w:sz w:val="20"/>
        </w:rPr>
      </w:pPr>
      <w:bookmarkStart w:name="_bookmark1" w:id="2"/>
      <w:bookmarkEnd w:id="2"/>
      <w:r>
        <w:rPr/>
      </w:r>
      <w:r>
        <w:rPr>
          <w:position w:val="9"/>
          <w:sz w:val="13"/>
        </w:rPr>
        <w:t>2 </w:t>
      </w:r>
      <w:r>
        <w:rPr>
          <w:sz w:val="20"/>
        </w:rPr>
        <w:t>We have asked the government to produce the </w:t>
      </w:r>
      <w:r>
        <w:rPr>
          <w:spacing w:val="-3"/>
          <w:sz w:val="20"/>
        </w:rPr>
        <w:t>November </w:t>
      </w:r>
      <w:r>
        <w:rPr>
          <w:sz w:val="20"/>
        </w:rPr>
        <w:t>2, 2010 letter from the </w:t>
      </w:r>
      <w:r>
        <w:rPr>
          <w:spacing w:val="-3"/>
          <w:sz w:val="20"/>
        </w:rPr>
        <w:t>USAO  </w:t>
      </w:r>
      <w:r>
        <w:rPr>
          <w:sz w:val="20"/>
        </w:rPr>
        <w:t>requesting extension  </w:t>
      </w:r>
      <w:r>
        <w:rPr>
          <w:spacing w:val="-3"/>
          <w:sz w:val="20"/>
        </w:rPr>
        <w:t>of </w:t>
      </w:r>
      <w:r>
        <w:rPr>
          <w:sz w:val="20"/>
        </w:rPr>
        <w:t>the Calabrese SAMs. The government has refused to provide</w:t>
      </w:r>
      <w:r>
        <w:rPr>
          <w:spacing w:val="-18"/>
          <w:sz w:val="20"/>
        </w:rPr>
        <w:t> </w:t>
      </w:r>
      <w:r>
        <w:rPr>
          <w:sz w:val="20"/>
        </w:rPr>
        <w:t>it.</w:t>
      </w:r>
    </w:p>
    <w:p>
      <w:pPr>
        <w:spacing w:after="0"/>
        <w:jc w:val="left"/>
        <w:rPr>
          <w:sz w:val="20"/>
        </w:rPr>
        <w:sectPr>
          <w:type w:val="continuous"/>
          <w:pgSz w:w="12240" w:h="15840"/>
          <w:pgMar w:top="1300" w:bottom="280" w:left="1320" w:right="1320"/>
        </w:sectPr>
      </w:pPr>
    </w:p>
    <w:p>
      <w:pPr>
        <w:pStyle w:val="BodyText"/>
        <w:spacing w:line="480" w:lineRule="auto" w:before="117"/>
        <w:ind w:left="120" w:right="844"/>
      </w:pPr>
      <w:r>
        <w:rPr/>
        <w:t>dismiss an indictment prior to trial if it fails to allege facts that constitute a prosecutable offense.").</w:t>
      </w:r>
    </w:p>
    <w:p>
      <w:pPr>
        <w:pStyle w:val="Heading1"/>
        <w:numPr>
          <w:ilvl w:val="0"/>
          <w:numId w:val="1"/>
        </w:numPr>
        <w:tabs>
          <w:tab w:pos="1560" w:val="left" w:leader="none"/>
        </w:tabs>
        <w:spacing w:line="240" w:lineRule="auto" w:before="5" w:after="0"/>
        <w:ind w:left="1560" w:right="117" w:hanging="720"/>
        <w:jc w:val="both"/>
      </w:pPr>
      <w:r>
        <w:rPr/>
        <w:t>ALETERNATIVELY, IF THE COURT HOLDS THAT COUNT ONE APPLIES TO FR. KLEIN'S CONDUCT, THEN  THE  STATUTE  IS  VOID </w:t>
      </w:r>
      <w:r>
        <w:rPr>
          <w:u w:val="thick"/>
        </w:rPr>
        <w:t>FOR VAGUENESS AS</w:t>
      </w:r>
      <w:r>
        <w:rPr>
          <w:spacing w:val="6"/>
          <w:u w:val="thick"/>
        </w:rPr>
        <w:t> </w:t>
      </w:r>
      <w:r>
        <w:rPr>
          <w:u w:val="thick"/>
        </w:rPr>
        <w:t>APPLIED.</w:t>
      </w:r>
    </w:p>
    <w:p>
      <w:pPr>
        <w:pStyle w:val="BodyText"/>
        <w:spacing w:line="480" w:lineRule="auto" w:before="233"/>
        <w:ind w:left="119" w:right="116" w:firstLine="720"/>
        <w:jc w:val="both"/>
      </w:pPr>
      <w:r>
        <w:rPr/>
        <w:t>The Fifth Amendment Due Process Clause "requires that a penal statute define the criminal offense with sufficient definiteness that ordinary people can understand what conduct is prohibited and in a manner that does not encourage arbitrary and discriminatory enforcement." </w:t>
      </w:r>
      <w:r>
        <w:rPr>
          <w:i/>
        </w:rPr>
        <w:t>Kolender v. Lawson</w:t>
      </w:r>
      <w:r>
        <w:rPr/>
        <w:t>, 461 U.S. 352, 357 (1983). This void-for-vagueness doctrine has two components: providing fair warning to potential violators, and cabining the discretion of the police, prosecutors, and juries.</w:t>
      </w:r>
    </w:p>
    <w:p>
      <w:pPr>
        <w:pStyle w:val="BodyText"/>
        <w:spacing w:line="480" w:lineRule="auto"/>
        <w:ind w:left="119" w:right="113" w:firstLine="720"/>
        <w:jc w:val="both"/>
      </w:pPr>
      <w:r>
        <w:rPr/>
        <w:t>The </w:t>
      </w:r>
      <w:r>
        <w:rPr>
          <w:spacing w:val="-3"/>
        </w:rPr>
        <w:t>fair </w:t>
      </w:r>
      <w:r>
        <w:rPr/>
        <w:t>warning component focuses on fairness to the targeted individual. It </w:t>
      </w:r>
      <w:r>
        <w:rPr>
          <w:spacing w:val="-5"/>
        </w:rPr>
        <w:t>is </w:t>
      </w:r>
      <w:r>
        <w:rPr/>
        <w:t>a bedrock principle of criminal law that "'fair warning should </w:t>
      </w:r>
      <w:r>
        <w:rPr>
          <w:spacing w:val="-3"/>
        </w:rPr>
        <w:t>be </w:t>
      </w:r>
      <w:r>
        <w:rPr/>
        <w:t>given to the </w:t>
      </w:r>
      <w:r>
        <w:rPr>
          <w:spacing w:val="-3"/>
        </w:rPr>
        <w:t>world in </w:t>
      </w:r>
      <w:r>
        <w:rPr/>
        <w:t>language that the common world will understand, of what the law intends to </w:t>
      </w:r>
      <w:r>
        <w:rPr>
          <w:spacing w:val="-3"/>
        </w:rPr>
        <w:t>do if </w:t>
      </w:r>
      <w:r>
        <w:rPr/>
        <w:t>a certain </w:t>
      </w:r>
      <w:r>
        <w:rPr>
          <w:spacing w:val="-3"/>
        </w:rPr>
        <w:t>line is </w:t>
      </w:r>
      <w:r>
        <w:rPr/>
        <w:t>passed.'" </w:t>
      </w:r>
      <w:r>
        <w:rPr>
          <w:i/>
        </w:rPr>
        <w:t>United </w:t>
      </w:r>
      <w:r>
        <w:rPr>
          <w:i/>
        </w:rPr>
        <w:t>States v. Aguilar</w:t>
      </w:r>
      <w:r>
        <w:rPr/>
        <w:t>, 515 U.S. 593, 600 (1995) (quoting </w:t>
      </w:r>
      <w:r>
        <w:rPr>
          <w:i/>
        </w:rPr>
        <w:t>McBoyle v. United States</w:t>
      </w:r>
      <w:r>
        <w:rPr/>
        <w:t>, 283 U.S. 25, 27 (1931)); </w:t>
      </w:r>
      <w:r>
        <w:rPr>
          <w:i/>
        </w:rPr>
        <w:t>see, e.g., Lanzetta </w:t>
      </w:r>
      <w:r>
        <w:rPr>
          <w:i/>
          <w:spacing w:val="-3"/>
        </w:rPr>
        <w:t>v. </w:t>
      </w:r>
      <w:r>
        <w:rPr>
          <w:i/>
        </w:rPr>
        <w:t>New Jersey</w:t>
      </w:r>
      <w:r>
        <w:rPr/>
        <w:t>, 306 U.S. 451, 453 (1939) ("No one </w:t>
      </w:r>
      <w:r>
        <w:rPr>
          <w:spacing w:val="-3"/>
        </w:rPr>
        <w:t>may </w:t>
      </w:r>
      <w:r>
        <w:rPr/>
        <w:t>be required at peril of life, liberty or property to speculate as to the meaning of penal statutes. All are entitled  to </w:t>
      </w:r>
      <w:r>
        <w:rPr>
          <w:spacing w:val="-3"/>
        </w:rPr>
        <w:t>be </w:t>
      </w:r>
      <w:r>
        <w:rPr/>
        <w:t>informed as to what the State commands or forbids."). The </w:t>
      </w:r>
      <w:r>
        <w:rPr>
          <w:spacing w:val="-3"/>
        </w:rPr>
        <w:t>fair </w:t>
      </w:r>
      <w:r>
        <w:rPr/>
        <w:t>warning principle ensures that a person can "conform [his] conduct to </w:t>
      </w:r>
      <w:r>
        <w:rPr>
          <w:spacing w:val="-4"/>
        </w:rPr>
        <w:t>law </w:t>
      </w:r>
      <w:r>
        <w:rPr/>
        <w:t>. . . by reading the </w:t>
      </w:r>
      <w:r>
        <w:rPr>
          <w:i/>
        </w:rPr>
        <w:t>face </w:t>
      </w:r>
      <w:r>
        <w:rPr/>
        <w:t>of a statute – </w:t>
      </w:r>
      <w:r>
        <w:rPr>
          <w:spacing w:val="-4"/>
        </w:rPr>
        <w:t>not </w:t>
      </w:r>
      <w:r>
        <w:rPr>
          <w:spacing w:val="-5"/>
        </w:rPr>
        <w:t>by </w:t>
      </w:r>
      <w:r>
        <w:rPr/>
        <w:t>having </w:t>
      </w:r>
      <w:r>
        <w:rPr>
          <w:spacing w:val="2"/>
        </w:rPr>
        <w:t>to </w:t>
      </w:r>
      <w:r>
        <w:rPr/>
        <w:t>appeal </w:t>
      </w:r>
      <w:r>
        <w:rPr>
          <w:spacing w:val="2"/>
        </w:rPr>
        <w:t>to </w:t>
      </w:r>
      <w:r>
        <w:rPr/>
        <w:t>outside legal materials." </w:t>
      </w:r>
      <w:r>
        <w:rPr>
          <w:i/>
        </w:rPr>
        <w:t>Sabetti v. DiPaolo</w:t>
      </w:r>
      <w:r>
        <w:rPr/>
        <w:t>, 16 F.3d 16, 17 (1st </w:t>
      </w:r>
      <w:r>
        <w:rPr>
          <w:spacing w:val="-3"/>
        </w:rPr>
        <w:t>Cir. </w:t>
      </w:r>
      <w:r>
        <w:rPr/>
        <w:t>1994) (emphasis </w:t>
      </w:r>
      <w:r>
        <w:rPr>
          <w:spacing w:val="-3"/>
        </w:rPr>
        <w:t>in </w:t>
      </w:r>
      <w:r>
        <w:rPr/>
        <w:t>original; quotation omitted) (Breyer, J.).</w:t>
      </w:r>
    </w:p>
    <w:p>
      <w:pPr>
        <w:pStyle w:val="BodyText"/>
        <w:spacing w:line="480" w:lineRule="auto" w:before="1"/>
        <w:ind w:left="119" w:right="117" w:firstLine="720"/>
        <w:jc w:val="both"/>
      </w:pPr>
      <w:r>
        <w:rPr/>
        <w:t>The prosecutorial discretion component of the vagueness doctrine focuses on a separate interest: the systemic importance of clearly drawn criminal statutes as a means of preventing police, prosecutors, and juries from targeting and convicting individuals arbitrarily.    Thus,</w:t>
      </w:r>
      <w:r>
        <w:rPr>
          <w:spacing w:val="34"/>
        </w:rPr>
        <w:t> </w:t>
      </w:r>
      <w:r>
        <w:rPr/>
        <w:t>even</w:t>
      </w:r>
    </w:p>
    <w:p>
      <w:pPr>
        <w:pStyle w:val="BodyText"/>
        <w:ind w:left="119"/>
      </w:pPr>
      <w:r>
        <w:rPr/>
        <w:t>if a statute provides </w:t>
      </w:r>
      <w:r>
        <w:rPr>
          <w:spacing w:val="-3"/>
        </w:rPr>
        <w:t>fair </w:t>
      </w:r>
      <w:r>
        <w:rPr/>
        <w:t>warning, </w:t>
      </w:r>
      <w:r>
        <w:rPr>
          <w:spacing w:val="-5"/>
        </w:rPr>
        <w:t>it </w:t>
      </w:r>
      <w:r>
        <w:rPr/>
        <w:t>may nonetheless be impermissibly vague </w:t>
      </w:r>
      <w:r>
        <w:rPr>
          <w:spacing w:val="-3"/>
        </w:rPr>
        <w:t>if </w:t>
      </w:r>
      <w:r>
        <w:rPr>
          <w:spacing w:val="-5"/>
        </w:rPr>
        <w:t>it </w:t>
      </w:r>
      <w:r>
        <w:rPr/>
        <w:t>fails</w:t>
      </w:r>
      <w:r>
        <w:rPr>
          <w:spacing w:val="19"/>
        </w:rPr>
        <w:t> </w:t>
      </w:r>
      <w:r>
        <w:rPr/>
        <w:t>adequately</w:t>
      </w:r>
    </w:p>
    <w:p>
      <w:pPr>
        <w:spacing w:after="0"/>
        <w:sectPr>
          <w:headerReference w:type="default" r:id="rId13"/>
          <w:pgSz w:w="12240" w:h="15840"/>
          <w:pgMar w:header="283" w:footer="1089" w:top="1300" w:bottom="1280" w:left="1320" w:right="1320"/>
        </w:sectPr>
      </w:pPr>
    </w:p>
    <w:p>
      <w:pPr>
        <w:pStyle w:val="BodyText"/>
        <w:spacing w:line="480" w:lineRule="auto" w:before="117"/>
        <w:ind w:left="120" w:right="119"/>
        <w:jc w:val="both"/>
      </w:pPr>
      <w:r>
        <w:rPr/>
        <w:t>to restrain the discretion of police, prosecutors, and jurors. </w:t>
      </w:r>
      <w:r>
        <w:rPr>
          <w:i/>
        </w:rPr>
        <w:t>See, e.g., City of Chicago v. Morales</w:t>
      </w:r>
      <w:r>
        <w:rPr/>
        <w:t>, 527 U.S. 41, 56 (1999) (plurality opinion). In that case, the statute violates due process "not because it provides insufficient notice, but because it does not provide sufficient minimal standards to guide law enforcement officers." </w:t>
      </w:r>
      <w:r>
        <w:rPr>
          <w:i/>
        </w:rPr>
        <w:t>Morales</w:t>
      </w:r>
      <w:r>
        <w:rPr/>
        <w:t>, 527 U.S. at 72 (Breyer, J., concurring) (quotation omitted); </w:t>
      </w:r>
      <w:r>
        <w:rPr>
          <w:i/>
        </w:rPr>
        <w:t>see, e.g., Kolender</w:t>
      </w:r>
      <w:r>
        <w:rPr/>
        <w:t>, 461 U.S. at 357.</w:t>
      </w:r>
    </w:p>
    <w:p>
      <w:pPr>
        <w:pStyle w:val="BodyText"/>
        <w:spacing w:line="480" w:lineRule="auto"/>
        <w:ind w:left="119" w:right="111" w:firstLine="720"/>
        <w:jc w:val="both"/>
      </w:pPr>
      <w:r>
        <w:rPr/>
        <w:t>Under these standards, § 371 </w:t>
      </w:r>
      <w:r>
        <w:rPr>
          <w:spacing w:val="-5"/>
        </w:rPr>
        <w:t>is </w:t>
      </w:r>
      <w:r>
        <w:rPr>
          <w:spacing w:val="-3"/>
        </w:rPr>
        <w:t>void </w:t>
      </w:r>
      <w:r>
        <w:rPr/>
        <w:t>for vagueness to the extent </w:t>
      </w:r>
      <w:r>
        <w:rPr>
          <w:spacing w:val="-5"/>
        </w:rPr>
        <w:t>it </w:t>
      </w:r>
      <w:r>
        <w:rPr/>
        <w:t>applies to Fr. Klein's conduct. </w:t>
      </w:r>
      <w:r>
        <w:rPr>
          <w:i/>
        </w:rPr>
        <w:t>See, e.g., United States </w:t>
      </w:r>
      <w:r>
        <w:rPr>
          <w:i/>
          <w:spacing w:val="-3"/>
        </w:rPr>
        <w:t>v. </w:t>
      </w:r>
      <w:r>
        <w:rPr>
          <w:i/>
        </w:rPr>
        <w:t>Cueto</w:t>
      </w:r>
      <w:r>
        <w:rPr/>
        <w:t>, 151 F.3d 620, 635 (7th Cir. 1998) (as-applied vagueness challenge to "defraud" prong of § 371). Nothing on the </w:t>
      </w:r>
      <w:r>
        <w:rPr>
          <w:spacing w:val="-3"/>
        </w:rPr>
        <w:t>face </w:t>
      </w:r>
      <w:r>
        <w:rPr/>
        <w:t>of the statute suggests  that the statutory phrase "conspire . . . to defraud the United States" includes what Count </w:t>
      </w:r>
      <w:r>
        <w:rPr>
          <w:spacing w:val="-4"/>
        </w:rPr>
        <w:t>One</w:t>
      </w:r>
      <w:r>
        <w:rPr>
          <w:spacing w:val="52"/>
        </w:rPr>
        <w:t> </w:t>
      </w:r>
      <w:r>
        <w:rPr/>
        <w:t>alleges: an agreement to interfere with the administration and enforcement of SAMs, which under § 501.3 may serve only </w:t>
      </w:r>
      <w:r>
        <w:rPr>
          <w:spacing w:val="2"/>
        </w:rPr>
        <w:t>to </w:t>
      </w:r>
      <w:r>
        <w:rPr/>
        <w:t>protect against violence and terrorism, </w:t>
      </w:r>
      <w:r>
        <w:rPr>
          <w:spacing w:val="-3"/>
        </w:rPr>
        <w:t>by </w:t>
      </w:r>
      <w:r>
        <w:rPr/>
        <w:t>assisting </w:t>
      </w:r>
      <w:r>
        <w:rPr>
          <w:spacing w:val="-3"/>
        </w:rPr>
        <w:t>in </w:t>
      </w:r>
      <w:r>
        <w:rPr/>
        <w:t>the recovery of a </w:t>
      </w:r>
      <w:r>
        <w:rPr>
          <w:spacing w:val="-3"/>
        </w:rPr>
        <w:t>violin. </w:t>
      </w:r>
      <w:r>
        <w:rPr>
          <w:i/>
        </w:rPr>
        <w:t>Compare Cueto</w:t>
      </w:r>
      <w:r>
        <w:rPr/>
        <w:t>, 151 F.3d </w:t>
      </w:r>
      <w:r>
        <w:rPr>
          <w:spacing w:val="-3"/>
        </w:rPr>
        <w:t>at </w:t>
      </w:r>
      <w:r>
        <w:rPr/>
        <w:t>636 (rejecting vagueness challenge where "the plain and ordinary meaning of 'conspiracy </w:t>
      </w:r>
      <w:r>
        <w:rPr>
          <w:spacing w:val="2"/>
        </w:rPr>
        <w:t>to </w:t>
      </w:r>
      <w:r>
        <w:rPr/>
        <w:t>defraud' necessarily reaches [the defendant's] conduct").</w:t>
      </w:r>
    </w:p>
    <w:p>
      <w:pPr>
        <w:pStyle w:val="BodyText"/>
        <w:spacing w:line="480" w:lineRule="auto" w:before="1"/>
        <w:ind w:left="119" w:right="118" w:firstLine="720"/>
        <w:jc w:val="both"/>
      </w:pPr>
      <w:r>
        <w:rPr/>
        <w:t>Nor does caselaw interpreting § 371 provide the requisite clarity. Comparison with the only other case that has based a conspiracy to defraud charge on the violation of SAMs demonstrates how unprecedented and unforeseeable the theory in Count One is. In </w:t>
      </w:r>
      <w:r>
        <w:rPr>
          <w:i/>
        </w:rPr>
        <w:t>Stewart</w:t>
      </w:r>
      <w:r>
        <w:rPr/>
        <w:t>, the government charged an attorney (Lynne Stewart) and members of her staff with conspiring to defraud the United States by smuggling messages to and from their incarcerated terrorist client in violation of the SAMs. The Second Circuit upheld the conviction on appeal. </w:t>
      </w:r>
      <w:r>
        <w:rPr>
          <w:i/>
        </w:rPr>
        <w:t>See </w:t>
      </w:r>
      <w:r>
        <w:rPr/>
        <w:t>590 F.3d at 109-12.</w:t>
      </w:r>
    </w:p>
    <w:p>
      <w:pPr>
        <w:pStyle w:val="BodyText"/>
        <w:spacing w:line="480" w:lineRule="auto"/>
        <w:ind w:left="119" w:right="124" w:firstLine="720"/>
        <w:jc w:val="both"/>
      </w:pPr>
      <w:r>
        <w:rPr>
          <w:i/>
        </w:rPr>
        <w:t>Stewart </w:t>
      </w:r>
      <w:r>
        <w:rPr/>
        <w:t>differs from this case in two critical respects. First, the communications at issue there implicated the fundamental purpose of the SAMs – the prevention of violence and</w:t>
      </w:r>
    </w:p>
    <w:p>
      <w:pPr>
        <w:spacing w:after="0" w:line="480" w:lineRule="auto"/>
        <w:jc w:val="both"/>
        <w:sectPr>
          <w:headerReference w:type="default" r:id="rId14"/>
          <w:pgSz w:w="12240" w:h="15840"/>
          <w:pgMar w:header="283" w:footer="1089" w:top="1300" w:bottom="1280" w:left="1320" w:right="1320"/>
        </w:sectPr>
      </w:pPr>
    </w:p>
    <w:p>
      <w:pPr>
        <w:pStyle w:val="BodyText"/>
        <w:spacing w:line="480" w:lineRule="auto" w:before="117"/>
        <w:ind w:left="120" w:right="121"/>
        <w:jc w:val="both"/>
      </w:pPr>
      <w:r>
        <w:rPr/>
        <w:t>terrorism. Stewart's client – Sheikh Omar Ahmad Ali Abdel Rahman – used Stewart and </w:t>
      </w:r>
      <w:r>
        <w:rPr>
          <w:spacing w:val="-3"/>
        </w:rPr>
        <w:t>her  </w:t>
      </w:r>
      <w:r>
        <w:rPr/>
        <w:t>staff </w:t>
      </w:r>
      <w:r>
        <w:rPr>
          <w:spacing w:val="2"/>
        </w:rPr>
        <w:t>to </w:t>
      </w:r>
      <w:r>
        <w:rPr/>
        <w:t>communicate to the terrorist group </w:t>
      </w:r>
      <w:r>
        <w:rPr>
          <w:spacing w:val="-3"/>
        </w:rPr>
        <w:t>he </w:t>
      </w:r>
      <w:r>
        <w:rPr/>
        <w:t>headed that </w:t>
      </w:r>
      <w:r>
        <w:rPr>
          <w:spacing w:val="-3"/>
        </w:rPr>
        <w:t>he </w:t>
      </w:r>
      <w:r>
        <w:rPr>
          <w:spacing w:val="-4"/>
        </w:rPr>
        <w:t>did </w:t>
      </w:r>
      <w:r>
        <w:rPr/>
        <w:t>not oppose ending a cease-fire and returning </w:t>
      </w:r>
      <w:r>
        <w:rPr>
          <w:spacing w:val="2"/>
        </w:rPr>
        <w:t>to </w:t>
      </w:r>
      <w:r>
        <w:rPr/>
        <w:t>violence. </w:t>
      </w:r>
      <w:r>
        <w:rPr>
          <w:i/>
        </w:rPr>
        <w:t>See id</w:t>
      </w:r>
      <w:r>
        <w:rPr/>
        <w:t>. </w:t>
      </w:r>
      <w:r>
        <w:rPr>
          <w:spacing w:val="-3"/>
        </w:rPr>
        <w:t>at </w:t>
      </w:r>
      <w:r>
        <w:rPr/>
        <w:t>103-107. The Sheikh even </w:t>
      </w:r>
      <w:r>
        <w:rPr>
          <w:spacing w:val="-3"/>
        </w:rPr>
        <w:t>issued </w:t>
      </w:r>
      <w:r>
        <w:rPr/>
        <w:t>a fatwa through Stewart's staff (and  </w:t>
      </w:r>
      <w:r>
        <w:rPr>
          <w:spacing w:val="-3"/>
        </w:rPr>
        <w:t>in  </w:t>
      </w:r>
      <w:r>
        <w:rPr/>
        <w:t>violation of the SAMs)  "mandating  the </w:t>
      </w:r>
      <w:r>
        <w:rPr>
          <w:spacing w:val="-3"/>
        </w:rPr>
        <w:t>killing  </w:t>
      </w:r>
      <w:r>
        <w:rPr/>
        <w:t>of the Israelis everywhere."   </w:t>
      </w:r>
      <w:r>
        <w:rPr>
          <w:i/>
        </w:rPr>
        <w:t>Id</w:t>
      </w:r>
      <w:r>
        <w:rPr/>
        <w:t>.</w:t>
      </w:r>
      <w:r>
        <w:rPr>
          <w:spacing w:val="38"/>
        </w:rPr>
        <w:t> </w:t>
      </w:r>
      <w:r>
        <w:rPr>
          <w:spacing w:val="-6"/>
        </w:rPr>
        <w:t>at</w:t>
      </w:r>
    </w:p>
    <w:p>
      <w:pPr>
        <w:pStyle w:val="BodyText"/>
        <w:spacing w:line="480" w:lineRule="auto"/>
        <w:ind w:left="120" w:right="123"/>
        <w:jc w:val="both"/>
      </w:pPr>
      <w:r>
        <w:rPr/>
        <w:t>107. Thus, as the court of appeals observed, Stewart and her co-conspirators "endangered people's lives" through  their conduct  – exactly what  the SAMs are  intended </w:t>
      </w:r>
      <w:r>
        <w:rPr>
          <w:spacing w:val="2"/>
        </w:rPr>
        <w:t>to </w:t>
      </w:r>
      <w:r>
        <w:rPr/>
        <w:t>prevent.   </w:t>
      </w:r>
      <w:r>
        <w:rPr>
          <w:i/>
        </w:rPr>
        <w:t>Id</w:t>
      </w:r>
      <w:r>
        <w:rPr/>
        <w:t>. </w:t>
      </w:r>
      <w:r>
        <w:rPr>
          <w:spacing w:val="26"/>
        </w:rPr>
        <w:t> </w:t>
      </w:r>
      <w:r>
        <w:rPr>
          <w:spacing w:val="-6"/>
        </w:rPr>
        <w:t>at</w:t>
      </w:r>
    </w:p>
    <w:p>
      <w:pPr>
        <w:pStyle w:val="BodyText"/>
        <w:spacing w:line="480" w:lineRule="auto"/>
        <w:ind w:left="120" w:right="115"/>
        <w:jc w:val="both"/>
      </w:pPr>
      <w:r>
        <w:rPr/>
        <w:t>112. Here, by contrast, nothing that Fr. Klein is alleged to have done presented any risk of violence to anyone.</w:t>
      </w:r>
    </w:p>
    <w:p>
      <w:pPr>
        <w:pStyle w:val="BodyText"/>
        <w:spacing w:line="480" w:lineRule="auto" w:before="1"/>
        <w:ind w:left="120" w:right="113" w:firstLine="720"/>
        <w:jc w:val="both"/>
      </w:pPr>
      <w:r>
        <w:rPr/>
        <w:t>Second, Stewart and her staff were parties </w:t>
      </w:r>
      <w:r>
        <w:rPr>
          <w:spacing w:val="2"/>
        </w:rPr>
        <w:t>to </w:t>
      </w:r>
      <w:r>
        <w:rPr/>
        <w:t>the Abdel Rahman SAMs. They </w:t>
      </w:r>
      <w:r>
        <w:rPr>
          <w:spacing w:val="-3"/>
        </w:rPr>
        <w:t>had </w:t>
      </w:r>
      <w:r>
        <w:rPr/>
        <w:t>repeatedly signed documents agreeing to </w:t>
      </w:r>
      <w:r>
        <w:rPr>
          <w:spacing w:val="-3"/>
        </w:rPr>
        <w:t>be </w:t>
      </w:r>
      <w:r>
        <w:rPr/>
        <w:t>bound by the </w:t>
      </w:r>
      <w:r>
        <w:rPr>
          <w:spacing w:val="-3"/>
        </w:rPr>
        <w:t>SAMs. </w:t>
      </w:r>
      <w:r>
        <w:rPr>
          <w:i/>
        </w:rPr>
        <w:t>See id</w:t>
      </w:r>
      <w:r>
        <w:rPr/>
        <w:t>. </w:t>
      </w:r>
      <w:r>
        <w:rPr>
          <w:spacing w:val="-3"/>
        </w:rPr>
        <w:t>at </w:t>
      </w:r>
      <w:r>
        <w:rPr/>
        <w:t>102-03.  They had  the right to </w:t>
      </w:r>
      <w:r>
        <w:rPr>
          <w:spacing w:val="-3"/>
        </w:rPr>
        <w:t>challenge </w:t>
      </w:r>
      <w:r>
        <w:rPr/>
        <w:t>the SAMs </w:t>
      </w:r>
      <w:r>
        <w:rPr>
          <w:spacing w:val="-3"/>
        </w:rPr>
        <w:t>if </w:t>
      </w:r>
      <w:r>
        <w:rPr/>
        <w:t>they believed the restrictions on the Sheikh interfered with their representation. </w:t>
      </w:r>
      <w:r>
        <w:rPr>
          <w:i/>
        </w:rPr>
        <w:t>See id</w:t>
      </w:r>
      <w:r>
        <w:rPr/>
        <w:t>. </w:t>
      </w:r>
      <w:r>
        <w:rPr>
          <w:spacing w:val="-3"/>
        </w:rPr>
        <w:t>at </w:t>
      </w:r>
      <w:r>
        <w:rPr/>
        <w:t>112. Fr. </w:t>
      </w:r>
      <w:r>
        <w:rPr>
          <w:spacing w:val="-3"/>
        </w:rPr>
        <w:t>Klein, </w:t>
      </w:r>
      <w:r>
        <w:rPr/>
        <w:t>on the other </w:t>
      </w:r>
      <w:r>
        <w:rPr>
          <w:spacing w:val="-3"/>
        </w:rPr>
        <w:t>hand,  </w:t>
      </w:r>
      <w:r>
        <w:rPr>
          <w:spacing w:val="-5"/>
        </w:rPr>
        <w:t>is  </w:t>
      </w:r>
      <w:r>
        <w:rPr/>
        <w:t>not alleged to </w:t>
      </w:r>
      <w:r>
        <w:rPr>
          <w:spacing w:val="-3"/>
        </w:rPr>
        <w:t>be </w:t>
      </w:r>
      <w:r>
        <w:rPr/>
        <w:t>a party to  the Calabrese SAMs. He thus </w:t>
      </w:r>
      <w:r>
        <w:rPr>
          <w:spacing w:val="-3"/>
        </w:rPr>
        <w:t>lacked </w:t>
      </w:r>
      <w:r>
        <w:rPr/>
        <w:t>the unequivocal notice that Stewart and her staff received that the SAMs applied to him </w:t>
      </w:r>
      <w:r>
        <w:rPr>
          <w:spacing w:val="2"/>
        </w:rPr>
        <w:t>to </w:t>
      </w:r>
      <w:r>
        <w:rPr/>
        <w:t>the same extent they applied </w:t>
      </w:r>
      <w:r>
        <w:rPr>
          <w:spacing w:val="2"/>
        </w:rPr>
        <w:t>to </w:t>
      </w:r>
      <w:r>
        <w:rPr/>
        <w:t>Calabrese. And </w:t>
      </w:r>
      <w:r>
        <w:rPr>
          <w:spacing w:val="-3"/>
        </w:rPr>
        <w:t>he </w:t>
      </w:r>
      <w:r>
        <w:rPr/>
        <w:t>even more clearly lacked notice that by communicating with third persons about a violin, </w:t>
      </w:r>
      <w:r>
        <w:rPr>
          <w:spacing w:val="-3"/>
        </w:rPr>
        <w:t>he </w:t>
      </w:r>
      <w:r>
        <w:rPr/>
        <w:t>would interfere with the enforcement of SAMs that had as their only lawful purpose the prevention of violence and terrorism fomented by Calabrese. For these reasons, the interpretation of § 371 </w:t>
      </w:r>
      <w:r>
        <w:rPr>
          <w:spacing w:val="-3"/>
        </w:rPr>
        <w:t>in </w:t>
      </w:r>
      <w:r>
        <w:rPr>
          <w:i/>
        </w:rPr>
        <w:t>Stewart </w:t>
      </w:r>
      <w:r>
        <w:rPr/>
        <w:t>does not come close to providing the clarity necessary </w:t>
      </w:r>
      <w:r>
        <w:rPr>
          <w:spacing w:val="2"/>
        </w:rPr>
        <w:t>to </w:t>
      </w:r>
      <w:r>
        <w:rPr>
          <w:spacing w:val="-3"/>
        </w:rPr>
        <w:t>save </w:t>
      </w:r>
      <w:r>
        <w:rPr/>
        <w:t>the "defraud" prong from vagueness as applied</w:t>
      </w:r>
      <w:r>
        <w:rPr>
          <w:spacing w:val="6"/>
        </w:rPr>
        <w:t> </w:t>
      </w:r>
      <w:r>
        <w:rPr/>
        <w:t>here.</w:t>
      </w:r>
    </w:p>
    <w:p>
      <w:pPr>
        <w:pStyle w:val="BodyText"/>
        <w:spacing w:line="480" w:lineRule="auto"/>
        <w:ind w:left="119" w:right="118" w:firstLine="720"/>
        <w:jc w:val="both"/>
      </w:pPr>
      <w:r>
        <w:rPr/>
        <w:t>Fr. Klein had </w:t>
      </w:r>
      <w:r>
        <w:rPr>
          <w:spacing w:val="-3"/>
        </w:rPr>
        <w:t>no fair </w:t>
      </w:r>
      <w:r>
        <w:rPr/>
        <w:t>warning that the "defraud" prong of § 371 could be stretched </w:t>
      </w:r>
      <w:r>
        <w:rPr>
          <w:spacing w:val="2"/>
        </w:rPr>
        <w:t>to </w:t>
      </w:r>
      <w:r>
        <w:rPr/>
        <w:t>cover his alleged conduct here. In addition, an interpretation of the statute that covers his alleged conduct </w:t>
      </w:r>
      <w:r>
        <w:rPr>
          <w:spacing w:val="-3"/>
        </w:rPr>
        <w:t>would </w:t>
      </w:r>
      <w:r>
        <w:rPr/>
        <w:t>so greatly expand its scope – </w:t>
      </w:r>
      <w:r>
        <w:rPr>
          <w:spacing w:val="-3"/>
        </w:rPr>
        <w:t>by </w:t>
      </w:r>
      <w:r>
        <w:rPr/>
        <w:t>reading out the "lawful governmental function" restriction </w:t>
      </w:r>
      <w:r>
        <w:rPr>
          <w:spacing w:val="-3"/>
        </w:rPr>
        <w:t>in </w:t>
      </w:r>
      <w:r>
        <w:rPr>
          <w:i/>
        </w:rPr>
        <w:t>Hammerschmidt </w:t>
      </w:r>
      <w:r>
        <w:rPr/>
        <w:t>– as to </w:t>
      </w:r>
      <w:r>
        <w:rPr>
          <w:spacing w:val="-3"/>
        </w:rPr>
        <w:t>give </w:t>
      </w:r>
      <w:r>
        <w:rPr/>
        <w:t>prosecutors virtually unfettered discretion to</w:t>
      </w:r>
      <w:r>
        <w:rPr>
          <w:spacing w:val="8"/>
        </w:rPr>
        <w:t> </w:t>
      </w:r>
      <w:r>
        <w:rPr/>
        <w:t>bring</w:t>
      </w:r>
    </w:p>
    <w:p>
      <w:pPr>
        <w:spacing w:after="0" w:line="480" w:lineRule="auto"/>
        <w:jc w:val="both"/>
        <w:sectPr>
          <w:headerReference w:type="default" r:id="rId15"/>
          <w:pgSz w:w="12240" w:h="15840"/>
          <w:pgMar w:header="283" w:footer="1089" w:top="1300" w:bottom="1280" w:left="1320" w:right="1320"/>
        </w:sectPr>
      </w:pPr>
    </w:p>
    <w:p>
      <w:pPr>
        <w:pStyle w:val="BodyText"/>
        <w:spacing w:line="480" w:lineRule="auto" w:before="117"/>
        <w:ind w:left="120"/>
      </w:pPr>
      <w:r>
        <w:rPr/>
        <w:t>charges. Thus, to the extent the § 371 "defraud" prong applies to Fr. Klein's alleged conduct, it is void for vagueness.</w:t>
      </w:r>
    </w:p>
    <w:p>
      <w:pPr>
        <w:pStyle w:val="Heading1"/>
        <w:spacing w:before="5"/>
        <w:ind w:left="3984"/>
      </w:pPr>
      <w:r>
        <w:rPr/>
        <w:t>CONCLUSION</w:t>
      </w:r>
    </w:p>
    <w:p>
      <w:pPr>
        <w:pStyle w:val="BodyText"/>
        <w:spacing w:before="7"/>
        <w:rPr>
          <w:b/>
          <w:sz w:val="23"/>
        </w:rPr>
      </w:pPr>
    </w:p>
    <w:p>
      <w:pPr>
        <w:pStyle w:val="BodyText"/>
        <w:spacing w:line="480" w:lineRule="auto"/>
        <w:ind w:left="120" w:right="119" w:firstLine="720"/>
        <w:jc w:val="both"/>
      </w:pPr>
      <w:r>
        <w:rPr/>
        <w:t>For the foregoing reasons, the Court should dismiss Count One for failure to charge an offense. In the alternative, the Court should find the "defraud" prong of 18 U.S.C. § 371 void for vagueness as applied here and dismiss Count One on that basis.</w:t>
      </w:r>
    </w:p>
    <w:p>
      <w:pPr>
        <w:pStyle w:val="BodyText"/>
        <w:ind w:left="5160"/>
      </w:pPr>
      <w:r>
        <w:rPr/>
        <w:t>Respectfully submitted,</w:t>
      </w:r>
    </w:p>
    <w:p>
      <w:pPr>
        <w:pStyle w:val="BodyText"/>
        <w:spacing w:before="2"/>
        <w:rPr>
          <w:sz w:val="16"/>
        </w:rPr>
      </w:pPr>
    </w:p>
    <w:p>
      <w:pPr>
        <w:pStyle w:val="BodyText"/>
        <w:spacing w:before="90"/>
        <w:ind w:left="5160"/>
      </w:pPr>
      <w:r>
        <w:rPr>
          <w:u w:val="single"/>
        </w:rPr>
        <w:t>/s/ Thomas Anthony Durkin</w:t>
      </w:r>
    </w:p>
    <w:p>
      <w:pPr>
        <w:pStyle w:val="Heading1"/>
        <w:spacing w:before="2"/>
        <w:ind w:left="5160"/>
      </w:pPr>
      <w:r>
        <w:rPr/>
        <w:t>THOMAS ANTHONY DURKIN,</w:t>
      </w:r>
    </w:p>
    <w:p>
      <w:pPr>
        <w:pStyle w:val="BodyText"/>
        <w:rPr>
          <w:b/>
          <w:sz w:val="20"/>
        </w:rPr>
      </w:pPr>
    </w:p>
    <w:p>
      <w:pPr>
        <w:pStyle w:val="BodyText"/>
        <w:rPr>
          <w:b/>
          <w:sz w:val="20"/>
        </w:rPr>
      </w:pPr>
    </w:p>
    <w:p>
      <w:pPr>
        <w:pStyle w:val="BodyText"/>
        <w:spacing w:line="275" w:lineRule="exact" w:before="90"/>
        <w:ind w:left="5160"/>
      </w:pPr>
      <w:r>
        <w:rPr>
          <w:u w:val="single"/>
        </w:rPr>
        <w:t>/s/ Janis D. Roberts</w:t>
      </w:r>
    </w:p>
    <w:p>
      <w:pPr>
        <w:pStyle w:val="Heading1"/>
        <w:spacing w:line="275" w:lineRule="exact"/>
        <w:ind w:left="5160"/>
        <w:rPr>
          <w:b w:val="0"/>
        </w:rPr>
      </w:pPr>
      <w:r>
        <w:rPr/>
        <w:t>JANIS D. ROBERTS</w:t>
      </w:r>
      <w:r>
        <w:rPr>
          <w:b w:val="0"/>
        </w:rPr>
        <w:t>,</w:t>
      </w:r>
    </w:p>
    <w:p>
      <w:pPr>
        <w:pStyle w:val="BodyText"/>
        <w:rPr>
          <w:sz w:val="20"/>
        </w:rPr>
      </w:pPr>
    </w:p>
    <w:p>
      <w:pPr>
        <w:pStyle w:val="BodyText"/>
        <w:spacing w:before="5"/>
        <w:rPr>
          <w:sz w:val="20"/>
        </w:rPr>
      </w:pPr>
    </w:p>
    <w:p>
      <w:pPr>
        <w:pStyle w:val="BodyText"/>
        <w:spacing w:before="90"/>
        <w:ind w:left="5160"/>
      </w:pPr>
      <w:r>
        <w:rPr>
          <w:u w:val="single"/>
        </w:rPr>
        <w:t>/s/ John D. Cline</w:t>
      </w:r>
    </w:p>
    <w:p>
      <w:pPr>
        <w:pStyle w:val="Heading1"/>
        <w:spacing w:line="275" w:lineRule="exact" w:before="2"/>
        <w:ind w:left="5160"/>
      </w:pPr>
      <w:r>
        <w:rPr/>
        <w:t>JOHN D. CLINE,</w:t>
      </w:r>
    </w:p>
    <w:p>
      <w:pPr>
        <w:pStyle w:val="BodyText"/>
        <w:spacing w:line="275" w:lineRule="exact"/>
        <w:ind w:left="5160"/>
      </w:pPr>
      <w:r>
        <w:rPr/>
        <w:t>Attorneys for Defendant</w:t>
      </w:r>
    </w:p>
    <w:p>
      <w:pPr>
        <w:pStyle w:val="BodyText"/>
        <w:rPr>
          <w:sz w:val="20"/>
        </w:rPr>
      </w:pPr>
    </w:p>
    <w:p>
      <w:pPr>
        <w:pStyle w:val="BodyText"/>
        <w:spacing w:before="4"/>
        <w:rPr>
          <w:sz w:val="20"/>
        </w:rPr>
      </w:pPr>
    </w:p>
    <w:p>
      <w:pPr>
        <w:pStyle w:val="Heading1"/>
        <w:spacing w:line="275" w:lineRule="exact" w:before="90"/>
        <w:ind w:left="120"/>
      </w:pPr>
      <w:r>
        <w:rPr/>
        <w:t>DURKIN &amp; ROBERTS</w:t>
      </w:r>
    </w:p>
    <w:p>
      <w:pPr>
        <w:pStyle w:val="BodyText"/>
        <w:spacing w:line="274" w:lineRule="exact"/>
        <w:ind w:left="120"/>
      </w:pPr>
      <w:r>
        <w:rPr/>
        <w:t>2446 North Clark</w:t>
      </w:r>
    </w:p>
    <w:p>
      <w:pPr>
        <w:pStyle w:val="BodyText"/>
        <w:spacing w:line="275" w:lineRule="exact"/>
        <w:ind w:left="120"/>
      </w:pPr>
      <w:r>
        <w:rPr/>
        <w:t>Chicago, IL 60614</w:t>
      </w:r>
    </w:p>
    <w:p>
      <w:pPr>
        <w:pStyle w:val="BodyText"/>
        <w:spacing w:line="275" w:lineRule="exact" w:before="3"/>
        <w:ind w:left="120"/>
      </w:pPr>
      <w:r>
        <w:rPr/>
        <w:t>(312) 913-9300</w:t>
      </w:r>
    </w:p>
    <w:p>
      <w:pPr>
        <w:pStyle w:val="BodyText"/>
        <w:spacing w:line="242" w:lineRule="auto"/>
        <w:ind w:left="124" w:right="6615" w:hanging="5"/>
      </w:pPr>
      <w:hyperlink r:id="rId17">
        <w:r>
          <w:rPr/>
          <w:t>tdurkin@durkinroberts.com</w:t>
        </w:r>
      </w:hyperlink>
      <w:r>
        <w:rPr/>
        <w:t> </w:t>
      </w:r>
      <w:hyperlink r:id="rId18">
        <w:r>
          <w:rPr>
            <w:u w:val="single"/>
          </w:rPr>
          <w:t>jdroberts@durkinroberts.com</w:t>
        </w:r>
      </w:hyperlink>
    </w:p>
    <w:p>
      <w:pPr>
        <w:pStyle w:val="BodyText"/>
        <w:spacing w:before="2"/>
        <w:rPr>
          <w:sz w:val="16"/>
        </w:rPr>
      </w:pPr>
    </w:p>
    <w:p>
      <w:pPr>
        <w:pStyle w:val="Heading1"/>
        <w:spacing w:line="272" w:lineRule="exact" w:before="90"/>
        <w:ind w:left="120"/>
      </w:pPr>
      <w:r>
        <w:rPr/>
        <w:t>LAW OFFICE OF JOHN D. CLINE</w:t>
      </w:r>
    </w:p>
    <w:p>
      <w:pPr>
        <w:pStyle w:val="BodyText"/>
        <w:spacing w:line="242" w:lineRule="auto"/>
        <w:ind w:left="120" w:right="6013"/>
      </w:pPr>
      <w:r>
        <w:rPr/>
        <w:t>235 Montgomery Street, Suite 1070 San Francisco, CA</w:t>
      </w:r>
      <w:r>
        <w:rPr>
          <w:spacing w:val="58"/>
        </w:rPr>
        <w:t> </w:t>
      </w:r>
      <w:r>
        <w:rPr/>
        <w:t>94104</w:t>
      </w:r>
    </w:p>
    <w:p>
      <w:pPr>
        <w:pStyle w:val="BodyText"/>
        <w:spacing w:line="271" w:lineRule="exact"/>
        <w:ind w:left="120"/>
      </w:pPr>
      <w:r>
        <w:rPr/>
        <w:t>(415) 322-8319 (Office)</w:t>
      </w:r>
    </w:p>
    <w:p>
      <w:pPr>
        <w:pStyle w:val="BodyText"/>
        <w:spacing w:line="275" w:lineRule="exact"/>
        <w:ind w:left="120"/>
      </w:pPr>
      <w:r>
        <w:rPr/>
        <w:t>(415) 302-2401 (Cell)</w:t>
      </w:r>
    </w:p>
    <w:p>
      <w:pPr>
        <w:pStyle w:val="BodyText"/>
        <w:spacing w:line="242" w:lineRule="auto"/>
        <w:ind w:left="120" w:right="6615"/>
      </w:pPr>
      <w:r>
        <w:rPr/>
        <w:t>(415) 524-8265 (Facsimile) </w:t>
      </w:r>
      <w:hyperlink r:id="rId19">
        <w:r>
          <w:rPr>
            <w:u w:val="single"/>
          </w:rPr>
          <w:t>cline@johndclinelaw.com</w:t>
        </w:r>
      </w:hyperlink>
    </w:p>
    <w:p>
      <w:pPr>
        <w:spacing w:after="0" w:line="242" w:lineRule="auto"/>
        <w:sectPr>
          <w:headerReference w:type="default" r:id="rId16"/>
          <w:pgSz w:w="12240" w:h="15840"/>
          <w:pgMar w:header="283" w:footer="1089" w:top="1300" w:bottom="1280" w:left="1320" w:right="1320"/>
          <w:pgNumType w:start="10"/>
        </w:sectPr>
      </w:pPr>
    </w:p>
    <w:p>
      <w:pPr>
        <w:pStyle w:val="Heading1"/>
        <w:spacing w:before="122"/>
        <w:ind w:left="1072" w:right="1073"/>
        <w:jc w:val="center"/>
      </w:pPr>
      <w:r>
        <w:rPr>
          <w:u w:val="thick"/>
        </w:rPr>
        <w:t>CERTIFICATE OF SERVICE</w:t>
      </w:r>
    </w:p>
    <w:p>
      <w:pPr>
        <w:pStyle w:val="BodyText"/>
        <w:spacing w:before="9"/>
        <w:rPr>
          <w:b/>
          <w:sz w:val="15"/>
        </w:rPr>
      </w:pPr>
    </w:p>
    <w:p>
      <w:pPr>
        <w:pStyle w:val="BodyText"/>
        <w:spacing w:before="90"/>
        <w:ind w:left="119" w:right="242" w:firstLine="720"/>
      </w:pPr>
      <w:r>
        <w:rPr/>
        <w:t>Thomas Anthony Durkin, Attorney at Law, hereby certifies that the foregoing Motion to Dismiss Count One for Failure to Charge an Offense and for Vagueness was served on November 17, 2011, in accordance with Fed.R.Crim.P.49, Fed.R.Civ.P.5, LR 5.5, and the General Order on Electronic Case Filing (ECF) pursuant to the district court’s system as to ECF filers.</w:t>
      </w:r>
    </w:p>
    <w:p>
      <w:pPr>
        <w:pStyle w:val="BodyText"/>
        <w:rPr>
          <w:sz w:val="20"/>
        </w:rPr>
      </w:pPr>
    </w:p>
    <w:p>
      <w:pPr>
        <w:pStyle w:val="BodyText"/>
        <w:rPr>
          <w:sz w:val="20"/>
        </w:rPr>
      </w:pPr>
    </w:p>
    <w:p>
      <w:pPr>
        <w:pStyle w:val="BodyText"/>
        <w:spacing w:before="2"/>
      </w:pPr>
    </w:p>
    <w:p>
      <w:pPr>
        <w:pStyle w:val="BodyText"/>
        <w:spacing w:before="90"/>
        <w:ind w:left="5160"/>
      </w:pPr>
      <w:r>
        <w:rPr>
          <w:u w:val="single"/>
        </w:rPr>
        <w:t>/s/ Thomas Anthony Durkin</w:t>
      </w:r>
    </w:p>
    <w:p>
      <w:pPr>
        <w:pStyle w:val="Heading1"/>
        <w:spacing w:before="2"/>
        <w:ind w:left="5159"/>
      </w:pPr>
      <w:r>
        <w:rPr/>
        <w:t>THOMAS ANTHONY DURKIN</w:t>
      </w:r>
    </w:p>
    <w:p>
      <w:pPr>
        <w:pStyle w:val="BodyText"/>
        <w:spacing w:before="2"/>
        <w:rPr>
          <w:b/>
          <w:sz w:val="16"/>
        </w:rPr>
      </w:pPr>
    </w:p>
    <w:p>
      <w:pPr>
        <w:spacing w:line="275" w:lineRule="exact" w:before="90"/>
        <w:ind w:left="120" w:right="0" w:firstLine="0"/>
        <w:jc w:val="left"/>
        <w:rPr>
          <w:b/>
          <w:sz w:val="24"/>
        </w:rPr>
      </w:pPr>
      <w:r>
        <w:rPr>
          <w:b/>
          <w:sz w:val="24"/>
        </w:rPr>
        <w:t>DURKIN &amp; ROBERTS</w:t>
      </w:r>
    </w:p>
    <w:p>
      <w:pPr>
        <w:pStyle w:val="BodyText"/>
        <w:spacing w:line="237" w:lineRule="auto" w:before="1"/>
        <w:ind w:left="120" w:right="6653"/>
      </w:pPr>
      <w:r>
        <w:rPr/>
        <w:t>2446 N. Clark Street Chicago, Illinois 60614</w:t>
      </w:r>
    </w:p>
    <w:p>
      <w:pPr>
        <w:pStyle w:val="BodyText"/>
        <w:spacing w:line="275" w:lineRule="exact" w:before="4"/>
        <w:ind w:left="120"/>
      </w:pPr>
      <w:r>
        <w:rPr/>
        <w:t>(312) 913-9300</w:t>
      </w:r>
    </w:p>
    <w:p>
      <w:pPr>
        <w:pStyle w:val="BodyText"/>
        <w:spacing w:line="275" w:lineRule="exact"/>
        <w:ind w:left="120"/>
      </w:pPr>
      <w:hyperlink r:id="rId17">
        <w:r>
          <w:rPr/>
          <w:t>tdurkin@durkinroberts.com</w:t>
        </w:r>
      </w:hyperlink>
    </w:p>
    <w:sectPr>
      <w:headerReference w:type="default" r:id="rId20"/>
      <w:footerReference w:type="default" r:id="rId21"/>
      <w:pgSz w:w="12240" w:h="15840"/>
      <w:pgMar w:header="283" w:footer="1017" w:top="1300" w:bottom="1200" w:left="1320" w:right="1320"/>
      <w:pgNumType w:start="1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880005pt;margin-top:726.546631pt;width:10pt;height:15.3pt;mso-position-horizontal-relative:page;mso-position-vertical-relative:page;z-index:-7648"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pt;margin-top:726.546631pt;width:16pt;height:15.3pt;mso-position-horizontal-relative:page;mso-position-vertical-relative:page;z-index:-7528"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0011pt;margin-top:730.159973pt;width:13.05pt;height:13.05pt;mso-position-horizontal-relative:page;mso-position-vertical-relative:page;z-index:-7384" type="#_x0000_t202" filled="false" stroked="false">
          <v:textbox inset="0,0,0,0">
            <w:txbxContent>
              <w:p>
                <w:pPr>
                  <w:spacing w:line="245" w:lineRule="exact" w:before="0"/>
                  <w:ind w:left="20" w:right="0" w:firstLine="0"/>
                  <w:jc w:val="left"/>
                  <w:rPr>
                    <w:rFonts w:ascii="Calibri"/>
                    <w:sz w:val="22"/>
                  </w:rPr>
                </w:pPr>
                <w:r>
                  <w:rPr>
                    <w:rFonts w:ascii="Calibri"/>
                    <w:sz w:val="22"/>
                  </w:rPr>
                  <w:t>11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209999pt;margin-top:13.136719pt;width:433.65pt;height:15.45pt;mso-position-horizontal-relative:page;mso-position-vertical-relative:page;z-index:-7696"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1</w:t>
                </w:r>
                <w:r>
                  <w:rPr/>
                  <w:fldChar w:fldCharType="end"/>
                </w:r>
                <w:r>
                  <w:rPr>
                    <w:rFonts w:ascii="Arial"/>
                  </w:rPr>
                  <w:t> of 11 PageID #:152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870003pt;margin-top:13.136719pt;width:440.3pt;height:15.45pt;mso-position-horizontal-relative:page;mso-position-vertical-relative:page;z-index:-7432"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10</w:t>
                </w:r>
                <w:r>
                  <w:rPr/>
                  <w:fldChar w:fldCharType="end"/>
                </w:r>
                <w:r>
                  <w:rPr>
                    <w:rFonts w:ascii="Arial"/>
                  </w:rPr>
                  <w:t> of 11 PageID #:161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870003pt;margin-top:13.136719pt;width:440.3pt;height:15.45pt;mso-position-horizontal-relative:page;mso-position-vertical-relative:page;z-index:-7408"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11</w:t>
                </w:r>
                <w:r>
                  <w:rPr/>
                  <w:fldChar w:fldCharType="end"/>
                </w:r>
                <w:r>
                  <w:rPr>
                    <w:rFonts w:ascii="Arial"/>
                  </w:rPr>
                  <w:t> of 11 PageID #:162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672"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2</w:t>
                </w:r>
                <w:r>
                  <w:rPr/>
                  <w:fldChar w:fldCharType="end"/>
                </w:r>
                <w:r>
                  <w:rPr>
                    <w:rFonts w:ascii="Arial"/>
                  </w:rPr>
                  <w:t> of 11 PageID #:153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624"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3</w:t>
                </w:r>
                <w:r>
                  <w:rPr/>
                  <w:fldChar w:fldCharType="end"/>
                </w:r>
                <w:r>
                  <w:rPr>
                    <w:rFonts w:ascii="Arial"/>
                  </w:rPr>
                  <w:t> of 11 PageID #:154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600" type="#_x0000_t202" filled="false" stroked="false">
          <v:textbox inset="0,0,0,0">
            <w:txbxContent>
              <w:p>
                <w:pPr>
                  <w:pStyle w:val="BodyText"/>
                  <w:spacing w:before="12"/>
                  <w:ind w:left="20"/>
                  <w:rPr>
                    <w:rFonts w:ascii="Arial"/>
                  </w:rPr>
                </w:pPr>
                <w:r>
                  <w:rPr>
                    <w:rFonts w:ascii="Arial"/>
                  </w:rPr>
                  <w:t>Case: 1:11-cr-00401 Document #: 35 Filed: 11/18/11 Page 4 of 11 PageID #:155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576"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5</w:t>
                </w:r>
                <w:r>
                  <w:rPr/>
                  <w:fldChar w:fldCharType="end"/>
                </w:r>
                <w:r>
                  <w:rPr>
                    <w:rFonts w:ascii="Arial"/>
                  </w:rPr>
                  <w:t> of 11 PageID #:156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552" type="#_x0000_t202" filled="false" stroked="false">
          <v:textbox inset="0,0,0,0">
            <w:txbxContent>
              <w:p>
                <w:pPr>
                  <w:pStyle w:val="BodyText"/>
                  <w:spacing w:before="12"/>
                  <w:ind w:left="20"/>
                  <w:rPr>
                    <w:rFonts w:ascii="Arial"/>
                  </w:rPr>
                </w:pPr>
                <w:r>
                  <w:rPr>
                    <w:rFonts w:ascii="Arial"/>
                  </w:rPr>
                  <w:t>Case: 1:11-cr-00401 Document #: 35 Filed: 11/18/11 Page </w:t>
                </w:r>
                <w:r>
                  <w:rPr/>
                  <w:fldChar w:fldCharType="begin"/>
                </w:r>
                <w:r>
                  <w:rPr>
                    <w:rFonts w:ascii="Arial"/>
                  </w:rPr>
                  <w:instrText> PAGE </w:instrText>
                </w:r>
                <w:r>
                  <w:rPr/>
                  <w:fldChar w:fldCharType="separate"/>
                </w:r>
                <w:r>
                  <w:rPr/>
                  <w:t>6</w:t>
                </w:r>
                <w:r>
                  <w:rPr/>
                  <w:fldChar w:fldCharType="end"/>
                </w:r>
                <w:r>
                  <w:rPr>
                    <w:rFonts w:ascii="Arial"/>
                  </w:rPr>
                  <w:t> of 11 PageID #:157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504" type="#_x0000_t202" filled="false" stroked="false">
          <v:textbox inset="0,0,0,0">
            <w:txbxContent>
              <w:p>
                <w:pPr>
                  <w:pStyle w:val="BodyText"/>
                  <w:spacing w:before="12"/>
                  <w:ind w:left="20"/>
                  <w:rPr>
                    <w:rFonts w:ascii="Arial"/>
                  </w:rPr>
                </w:pPr>
                <w:r>
                  <w:rPr>
                    <w:rFonts w:ascii="Arial"/>
                  </w:rPr>
                  <w:t>Case: 1:11-cr-00401 Document #: 35 Filed: 11/18/11 Page 7 of 11 PageID #:158</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480" type="#_x0000_t202" filled="false" stroked="false">
          <v:textbox inset="0,0,0,0">
            <w:txbxContent>
              <w:p>
                <w:pPr>
                  <w:pStyle w:val="BodyText"/>
                  <w:spacing w:before="12"/>
                  <w:ind w:left="20"/>
                  <w:rPr>
                    <w:rFonts w:ascii="Arial"/>
                  </w:rPr>
                </w:pPr>
                <w:r>
                  <w:rPr>
                    <w:rFonts w:ascii="Arial"/>
                  </w:rPr>
                  <w:t>Case: 1:11-cr-00401 Document #: 35 Filed: 11/18/11 Page 8 of 11 PageID #:159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09999pt;margin-top:13.136719pt;width:433.65pt;height:15.45pt;mso-position-horizontal-relative:page;mso-position-vertical-relative:page;z-index:-7456" type="#_x0000_t202" filled="false" stroked="false">
          <v:textbox inset="0,0,0,0">
            <w:txbxContent>
              <w:p>
                <w:pPr>
                  <w:pStyle w:val="BodyText"/>
                  <w:spacing w:before="12"/>
                  <w:ind w:left="20"/>
                  <w:rPr>
                    <w:rFonts w:ascii="Arial"/>
                  </w:rPr>
                </w:pPr>
                <w:r>
                  <w:rPr>
                    <w:rFonts w:ascii="Arial"/>
                  </w:rPr>
                  <w:t>Case: 1:11-cr-00401 Document #: 35 Filed: 11/18/11 Page 9 of 11 PageID #:160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560" w:hanging="720"/>
        <w:jc w:val="left"/>
      </w:pPr>
      <w:rPr>
        <w:rFonts w:hint="default" w:ascii="Times New Roman" w:hAnsi="Times New Roman" w:eastAsia="Times New Roman" w:cs="Times New Roman"/>
        <w:b/>
        <w:bCs/>
        <w:spacing w:val="-3"/>
        <w:w w:val="99"/>
        <w:sz w:val="24"/>
        <w:szCs w:val="24"/>
      </w:rPr>
    </w:lvl>
    <w:lvl w:ilvl="1">
      <w:start w:val="0"/>
      <w:numFmt w:val="bullet"/>
      <w:lvlText w:val="•"/>
      <w:lvlJc w:val="left"/>
      <w:pPr>
        <w:ind w:left="236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72" w:hanging="720"/>
      </w:pPr>
      <w:rPr>
        <w:rFonts w:hint="default"/>
      </w:rPr>
    </w:lvl>
    <w:lvl w:ilvl="4">
      <w:start w:val="0"/>
      <w:numFmt w:val="bullet"/>
      <w:lvlText w:val="•"/>
      <w:lvlJc w:val="left"/>
      <w:pPr>
        <w:ind w:left="4776" w:hanging="720"/>
      </w:pPr>
      <w:rPr>
        <w:rFonts w:hint="default"/>
      </w:rPr>
    </w:lvl>
    <w:lvl w:ilvl="5">
      <w:start w:val="0"/>
      <w:numFmt w:val="bullet"/>
      <w:lvlText w:val="•"/>
      <w:lvlJc w:val="left"/>
      <w:pPr>
        <w:ind w:left="558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188" w:hanging="720"/>
      </w:pPr>
      <w:rPr>
        <w:rFonts w:hint="default"/>
      </w:rPr>
    </w:lvl>
    <w:lvl w:ilvl="8">
      <w:start w:val="0"/>
      <w:numFmt w:val="bullet"/>
      <w:lvlText w:val="•"/>
      <w:lvlJc w:val="left"/>
      <w:pPr>
        <w:ind w:left="799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5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5"/>
      <w:ind w:left="15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oter" Target="footer2.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yperlink" Target="mailto:tdurkin@durkinroberts.com" TargetMode="External"/><Relationship Id="rId18" Type="http://schemas.openxmlformats.org/officeDocument/2006/relationships/hyperlink" Target="mailto:jdroberts@durkinroberts.com" TargetMode="External"/><Relationship Id="rId19" Type="http://schemas.openxmlformats.org/officeDocument/2006/relationships/hyperlink" Target="mailto:cline@johndclinelaw.com" TargetMode="External"/><Relationship Id="rId20" Type="http://schemas.openxmlformats.org/officeDocument/2006/relationships/header" Target="header11.xml"/><Relationship Id="rId21" Type="http://schemas.openxmlformats.org/officeDocument/2006/relationships/footer" Target="footer3.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Jawayria Kalimullah</dc:creator>
  <dcterms:created xsi:type="dcterms:W3CDTF">2019-02-13T16:03:27Z</dcterms:created>
  <dcterms:modified xsi:type="dcterms:W3CDTF">2019-02-13T16:03:27Z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2011-11-18T00:00:00Z</vt:filetime>
  </property>
  <property fmtid="{D5CDD505-2E9C-101B-9397-08002B2CF9AE}" pid="3" name="Creator">
    <vt:lpwstr>Acrobat PDFMaker 9.0 for Word</vt:lpwstr>
  </property>
  <property fmtid="{D5CDD505-2E9C-101B-9397-08002B2CF9AE}" pid="4" name="LastSaved">
    <vt:filetime>2019-02-13T00:00:00Z</vt:filetime>
  </property>
</Properties>
</file>