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6"/>
        </w:rPr>
      </w:pPr>
    </w:p>
    <w:p>
      <w:pPr>
        <w:pStyle w:val="BodyText"/>
        <w:spacing w:line="261" w:lineRule="auto" w:before="91"/>
        <w:ind w:left="160" w:right="4183" w:firstLine="6"/>
      </w:pPr>
      <w:r>
        <w:rPr>
          <w:w w:val="105"/>
        </w:rPr>
        <w:t>UNITED STATES DISTRICT COURT SOUTHERN DISTRICT OF NEW YORK</w:t>
      </w:r>
    </w:p>
    <w:p>
      <w:pPr>
        <w:spacing w:before="27"/>
        <w:ind w:left="140" w:right="0" w:firstLine="0"/>
        <w:jc w:val="left"/>
        <w:rPr>
          <w:rFonts w:ascii="Courier New"/>
          <w:b/>
          <w:sz w:val="20"/>
        </w:rPr>
      </w:pPr>
      <w:r>
        <w:rPr>
          <w:rFonts w:ascii="Courier New"/>
          <w:b/>
          <w:w w:val="245"/>
          <w:sz w:val="20"/>
        </w:rPr>
        <w:t>----------------x</w:t>
      </w:r>
    </w:p>
    <w:p>
      <w:pPr>
        <w:pStyle w:val="BodyText"/>
        <w:spacing w:before="6"/>
        <w:rPr>
          <w:rFonts w:ascii="Courier New"/>
          <w:b/>
          <w:sz w:val="15"/>
        </w:rPr>
      </w:pPr>
    </w:p>
    <w:p>
      <w:pPr>
        <w:spacing w:after="0"/>
        <w:rPr>
          <w:rFonts w:ascii="Courier New"/>
          <w:sz w:val="15"/>
        </w:rPr>
        <w:sectPr>
          <w:headerReference w:type="default" r:id="rId5"/>
          <w:type w:val="continuous"/>
          <w:pgSz w:w="12360" w:h="15930"/>
          <w:pgMar w:header="871" w:top="1580" w:bottom="280" w:left="1740" w:right="1580"/>
        </w:sectPr>
      </w:pPr>
    </w:p>
    <w:p>
      <w:pPr>
        <w:pStyle w:val="BodyText"/>
        <w:spacing w:before="92"/>
        <w:ind w:left="167"/>
      </w:pPr>
      <w:r>
        <w:rPr>
          <w:w w:val="110"/>
        </w:rPr>
        <w:t>UNITED STATES OF AMERICA</w:t>
      </w:r>
    </w:p>
    <w:p>
      <w:pPr>
        <w:pStyle w:val="BodyText"/>
        <w:spacing w:before="9"/>
        <w:rPr>
          <w:sz w:val="27"/>
        </w:rPr>
      </w:pPr>
    </w:p>
    <w:p>
      <w:pPr>
        <w:spacing w:before="1"/>
        <w:ind w:left="2438" w:right="2445" w:firstLine="0"/>
        <w:jc w:val="center"/>
        <w:rPr>
          <w:rFonts w:ascii="Courier New"/>
          <w:sz w:val="19"/>
        </w:rPr>
      </w:pPr>
      <w:r>
        <w:rPr>
          <w:rFonts w:ascii="Courier New"/>
          <w:w w:val="95"/>
          <w:sz w:val="19"/>
        </w:rPr>
        <w:t>V.</w:t>
      </w:r>
    </w:p>
    <w:p>
      <w:pPr>
        <w:pStyle w:val="BodyText"/>
        <w:spacing w:before="5"/>
        <w:rPr>
          <w:rFonts w:ascii="Courier New"/>
          <w:sz w:val="23"/>
        </w:rPr>
      </w:pPr>
    </w:p>
    <w:p>
      <w:pPr>
        <w:pStyle w:val="BodyText"/>
        <w:spacing w:line="256" w:lineRule="auto"/>
        <w:ind w:left="160" w:right="425" w:firstLine="9"/>
      </w:pPr>
      <w:r>
        <w:rPr>
          <w:w w:val="105"/>
        </w:rPr>
        <w:t>PAUL M. DAUGERDAS, DONNA GUERIN, DENIS FIELD, RAYMOND CRAIG BRUBAKER, and DAVID PARSE,</w:t>
      </w:r>
    </w:p>
    <w:p>
      <w:pPr>
        <w:pStyle w:val="BodyText"/>
        <w:spacing w:before="3"/>
        <w:rPr>
          <w:sz w:val="23"/>
        </w:rPr>
      </w:pPr>
    </w:p>
    <w:p>
      <w:pPr>
        <w:pStyle w:val="BodyText"/>
        <w:ind w:left="2674"/>
      </w:pPr>
      <w:r>
        <w:rPr>
          <w:w w:val="105"/>
        </w:rPr>
        <w:t>Defendants.</w:t>
      </w:r>
    </w:p>
    <w:p>
      <w:pPr>
        <w:pStyle w:val="BodyText"/>
        <w:spacing w:before="8"/>
        <w:rPr>
          <w:sz w:val="26"/>
        </w:rPr>
      </w:pPr>
    </w:p>
    <w:p>
      <w:pPr>
        <w:spacing w:before="0"/>
        <w:ind w:left="135" w:right="0" w:firstLine="0"/>
        <w:jc w:val="left"/>
        <w:rPr>
          <w:rFonts w:ascii="Courier New"/>
          <w:b/>
          <w:sz w:val="20"/>
        </w:rPr>
      </w:pPr>
      <w:r>
        <w:rPr>
          <w:rFonts w:ascii="Courier New"/>
          <w:b/>
          <w:w w:val="240"/>
          <w:sz w:val="20"/>
        </w:rPr>
        <w:t>----------------x</w:t>
      </w:r>
    </w:p>
    <w:p>
      <w:pPr>
        <w:pStyle w:val="BodyText"/>
        <w:spacing w:before="7"/>
        <w:rPr>
          <w:rFonts w:ascii="Courier New"/>
          <w:b/>
          <w:sz w:val="30"/>
        </w:rPr>
      </w:pPr>
      <w:r>
        <w:rPr/>
        <w:br w:type="column"/>
      </w:r>
      <w:r>
        <w:rPr>
          <w:rFonts w:ascii="Courier New"/>
          <w:b/>
          <w:sz w:val="30"/>
        </w:rPr>
      </w:r>
    </w:p>
    <w:p>
      <w:pPr>
        <w:pStyle w:val="Heading2"/>
        <w:ind w:left="135"/>
      </w:pPr>
      <w:r>
        <w:rPr>
          <w:w w:val="105"/>
        </w:rPr>
        <w:t>ECFCASE</w:t>
      </w:r>
    </w:p>
    <w:p>
      <w:pPr>
        <w:pStyle w:val="BodyText"/>
        <w:spacing w:before="11"/>
        <w:rPr>
          <w:b/>
          <w:sz w:val="23"/>
        </w:rPr>
      </w:pPr>
    </w:p>
    <w:p>
      <w:pPr>
        <w:pStyle w:val="BodyText"/>
        <w:ind w:left="136"/>
      </w:pPr>
      <w:r>
        <w:rPr>
          <w:w w:val="105"/>
        </w:rPr>
        <w:t>S3 09 Cr. 581 (WHP)</w:t>
      </w:r>
    </w:p>
    <w:p>
      <w:pPr>
        <w:spacing w:after="0"/>
        <w:sectPr>
          <w:type w:val="continuous"/>
          <w:pgSz w:w="12360" w:h="15930"/>
          <w:pgMar w:top="1580" w:bottom="280" w:left="1740" w:right="1580"/>
          <w:cols w:num="2" w:equalWidth="0">
            <w:col w:w="5141" w:space="238"/>
            <w:col w:w="366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p>
    <w:p>
      <w:pPr>
        <w:pStyle w:val="Heading2"/>
        <w:spacing w:line="249" w:lineRule="auto" w:before="91"/>
        <w:ind w:left="252" w:right="111"/>
        <w:jc w:val="center"/>
      </w:pPr>
      <w:r>
        <w:rPr>
          <w:w w:val="105"/>
        </w:rPr>
        <w:t>MEMORANDUM </w:t>
      </w:r>
      <w:r>
        <w:rPr>
          <w:rFonts w:ascii="Arial"/>
          <w:w w:val="105"/>
          <w:sz w:val="21"/>
        </w:rPr>
        <w:t>OF </w:t>
      </w:r>
      <w:r>
        <w:rPr>
          <w:w w:val="105"/>
        </w:rPr>
        <w:t>LAW IN SUPPORT OF DEFENSE MOTION </w:t>
      </w:r>
      <w:r>
        <w:rPr>
          <w:i/>
          <w:w w:val="105"/>
          <w:sz w:val="21"/>
        </w:rPr>
        <w:t>IN LIM/NE </w:t>
      </w:r>
      <w:r>
        <w:rPr>
          <w:w w:val="105"/>
        </w:rPr>
        <w:t>NO. 9: TO PRECLUDE EVIDENCE RELATING TO THE MLD TRANSACTION</w:t>
      </w:r>
    </w:p>
    <w:p>
      <w:pPr>
        <w:spacing w:line="251" w:lineRule="exact" w:before="0"/>
        <w:ind w:left="2606" w:right="0" w:firstLine="0"/>
        <w:jc w:val="left"/>
        <w:rPr>
          <w:b/>
          <w:sz w:val="22"/>
        </w:rPr>
      </w:pPr>
      <w:r>
        <w:rPr>
          <w:b/>
          <w:sz w:val="22"/>
        </w:rPr>
        <w:t>(ON BEHALF OF ALL DEFENDANTS)</w:t>
      </w:r>
    </w:p>
    <w:p>
      <w:pPr>
        <w:pStyle w:val="BodyText"/>
        <w:rPr>
          <w:b/>
          <w:sz w:val="24"/>
        </w:rPr>
      </w:pPr>
    </w:p>
    <w:p>
      <w:pPr>
        <w:pStyle w:val="BodyText"/>
        <w:rPr>
          <w:b/>
          <w:sz w:val="24"/>
        </w:rPr>
      </w:pPr>
    </w:p>
    <w:p>
      <w:pPr>
        <w:pStyle w:val="BodyText"/>
        <w:rPr>
          <w:b/>
          <w:sz w:val="24"/>
        </w:rPr>
      </w:pPr>
    </w:p>
    <w:p>
      <w:pPr>
        <w:pStyle w:val="BodyText"/>
        <w:rPr>
          <w:b/>
          <w:sz w:val="20"/>
        </w:rPr>
      </w:pPr>
    </w:p>
    <w:p>
      <w:pPr>
        <w:pStyle w:val="BodyText"/>
        <w:spacing w:line="256" w:lineRule="auto"/>
        <w:ind w:left="4261" w:right="3042" w:hanging="1"/>
      </w:pPr>
      <w:r>
        <w:rPr>
          <w:w w:val="105"/>
        </w:rPr>
        <w:t>Barry </w:t>
      </w:r>
      <w:r>
        <w:rPr>
          <w:rFonts w:ascii="Arial"/>
          <w:b/>
          <w:w w:val="105"/>
        </w:rPr>
        <w:t>H. </w:t>
      </w:r>
      <w:r>
        <w:rPr>
          <w:w w:val="105"/>
        </w:rPr>
        <w:t>Berke Paul H. Schoeman</w:t>
      </w:r>
    </w:p>
    <w:p>
      <w:pPr>
        <w:pStyle w:val="BodyText"/>
        <w:spacing w:before="6"/>
      </w:pPr>
    </w:p>
    <w:p>
      <w:pPr>
        <w:pStyle w:val="BodyText"/>
        <w:ind w:left="4261"/>
      </w:pPr>
      <w:r>
        <w:rPr>
          <w:w w:val="105"/>
        </w:rPr>
        <w:t>KRAMER LEVIN NAFTALIS </w:t>
      </w:r>
      <w:r>
        <w:rPr>
          <w:w w:val="105"/>
          <w:sz w:val="22"/>
        </w:rPr>
        <w:t>&amp; </w:t>
      </w:r>
      <w:r>
        <w:rPr>
          <w:w w:val="105"/>
        </w:rPr>
        <w:t>FRANKEL LLP</w:t>
      </w:r>
    </w:p>
    <w:p>
      <w:pPr>
        <w:pStyle w:val="BodyText"/>
        <w:spacing w:line="256" w:lineRule="auto" w:before="21"/>
        <w:ind w:left="4260" w:right="1756" w:firstLine="17"/>
      </w:pPr>
      <w:r>
        <w:rPr>
          <w:w w:val="105"/>
        </w:rPr>
        <w:t>1177 Avenue of the Americas New York, New York 10036 (212) 715-9100 (Phone)</w:t>
      </w:r>
    </w:p>
    <w:p>
      <w:pPr>
        <w:pStyle w:val="BodyText"/>
        <w:spacing w:before="3"/>
        <w:ind w:left="4260"/>
      </w:pPr>
      <w:r>
        <w:rPr>
          <w:w w:val="105"/>
        </w:rPr>
        <w:t>(212) 715-8000 (Fax)</w:t>
      </w:r>
    </w:p>
    <w:p>
      <w:pPr>
        <w:pStyle w:val="BodyText"/>
        <w:spacing w:before="4"/>
        <w:rPr>
          <w:sz w:val="20"/>
        </w:rPr>
      </w:pPr>
    </w:p>
    <w:p>
      <w:pPr>
        <w:spacing w:before="1"/>
        <w:ind w:left="4259" w:right="0" w:firstLine="0"/>
        <w:jc w:val="left"/>
        <w:rPr>
          <w:i/>
          <w:sz w:val="22"/>
        </w:rPr>
      </w:pPr>
      <w:r>
        <w:rPr>
          <w:i/>
          <w:sz w:val="22"/>
        </w:rPr>
        <w:t>Counsel for Defendant Raymond Craig Brubaker</w:t>
      </w:r>
    </w:p>
    <w:p>
      <w:pPr>
        <w:spacing w:after="0"/>
        <w:jc w:val="left"/>
        <w:rPr>
          <w:sz w:val="22"/>
        </w:rPr>
        <w:sectPr>
          <w:type w:val="continuous"/>
          <w:pgSz w:w="12360" w:h="15930"/>
          <w:pgMar w:top="1580" w:bottom="280" w:left="1740" w:right="1580"/>
        </w:sectPr>
      </w:pPr>
    </w:p>
    <w:p>
      <w:pPr>
        <w:pStyle w:val="BodyText"/>
        <w:spacing w:before="8"/>
        <w:rPr>
          <w:i/>
          <w:sz w:val="23"/>
        </w:rPr>
      </w:pPr>
    </w:p>
    <w:p>
      <w:pPr>
        <w:spacing w:before="91"/>
        <w:ind w:left="3356" w:right="3332" w:firstLine="0"/>
        <w:jc w:val="center"/>
        <w:rPr>
          <w:b/>
          <w:sz w:val="22"/>
        </w:rPr>
      </w:pPr>
      <w:r>
        <w:rPr>
          <w:b/>
          <w:sz w:val="22"/>
        </w:rPr>
        <w:t>TABLE OF CONTENTS</w:t>
      </w:r>
    </w:p>
    <w:p>
      <w:pPr>
        <w:pStyle w:val="BodyText"/>
        <w:spacing w:before="1"/>
        <w:rPr>
          <w:b/>
          <w:sz w:val="13"/>
        </w:rPr>
      </w:pPr>
    </w:p>
    <w:p>
      <w:pPr>
        <w:spacing w:before="91"/>
        <w:ind w:left="0" w:right="110" w:firstLine="0"/>
        <w:jc w:val="right"/>
        <w:rPr>
          <w:b/>
          <w:sz w:val="22"/>
        </w:rPr>
      </w:pPr>
      <w:r>
        <w:rPr>
          <w:b/>
          <w:spacing w:val="-1"/>
          <w:sz w:val="22"/>
        </w:rPr>
        <w:t>Page</w:t>
      </w:r>
    </w:p>
    <w:sdt>
      <w:sdtPr>
        <w:docPartObj>
          <w:docPartGallery w:val="Table of Contents"/>
          <w:docPartUnique/>
        </w:docPartObj>
      </w:sdtPr>
      <w:sdtEndPr/>
      <w:sdtContent>
        <w:p>
          <w:pPr>
            <w:pStyle w:val="TOC1"/>
            <w:tabs>
              <w:tab w:pos="8961" w:val="right" w:leader="dot"/>
            </w:tabs>
            <w:spacing w:before="236"/>
            <w:ind w:left="118"/>
            <w:rPr>
              <w:rFonts w:ascii="Arial"/>
            </w:rPr>
          </w:pPr>
          <w:r>
            <w:rPr>
              <w:w w:val="105"/>
            </w:rPr>
            <w:t>TABLE</w:t>
          </w:r>
          <w:r>
            <w:rPr>
              <w:spacing w:val="8"/>
              <w:w w:val="105"/>
            </w:rPr>
            <w:t> </w:t>
          </w:r>
          <w:r>
            <w:rPr>
              <w:w w:val="105"/>
            </w:rPr>
            <w:t>OF</w:t>
          </w:r>
          <w:r>
            <w:rPr>
              <w:spacing w:val="5"/>
              <w:w w:val="105"/>
            </w:rPr>
            <w:t> </w:t>
          </w:r>
          <w:r>
            <w:rPr>
              <w:w w:val="105"/>
            </w:rPr>
            <w:t>AlJTT-TORTTIES</w:t>
            <w:tab/>
          </w:r>
          <w:r>
            <w:rPr>
              <w:rFonts w:ascii="Arial"/>
              <w:w w:val="105"/>
            </w:rPr>
            <w:t>ii</w:t>
          </w:r>
        </w:p>
        <w:p>
          <w:pPr>
            <w:pStyle w:val="TOC1"/>
            <w:tabs>
              <w:tab w:pos="8982" w:val="right" w:leader="dot"/>
            </w:tabs>
            <w:ind w:left="126"/>
          </w:pPr>
          <w:r>
            <w:rPr/>
            <w:t>PRELlMINAR_</w:t>
          </w:r>
          <w:r>
            <w:rPr>
              <w:spacing w:val="-18"/>
            </w:rPr>
            <w:t> </w:t>
          </w:r>
          <w:r>
            <w:rPr/>
            <w:t>Y</w:t>
          </w:r>
          <w:r>
            <w:rPr>
              <w:spacing w:val="11"/>
            </w:rPr>
            <w:t> </w:t>
          </w:r>
          <w:r>
            <w:rPr/>
            <w:t>STATEMENT</w:t>
            <w:tab/>
            <w:t>1</w:t>
          </w:r>
        </w:p>
        <w:p>
          <w:pPr>
            <w:pStyle w:val="TOC1"/>
            <w:tabs>
              <w:tab w:pos="8983" w:val="right" w:leader="dot"/>
            </w:tabs>
            <w:spacing w:before="249"/>
            <w:ind w:left="131"/>
          </w:pPr>
          <w:r>
            <w:rPr>
              <w:w w:val="105"/>
            </w:rPr>
            <w:t>FACTUAL</w:t>
          </w:r>
          <w:r>
            <w:rPr>
              <w:spacing w:val="32"/>
              <w:w w:val="105"/>
            </w:rPr>
            <w:t> </w:t>
          </w:r>
          <w:r>
            <w:rPr>
              <w:w w:val="105"/>
            </w:rPr>
            <w:t>BACKGROUNI)</w:t>
            <w:tab/>
            <w:t>3</w:t>
          </w:r>
        </w:p>
        <w:p>
          <w:pPr>
            <w:pStyle w:val="TOC1"/>
            <w:tabs>
              <w:tab w:pos="8986" w:val="right" w:leader="dot"/>
            </w:tabs>
            <w:ind w:left="123"/>
          </w:pPr>
          <w:hyperlink w:history="true" w:anchor="_TOC_250001">
            <w:r>
              <w:rPr>
                <w:w w:val="105"/>
              </w:rPr>
              <w:t>ARGUMENT</w:t>
              <w:tab/>
              <w:t>4</w:t>
            </w:r>
          </w:hyperlink>
        </w:p>
        <w:p>
          <w:pPr>
            <w:pStyle w:val="TOC1"/>
            <w:numPr>
              <w:ilvl w:val="0"/>
              <w:numId w:val="1"/>
            </w:numPr>
            <w:tabs>
              <w:tab w:pos="791" w:val="left" w:leader="none"/>
              <w:tab w:pos="793" w:val="left" w:leader="none"/>
              <w:tab w:pos="8987" w:val="right" w:leader="dot"/>
            </w:tabs>
            <w:spacing w:line="240" w:lineRule="auto" w:before="234" w:after="0"/>
            <w:ind w:left="792" w:right="0" w:hanging="673"/>
            <w:jc w:val="left"/>
            <w:rPr>
              <w:sz w:val="22"/>
            </w:rPr>
          </w:pPr>
          <w:hyperlink w:history="true" w:anchor="_TOC_250000">
            <w:r>
              <w:rPr>
                <w:w w:val="105"/>
              </w:rPr>
              <w:t>The  Government  Has Not Provided  the Required Notice under</w:t>
            </w:r>
            <w:r>
              <w:rPr>
                <w:spacing w:val="-7"/>
                <w:w w:val="105"/>
              </w:rPr>
              <w:t> </w:t>
            </w:r>
            <w:r>
              <w:rPr>
                <w:w w:val="105"/>
              </w:rPr>
              <w:t>Rule</w:t>
            </w:r>
            <w:r>
              <w:rPr>
                <w:spacing w:val="5"/>
                <w:w w:val="105"/>
              </w:rPr>
              <w:t> </w:t>
            </w:r>
            <w:r>
              <w:rPr>
                <w:w w:val="105"/>
              </w:rPr>
              <w:t>404(b)</w:t>
              <w:tab/>
              <w:t>4</w:t>
            </w:r>
          </w:hyperlink>
        </w:p>
        <w:p>
          <w:pPr>
            <w:pStyle w:val="TOC1"/>
            <w:numPr>
              <w:ilvl w:val="0"/>
              <w:numId w:val="1"/>
            </w:numPr>
            <w:tabs>
              <w:tab w:pos="801" w:val="left" w:leader="none"/>
              <w:tab w:pos="802" w:val="left" w:leader="none"/>
            </w:tabs>
            <w:spacing w:line="240" w:lineRule="auto" w:before="276" w:after="0"/>
            <w:ind w:left="801" w:right="0" w:hanging="681"/>
            <w:jc w:val="left"/>
          </w:pPr>
          <w:r>
            <w:rPr>
              <w:w w:val="105"/>
            </w:rPr>
            <w:t>Admission of MLD Evidence Will Unduly Lengthen the Trial and</w:t>
          </w:r>
          <w:r>
            <w:rPr>
              <w:spacing w:val="41"/>
              <w:w w:val="105"/>
            </w:rPr>
            <w:t> </w:t>
          </w:r>
          <w:r>
            <w:rPr>
              <w:w w:val="105"/>
            </w:rPr>
            <w:t>Confuse</w:t>
          </w:r>
        </w:p>
        <w:p>
          <w:pPr>
            <w:pStyle w:val="TOC2"/>
            <w:tabs>
              <w:tab w:pos="8989" w:val="right" w:leader="dot"/>
            </w:tabs>
          </w:pPr>
          <w:r>
            <w:rPr>
              <w:w w:val="110"/>
            </w:rPr>
            <w:t>theJury</w:t>
            <w:tab/>
            <w:t>9</w:t>
          </w:r>
        </w:p>
        <w:p>
          <w:pPr>
            <w:pStyle w:val="TOC1"/>
            <w:tabs>
              <w:tab w:pos="8970" w:val="right" w:leader="dot"/>
            </w:tabs>
            <w:spacing w:before="233"/>
            <w:rPr>
              <w:rFonts w:ascii="Arial"/>
              <w:sz w:val="22"/>
            </w:rPr>
          </w:pPr>
          <w:r>
            <w:rPr/>
            <w:t>CONCLlJSION</w:t>
            <w:tab/>
          </w:r>
          <w:r>
            <w:rPr>
              <w:rFonts w:ascii="Arial"/>
              <w:sz w:val="22"/>
            </w:rPr>
            <w:t>13</w:t>
          </w:r>
        </w:p>
      </w:sdtContent>
    </w:sdt>
    <w:p>
      <w:pPr>
        <w:spacing w:after="0"/>
        <w:rPr>
          <w:rFonts w:ascii="Arial"/>
          <w:sz w:val="22"/>
        </w:rPr>
        <w:sectPr>
          <w:headerReference w:type="default" r:id="rId6"/>
          <w:pgSz w:w="12320" w:h="15900"/>
          <w:pgMar w:header="843" w:footer="0" w:top="1560" w:bottom="280" w:left="1740" w:right="1480"/>
        </w:sectPr>
      </w:pPr>
    </w:p>
    <w:p>
      <w:pPr>
        <w:spacing w:before="380"/>
        <w:ind w:left="126" w:right="71" w:firstLine="0"/>
        <w:jc w:val="center"/>
        <w:rPr>
          <w:b/>
          <w:sz w:val="22"/>
        </w:rPr>
      </w:pPr>
      <w:r>
        <w:rPr>
          <w:b/>
          <w:w w:val="105"/>
          <w:sz w:val="22"/>
        </w:rPr>
        <w:t>TABLE OF AUTHORITIES</w:t>
      </w:r>
    </w:p>
    <w:p>
      <w:pPr>
        <w:spacing w:before="530"/>
        <w:ind w:left="126" w:right="72" w:firstLine="0"/>
        <w:jc w:val="center"/>
        <w:rPr>
          <w:sz w:val="22"/>
        </w:rPr>
      </w:pPr>
      <w:r>
        <w:rPr>
          <w:w w:val="105"/>
          <w:sz w:val="22"/>
        </w:rPr>
        <w:t>CASES</w:t>
      </w:r>
    </w:p>
    <w:p>
      <w:pPr>
        <w:pStyle w:val="BodyText"/>
        <w:rPr>
          <w:sz w:val="24"/>
        </w:rPr>
      </w:pPr>
    </w:p>
    <w:p>
      <w:pPr>
        <w:spacing w:before="0"/>
        <w:ind w:left="0" w:right="116" w:firstLine="0"/>
        <w:jc w:val="right"/>
        <w:rPr>
          <w:sz w:val="22"/>
        </w:rPr>
      </w:pPr>
      <w:r>
        <w:rPr>
          <w:w w:val="105"/>
          <w:sz w:val="22"/>
        </w:rPr>
        <w:t>Page</w:t>
      </w:r>
    </w:p>
    <w:p>
      <w:pPr>
        <w:pStyle w:val="BodyText"/>
        <w:spacing w:before="10"/>
      </w:pPr>
    </w:p>
    <w:p>
      <w:pPr>
        <w:spacing w:before="0"/>
        <w:ind w:left="154" w:right="0" w:firstLine="0"/>
        <w:jc w:val="left"/>
        <w:rPr>
          <w:sz w:val="21"/>
        </w:rPr>
      </w:pPr>
      <w:r>
        <w:rPr>
          <w:i/>
          <w:sz w:val="22"/>
        </w:rPr>
        <w:t>United States. v. Cushing, </w:t>
      </w:r>
      <w:r>
        <w:rPr>
          <w:sz w:val="21"/>
        </w:rPr>
        <w:t>No. S3 00 CR. </w:t>
      </w:r>
      <w:r>
        <w:rPr>
          <w:w w:val="95"/>
          <w:sz w:val="21"/>
        </w:rPr>
        <w:t>I </w:t>
      </w:r>
      <w:r>
        <w:rPr>
          <w:sz w:val="21"/>
        </w:rPr>
        <w:t>098 (WHP), 2002 WL 1339101</w:t>
      </w:r>
    </w:p>
    <w:p>
      <w:pPr>
        <w:pStyle w:val="BodyText"/>
        <w:tabs>
          <w:tab w:pos="8903" w:val="left" w:leader="dot"/>
        </w:tabs>
        <w:spacing w:before="21"/>
        <w:ind w:left="664"/>
      </w:pPr>
      <w:r>
        <w:rPr>
          <w:w w:val="105"/>
        </w:rPr>
        <w:t>(S.f).N.Y.  June</w:t>
      </w:r>
      <w:r>
        <w:rPr>
          <w:spacing w:val="-3"/>
          <w:w w:val="105"/>
        </w:rPr>
        <w:t> </w:t>
      </w:r>
      <w:r>
        <w:rPr>
          <w:w w:val="105"/>
        </w:rPr>
        <w:t>18,</w:t>
      </w:r>
      <w:r>
        <w:rPr>
          <w:spacing w:val="11"/>
          <w:w w:val="105"/>
        </w:rPr>
        <w:t> </w:t>
      </w:r>
      <w:r>
        <w:rPr>
          <w:w w:val="105"/>
        </w:rPr>
        <w:t>2002)</w:t>
        <w:tab/>
        <w:t>5</w:t>
      </w:r>
    </w:p>
    <w:p>
      <w:pPr>
        <w:pStyle w:val="BodyText"/>
        <w:spacing w:before="8"/>
        <w:rPr>
          <w:sz w:val="23"/>
        </w:rPr>
      </w:pPr>
    </w:p>
    <w:p>
      <w:pPr>
        <w:tabs>
          <w:tab w:pos="8792" w:val="left" w:leader="dot"/>
        </w:tabs>
        <w:spacing w:before="0"/>
        <w:ind w:left="154" w:right="0" w:firstLine="0"/>
        <w:jc w:val="left"/>
        <w:rPr>
          <w:sz w:val="21"/>
        </w:rPr>
      </w:pPr>
      <w:r>
        <w:rPr>
          <w:i/>
          <w:w w:val="105"/>
          <w:sz w:val="22"/>
        </w:rPr>
        <w:t>United States v. Fasciana, </w:t>
      </w:r>
      <w:r>
        <w:rPr>
          <w:w w:val="105"/>
          <w:sz w:val="21"/>
        </w:rPr>
        <w:t>226 F. Supp. 2d 445</w:t>
      </w:r>
      <w:r>
        <w:rPr>
          <w:spacing w:val="29"/>
          <w:w w:val="105"/>
          <w:sz w:val="21"/>
        </w:rPr>
        <w:t> </w:t>
      </w:r>
      <w:r>
        <w:rPr>
          <w:w w:val="105"/>
          <w:sz w:val="21"/>
        </w:rPr>
        <w:t>(S.D.N.Y.</w:t>
      </w:r>
      <w:r>
        <w:rPr>
          <w:spacing w:val="9"/>
          <w:w w:val="105"/>
          <w:sz w:val="21"/>
        </w:rPr>
        <w:t> </w:t>
      </w:r>
      <w:r>
        <w:rPr>
          <w:w w:val="105"/>
          <w:sz w:val="21"/>
        </w:rPr>
        <w:t>2002)</w:t>
        <w:tab/>
        <w:t>10</w:t>
      </w:r>
    </w:p>
    <w:p>
      <w:pPr>
        <w:pStyle w:val="BodyText"/>
        <w:spacing w:before="9"/>
        <w:rPr>
          <w:sz w:val="22"/>
        </w:rPr>
      </w:pPr>
    </w:p>
    <w:p>
      <w:pPr>
        <w:spacing w:before="0"/>
        <w:ind w:left="149" w:right="0" w:firstLine="0"/>
        <w:jc w:val="left"/>
        <w:rPr>
          <w:sz w:val="21"/>
        </w:rPr>
      </w:pPr>
      <w:r>
        <w:rPr>
          <w:i/>
          <w:sz w:val="22"/>
        </w:rPr>
        <w:t>United States v. Garde!!, </w:t>
      </w:r>
      <w:r>
        <w:rPr>
          <w:sz w:val="21"/>
        </w:rPr>
        <w:t>No. S4 00 CR. 632 (WHP), 200 l WL l l 35948</w:t>
      </w:r>
    </w:p>
    <w:p>
      <w:pPr>
        <w:pStyle w:val="BodyText"/>
        <w:tabs>
          <w:tab w:pos="8222" w:val="left" w:leader="dot"/>
        </w:tabs>
        <w:spacing w:before="20"/>
        <w:ind w:left="655"/>
      </w:pPr>
      <w:r>
        <w:rPr/>
        <w:t>(S.D.N.Y·.  Sept. 25,</w:t>
      </w:r>
      <w:r>
        <w:rPr>
          <w:spacing w:val="20"/>
        </w:rPr>
        <w:t> </w:t>
      </w:r>
      <w:r>
        <w:rPr/>
        <w:t>2001)</w:t>
        <w:tab/>
        <w:t>7,  10,</w:t>
      </w:r>
      <w:r>
        <w:rPr>
          <w:spacing w:val="-8"/>
        </w:rPr>
        <w:t> </w:t>
      </w:r>
      <w:r>
        <w:rPr/>
        <w:t>11</w:t>
      </w:r>
    </w:p>
    <w:p>
      <w:pPr>
        <w:pStyle w:val="BodyText"/>
        <w:spacing w:before="9"/>
        <w:rPr>
          <w:sz w:val="23"/>
        </w:rPr>
      </w:pPr>
    </w:p>
    <w:p>
      <w:pPr>
        <w:tabs>
          <w:tab w:pos="8903" w:val="left" w:leader="dot"/>
        </w:tabs>
        <w:spacing w:before="0"/>
        <w:ind w:left="145" w:right="0" w:firstLine="0"/>
        <w:jc w:val="left"/>
        <w:rPr>
          <w:sz w:val="21"/>
        </w:rPr>
      </w:pPr>
      <w:r>
        <w:rPr>
          <w:i/>
          <w:w w:val="105"/>
          <w:sz w:val="22"/>
        </w:rPr>
        <w:t>United States v. Gasparik, </w:t>
      </w:r>
      <w:r>
        <w:rPr>
          <w:w w:val="105"/>
          <w:sz w:val="21"/>
        </w:rPr>
        <w:t>141 F. Supp. 2d 361</w:t>
      </w:r>
      <w:r>
        <w:rPr>
          <w:spacing w:val="33"/>
          <w:w w:val="105"/>
          <w:sz w:val="21"/>
        </w:rPr>
        <w:t> </w:t>
      </w:r>
      <w:r>
        <w:rPr>
          <w:w w:val="105"/>
          <w:sz w:val="21"/>
        </w:rPr>
        <w:t>(S.D.N.Y.</w:t>
      </w:r>
      <w:r>
        <w:rPr>
          <w:spacing w:val="15"/>
          <w:w w:val="105"/>
          <w:sz w:val="21"/>
        </w:rPr>
        <w:t> </w:t>
      </w:r>
      <w:r>
        <w:rPr>
          <w:w w:val="105"/>
          <w:sz w:val="21"/>
        </w:rPr>
        <w:t>2001)</w:t>
        <w:tab/>
        <w:t>5</w:t>
      </w:r>
    </w:p>
    <w:p>
      <w:pPr>
        <w:pStyle w:val="BodyText"/>
        <w:spacing w:before="1"/>
        <w:rPr>
          <w:sz w:val="23"/>
        </w:rPr>
      </w:pPr>
    </w:p>
    <w:p>
      <w:pPr>
        <w:tabs>
          <w:tab w:pos="8903" w:val="left" w:leader="dot"/>
        </w:tabs>
        <w:spacing w:before="0"/>
        <w:ind w:left="149" w:right="0" w:firstLine="0"/>
        <w:jc w:val="left"/>
        <w:rPr>
          <w:sz w:val="21"/>
        </w:rPr>
      </w:pPr>
      <w:r>
        <w:rPr>
          <w:i/>
          <w:w w:val="105"/>
          <w:sz w:val="22"/>
        </w:rPr>
        <w:t>United States v. Germosen, </w:t>
      </w:r>
      <w:r>
        <w:rPr>
          <w:w w:val="105"/>
          <w:sz w:val="21"/>
        </w:rPr>
        <w:t>139 F.3d 120 (2d</w:t>
      </w:r>
      <w:r>
        <w:rPr>
          <w:spacing w:val="28"/>
          <w:w w:val="105"/>
          <w:sz w:val="21"/>
        </w:rPr>
        <w:t> </w:t>
      </w:r>
      <w:r>
        <w:rPr>
          <w:w w:val="105"/>
          <w:sz w:val="21"/>
        </w:rPr>
        <w:t>Cir.</w:t>
      </w:r>
      <w:r>
        <w:rPr>
          <w:spacing w:val="-2"/>
          <w:w w:val="105"/>
          <w:sz w:val="21"/>
        </w:rPr>
        <w:t> </w:t>
      </w:r>
      <w:r>
        <w:rPr>
          <w:w w:val="105"/>
          <w:sz w:val="21"/>
        </w:rPr>
        <w:t>1998)</w:t>
        <w:tab/>
        <w:t>5</w:t>
      </w:r>
    </w:p>
    <w:p>
      <w:pPr>
        <w:pStyle w:val="BodyText"/>
        <w:spacing w:before="2"/>
        <w:rPr>
          <w:sz w:val="23"/>
        </w:rPr>
      </w:pPr>
    </w:p>
    <w:p>
      <w:pPr>
        <w:tabs>
          <w:tab w:pos="8677" w:val="left" w:leader="dot"/>
        </w:tabs>
        <w:spacing w:before="0"/>
        <w:ind w:left="145" w:right="0" w:firstLine="0"/>
        <w:jc w:val="left"/>
        <w:rPr>
          <w:sz w:val="21"/>
        </w:rPr>
      </w:pPr>
      <w:r>
        <w:rPr>
          <w:i/>
          <w:w w:val="105"/>
          <w:sz w:val="22"/>
        </w:rPr>
        <w:t>United States v. Heatley, </w:t>
      </w:r>
      <w:r>
        <w:rPr>
          <w:w w:val="105"/>
          <w:sz w:val="21"/>
        </w:rPr>
        <w:t>994 F. Supp. 483</w:t>
      </w:r>
      <w:r>
        <w:rPr>
          <w:spacing w:val="17"/>
          <w:w w:val="105"/>
          <w:sz w:val="21"/>
        </w:rPr>
        <w:t> </w:t>
      </w:r>
      <w:r>
        <w:rPr>
          <w:w w:val="105"/>
          <w:sz w:val="21"/>
        </w:rPr>
        <w:t>(S.D.N.Y.</w:t>
      </w:r>
      <w:r>
        <w:rPr>
          <w:spacing w:val="20"/>
          <w:w w:val="105"/>
          <w:sz w:val="21"/>
        </w:rPr>
        <w:t> </w:t>
      </w:r>
      <w:r>
        <w:rPr>
          <w:w w:val="105"/>
          <w:sz w:val="21"/>
        </w:rPr>
        <w:t>1998)</w:t>
        <w:tab/>
        <w:t>5,</w:t>
      </w:r>
      <w:r>
        <w:rPr>
          <w:spacing w:val="5"/>
          <w:w w:val="105"/>
          <w:sz w:val="21"/>
        </w:rPr>
        <w:t> </w:t>
      </w:r>
      <w:r>
        <w:rPr>
          <w:w w:val="105"/>
          <w:sz w:val="21"/>
        </w:rPr>
        <w:t>7</w:t>
      </w:r>
    </w:p>
    <w:p>
      <w:pPr>
        <w:pStyle w:val="BodyText"/>
        <w:spacing w:before="6"/>
        <w:rPr>
          <w:sz w:val="23"/>
        </w:rPr>
      </w:pPr>
    </w:p>
    <w:p>
      <w:pPr>
        <w:tabs>
          <w:tab w:pos="8792" w:val="left" w:leader="dot"/>
        </w:tabs>
        <w:spacing w:before="0"/>
        <w:ind w:left="140" w:right="0" w:firstLine="0"/>
        <w:jc w:val="left"/>
        <w:rPr>
          <w:sz w:val="21"/>
        </w:rPr>
      </w:pPr>
      <w:r>
        <w:rPr>
          <w:i/>
          <w:sz w:val="22"/>
        </w:rPr>
        <w:t>United States v.  Kahn, </w:t>
      </w:r>
      <w:r>
        <w:rPr>
          <w:sz w:val="21"/>
        </w:rPr>
        <w:t>472  F.2d  272 (2d  Cir.</w:t>
      </w:r>
      <w:r>
        <w:rPr>
          <w:spacing w:val="20"/>
          <w:sz w:val="21"/>
        </w:rPr>
        <w:t> </w:t>
      </w:r>
      <w:r>
        <w:rPr>
          <w:sz w:val="21"/>
        </w:rPr>
        <w:t>l</w:t>
      </w:r>
      <w:r>
        <w:rPr>
          <w:spacing w:val="-3"/>
          <w:sz w:val="21"/>
        </w:rPr>
        <w:t> </w:t>
      </w:r>
      <w:r>
        <w:rPr>
          <w:sz w:val="21"/>
        </w:rPr>
        <w:t>973)</w:t>
        <w:tab/>
        <w:t>10</w:t>
      </w:r>
    </w:p>
    <w:p>
      <w:pPr>
        <w:pStyle w:val="BodyText"/>
        <w:spacing w:before="2"/>
        <w:rPr>
          <w:sz w:val="23"/>
        </w:rPr>
      </w:pPr>
    </w:p>
    <w:p>
      <w:pPr>
        <w:tabs>
          <w:tab w:pos="8682" w:val="left" w:leader="dot"/>
        </w:tabs>
        <w:spacing w:before="0"/>
        <w:ind w:left="145" w:right="0" w:firstLine="0"/>
        <w:jc w:val="left"/>
        <w:rPr>
          <w:sz w:val="21"/>
        </w:rPr>
      </w:pPr>
      <w:r>
        <w:rPr>
          <w:i/>
          <w:w w:val="105"/>
          <w:sz w:val="22"/>
        </w:rPr>
        <w:t>United States v. Levy, </w:t>
      </w:r>
      <w:r>
        <w:rPr>
          <w:w w:val="105"/>
          <w:sz w:val="21"/>
        </w:rPr>
        <w:t>731  F.2d 997 (2d</w:t>
      </w:r>
      <w:r>
        <w:rPr>
          <w:spacing w:val="-17"/>
          <w:w w:val="105"/>
          <w:sz w:val="21"/>
        </w:rPr>
        <w:t> </w:t>
      </w:r>
      <w:r>
        <w:rPr>
          <w:w w:val="105"/>
          <w:sz w:val="21"/>
        </w:rPr>
        <w:t>Cir. 1984)</w:t>
        <w:tab/>
        <w:t>5,</w:t>
      </w:r>
      <w:r>
        <w:rPr>
          <w:spacing w:val="5"/>
          <w:w w:val="105"/>
          <w:sz w:val="21"/>
        </w:rPr>
        <w:t> </w:t>
      </w:r>
      <w:r>
        <w:rPr>
          <w:w w:val="105"/>
          <w:sz w:val="21"/>
        </w:rPr>
        <w:t>7</w:t>
      </w:r>
    </w:p>
    <w:p>
      <w:pPr>
        <w:pStyle w:val="BodyText"/>
        <w:spacing w:before="1"/>
        <w:rPr>
          <w:sz w:val="23"/>
        </w:rPr>
      </w:pPr>
    </w:p>
    <w:p>
      <w:pPr>
        <w:tabs>
          <w:tab w:pos="8900" w:val="left" w:leader="dot"/>
        </w:tabs>
        <w:spacing w:before="1"/>
        <w:ind w:left="140" w:right="0" w:firstLine="0"/>
        <w:jc w:val="left"/>
        <w:rPr>
          <w:sz w:val="21"/>
        </w:rPr>
      </w:pPr>
      <w:r>
        <w:rPr>
          <w:i/>
          <w:w w:val="105"/>
          <w:sz w:val="22"/>
        </w:rPr>
        <w:t>United States v. Schatzle, </w:t>
      </w:r>
      <w:r>
        <w:rPr>
          <w:w w:val="105"/>
          <w:sz w:val="21"/>
        </w:rPr>
        <w:t>901  F.2d 252 (2d</w:t>
      </w:r>
      <w:r>
        <w:rPr>
          <w:spacing w:val="-22"/>
          <w:w w:val="105"/>
          <w:sz w:val="21"/>
        </w:rPr>
        <w:t> </w:t>
      </w:r>
      <w:r>
        <w:rPr>
          <w:w w:val="105"/>
          <w:sz w:val="21"/>
        </w:rPr>
        <w:t>Cir.</w:t>
      </w:r>
      <w:r>
        <w:rPr>
          <w:spacing w:val="3"/>
          <w:w w:val="105"/>
          <w:sz w:val="21"/>
        </w:rPr>
        <w:t> </w:t>
      </w:r>
      <w:r>
        <w:rPr>
          <w:w w:val="105"/>
          <w:sz w:val="21"/>
        </w:rPr>
        <w:t>1990)</w:t>
        <w:tab/>
        <w:t>9</w:t>
      </w:r>
    </w:p>
    <w:p>
      <w:pPr>
        <w:pStyle w:val="BodyText"/>
        <w:spacing w:before="6"/>
        <w:rPr>
          <w:sz w:val="23"/>
        </w:rPr>
      </w:pPr>
    </w:p>
    <w:p>
      <w:pPr>
        <w:spacing w:before="0"/>
        <w:ind w:left="140" w:right="0" w:firstLine="0"/>
        <w:jc w:val="left"/>
        <w:rPr>
          <w:sz w:val="21"/>
        </w:rPr>
      </w:pPr>
      <w:r>
        <w:rPr>
          <w:i/>
          <w:w w:val="105"/>
          <w:sz w:val="22"/>
        </w:rPr>
        <w:t>United States v. Soliman, </w:t>
      </w:r>
      <w:r>
        <w:rPr>
          <w:w w:val="105"/>
          <w:sz w:val="21"/>
        </w:rPr>
        <w:t>No. 06 CR. 236A, 2008 WL 4490623</w:t>
      </w:r>
    </w:p>
    <w:p>
      <w:pPr>
        <w:pStyle w:val="BodyText"/>
        <w:tabs>
          <w:tab w:pos="8899" w:val="left" w:leader="dot"/>
        </w:tabs>
        <w:spacing w:before="16"/>
        <w:ind w:left="650"/>
      </w:pPr>
      <w:r>
        <w:rPr>
          <w:w w:val="110"/>
        </w:rPr>
        <w:t>(W.D.N.Y. Sept.</w:t>
      </w:r>
      <w:r>
        <w:rPr>
          <w:spacing w:val="-14"/>
          <w:w w:val="110"/>
        </w:rPr>
        <w:t> </w:t>
      </w:r>
      <w:r>
        <w:rPr>
          <w:w w:val="110"/>
        </w:rPr>
        <w:t>30,</w:t>
      </w:r>
      <w:r>
        <w:rPr>
          <w:spacing w:val="-8"/>
          <w:w w:val="110"/>
        </w:rPr>
        <w:t> </w:t>
      </w:r>
      <w:r>
        <w:rPr>
          <w:w w:val="110"/>
        </w:rPr>
        <w:t>2008)</w:t>
        <w:tab/>
        <w:t>6</w:t>
      </w:r>
    </w:p>
    <w:p>
      <w:pPr>
        <w:pStyle w:val="BodyText"/>
        <w:spacing w:before="3"/>
        <w:rPr>
          <w:sz w:val="23"/>
        </w:rPr>
      </w:pPr>
    </w:p>
    <w:p>
      <w:pPr>
        <w:spacing w:before="1"/>
        <w:ind w:left="126" w:right="132" w:firstLine="0"/>
        <w:jc w:val="center"/>
        <w:rPr>
          <w:sz w:val="21"/>
        </w:rPr>
      </w:pPr>
      <w:r>
        <w:rPr>
          <w:i/>
          <w:w w:val="105"/>
          <w:sz w:val="22"/>
        </w:rPr>
        <w:t>United States v. Stein, </w:t>
      </w:r>
      <w:r>
        <w:rPr>
          <w:w w:val="105"/>
          <w:sz w:val="21"/>
        </w:rPr>
        <w:t>521 F. Supp. 2d 266 (S.D.N.Y. 2007) .............................................2,  l 0, </w:t>
      </w:r>
      <w:r>
        <w:rPr>
          <w:spacing w:val="18"/>
          <w:w w:val="105"/>
          <w:sz w:val="21"/>
        </w:rPr>
        <w:t> </w:t>
      </w:r>
      <w:r>
        <w:rPr>
          <w:w w:val="105"/>
          <w:sz w:val="21"/>
        </w:rPr>
        <w:t>11</w:t>
      </w:r>
    </w:p>
    <w:p>
      <w:pPr>
        <w:pStyle w:val="BodyText"/>
        <w:rPr>
          <w:sz w:val="24"/>
        </w:rPr>
      </w:pPr>
    </w:p>
    <w:p>
      <w:pPr>
        <w:pStyle w:val="BodyText"/>
        <w:spacing w:before="1"/>
        <w:rPr>
          <w:sz w:val="22"/>
        </w:rPr>
      </w:pPr>
    </w:p>
    <w:p>
      <w:pPr>
        <w:pStyle w:val="Heading2"/>
        <w:ind w:left="124" w:right="132"/>
        <w:jc w:val="center"/>
      </w:pPr>
      <w:r>
        <w:rPr/>
        <w:t>MISCELLANEOUS</w:t>
      </w:r>
    </w:p>
    <w:p>
      <w:pPr>
        <w:pStyle w:val="BodyText"/>
        <w:spacing w:before="11"/>
        <w:rPr>
          <w:b/>
          <w:sz w:val="23"/>
        </w:rPr>
      </w:pPr>
    </w:p>
    <w:p>
      <w:pPr>
        <w:pStyle w:val="BodyText"/>
        <w:tabs>
          <w:tab w:pos="8336" w:val="left" w:leader="dot"/>
        </w:tabs>
        <w:ind w:left="136"/>
      </w:pPr>
      <w:r>
        <w:rPr>
          <w:w w:val="105"/>
        </w:rPr>
        <w:t>Fed. R.</w:t>
      </w:r>
      <w:r>
        <w:rPr>
          <w:spacing w:val="23"/>
          <w:w w:val="105"/>
        </w:rPr>
        <w:t> </w:t>
      </w:r>
      <w:r>
        <w:rPr>
          <w:w w:val="105"/>
        </w:rPr>
        <w:t>Evid.</w:t>
      </w:r>
      <w:r>
        <w:rPr>
          <w:spacing w:val="9"/>
          <w:w w:val="105"/>
        </w:rPr>
        <w:t> </w:t>
      </w:r>
      <w:r>
        <w:rPr>
          <w:w w:val="105"/>
        </w:rPr>
        <w:t>403</w:t>
        <w:tab/>
        <w:t>2, 9,</w:t>
      </w:r>
      <w:r>
        <w:rPr>
          <w:spacing w:val="14"/>
          <w:w w:val="105"/>
        </w:rPr>
        <w:t> </w:t>
      </w:r>
      <w:r>
        <w:rPr>
          <w:w w:val="105"/>
        </w:rPr>
        <w:t>12</w:t>
      </w:r>
    </w:p>
    <w:p>
      <w:pPr>
        <w:pStyle w:val="BodyText"/>
        <w:spacing w:before="3"/>
        <w:rPr>
          <w:sz w:val="23"/>
        </w:rPr>
      </w:pPr>
    </w:p>
    <w:p>
      <w:pPr>
        <w:tabs>
          <w:tab w:pos="8366" w:val="left" w:leader="dot"/>
        </w:tabs>
        <w:spacing w:before="1"/>
        <w:ind w:left="131" w:right="0" w:firstLine="0"/>
        <w:jc w:val="left"/>
        <w:rPr>
          <w:sz w:val="22"/>
        </w:rPr>
      </w:pPr>
      <w:r>
        <w:rPr>
          <w:w w:val="105"/>
          <w:sz w:val="21"/>
        </w:rPr>
        <w:t>Fed. R.</w:t>
      </w:r>
      <w:r>
        <w:rPr>
          <w:spacing w:val="17"/>
          <w:w w:val="105"/>
          <w:sz w:val="21"/>
        </w:rPr>
        <w:t> </w:t>
      </w:r>
      <w:r>
        <w:rPr>
          <w:w w:val="105"/>
          <w:sz w:val="21"/>
        </w:rPr>
        <w:t>Evid.</w:t>
      </w:r>
      <w:r>
        <w:rPr>
          <w:spacing w:val="16"/>
          <w:w w:val="105"/>
          <w:sz w:val="21"/>
        </w:rPr>
        <w:t> </w:t>
      </w:r>
      <w:r>
        <w:rPr>
          <w:w w:val="105"/>
          <w:sz w:val="21"/>
        </w:rPr>
        <w:t>404(b)</w:t>
        <w:tab/>
      </w:r>
      <w:r>
        <w:rPr>
          <w:w w:val="105"/>
          <w:sz w:val="22"/>
        </w:rPr>
        <w:t>passiln</w:t>
      </w:r>
    </w:p>
    <w:p>
      <w:pPr>
        <w:pStyle w:val="BodyText"/>
        <w:spacing w:before="9"/>
        <w:rPr>
          <w:sz w:val="23"/>
        </w:rPr>
      </w:pPr>
    </w:p>
    <w:p>
      <w:pPr>
        <w:pStyle w:val="BodyText"/>
        <w:tabs>
          <w:tab w:pos="8677" w:val="left" w:leader="dot"/>
        </w:tabs>
        <w:spacing w:before="1"/>
        <w:ind w:left="131"/>
      </w:pPr>
      <w:r>
        <w:rPr>
          <w:w w:val="110"/>
        </w:rPr>
        <w:t>Fed.</w:t>
      </w:r>
      <w:r>
        <w:rPr>
          <w:spacing w:val="-14"/>
          <w:w w:val="110"/>
        </w:rPr>
        <w:t> </w:t>
      </w:r>
      <w:r>
        <w:rPr>
          <w:rFonts w:ascii="Arial"/>
          <w:w w:val="110"/>
        </w:rPr>
        <w:t>R.</w:t>
      </w:r>
      <w:r>
        <w:rPr>
          <w:rFonts w:ascii="Arial"/>
          <w:spacing w:val="-16"/>
          <w:w w:val="110"/>
        </w:rPr>
        <w:t> </w:t>
      </w:r>
      <w:r>
        <w:rPr>
          <w:w w:val="110"/>
        </w:rPr>
        <w:t>Evid.</w:t>
      </w:r>
      <w:r>
        <w:rPr>
          <w:spacing w:val="-9"/>
          <w:w w:val="110"/>
        </w:rPr>
        <w:t> </w:t>
      </w:r>
      <w:r>
        <w:rPr>
          <w:w w:val="110"/>
        </w:rPr>
        <w:t>404(b)</w:t>
      </w:r>
      <w:r>
        <w:rPr>
          <w:spacing w:val="-9"/>
          <w:w w:val="110"/>
        </w:rPr>
        <w:t> </w:t>
      </w:r>
      <w:r>
        <w:rPr>
          <w:w w:val="110"/>
        </w:rPr>
        <w:t>advisory</w:t>
      </w:r>
      <w:r>
        <w:rPr>
          <w:spacing w:val="-4"/>
          <w:w w:val="110"/>
        </w:rPr>
        <w:t> </w:t>
      </w:r>
      <w:r>
        <w:rPr>
          <w:w w:val="110"/>
        </w:rPr>
        <w:t>committee's</w:t>
      </w:r>
      <w:r>
        <w:rPr>
          <w:spacing w:val="-2"/>
          <w:w w:val="110"/>
        </w:rPr>
        <w:t> </w:t>
      </w:r>
      <w:r>
        <w:rPr>
          <w:w w:val="110"/>
        </w:rPr>
        <w:t>notes</w:t>
      </w:r>
      <w:r>
        <w:rPr>
          <w:spacing w:val="-7"/>
          <w:w w:val="110"/>
        </w:rPr>
        <w:t> </w:t>
      </w:r>
      <w:r>
        <w:rPr>
          <w:w w:val="110"/>
        </w:rPr>
        <w:t>(1991)</w:t>
        <w:tab/>
        <w:t>5,</w:t>
      </w:r>
      <w:r>
        <w:rPr>
          <w:spacing w:val="-6"/>
          <w:w w:val="110"/>
        </w:rPr>
        <w:t> </w:t>
      </w:r>
      <w:r>
        <w:rPr>
          <w:w w:val="110"/>
        </w:rPr>
        <w:t>7</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6"/>
        <w:rPr>
          <w:sz w:val="26"/>
        </w:rPr>
      </w:pPr>
    </w:p>
    <w:p>
      <w:pPr>
        <w:pStyle w:val="Heading3"/>
        <w:spacing w:before="0"/>
        <w:ind w:left="122" w:right="132"/>
        <w:jc w:val="center"/>
        <w:rPr>
          <w:rFonts w:ascii="Arial"/>
        </w:rPr>
      </w:pPr>
      <w:r>
        <w:rPr>
          <w:rFonts w:ascii="Arial"/>
          <w:w w:val="105"/>
        </w:rPr>
        <w:t>ii</w:t>
      </w:r>
    </w:p>
    <w:p>
      <w:pPr>
        <w:spacing w:after="0"/>
        <w:jc w:val="center"/>
        <w:rPr>
          <w:rFonts w:ascii="Arial"/>
        </w:rPr>
        <w:sectPr>
          <w:headerReference w:type="default" r:id="rId7"/>
          <w:pgSz w:w="12340" w:h="15920"/>
          <w:pgMar w:header="858" w:footer="0" w:top="1580" w:bottom="280" w:left="1740" w:right="1460"/>
        </w:sectPr>
      </w:pPr>
    </w:p>
    <w:p>
      <w:pPr>
        <w:pStyle w:val="BodyText"/>
        <w:spacing w:before="6"/>
        <w:rPr>
          <w:rFonts w:ascii="Arial"/>
          <w:sz w:val="24"/>
        </w:rPr>
      </w:pPr>
    </w:p>
    <w:p>
      <w:pPr>
        <w:spacing w:before="91"/>
        <w:ind w:left="3013" w:right="0" w:firstLine="0"/>
        <w:jc w:val="left"/>
        <w:rPr>
          <w:b/>
          <w:sz w:val="22"/>
        </w:rPr>
      </w:pPr>
      <w:r>
        <w:rPr>
          <w:b/>
          <w:sz w:val="22"/>
        </w:rPr>
        <w:t>PRELIMINARY STATEMENT</w:t>
      </w:r>
    </w:p>
    <w:p>
      <w:pPr>
        <w:pStyle w:val="BodyText"/>
        <w:rPr>
          <w:b/>
          <w:sz w:val="24"/>
        </w:rPr>
      </w:pPr>
    </w:p>
    <w:p>
      <w:pPr>
        <w:pStyle w:val="BodyText"/>
        <w:spacing w:line="506" w:lineRule="auto"/>
        <w:ind w:left="136" w:right="278" w:firstLine="1374"/>
      </w:pPr>
      <w:r>
        <w:rPr>
          <w:w w:val="105"/>
        </w:rPr>
        <w:t>Defendant Raymond Craig Brubaker, joined by all defendants, respectfully submits this memorandum oflaw in support of his motion </w:t>
      </w:r>
      <w:r>
        <w:rPr>
          <w:i/>
          <w:w w:val="105"/>
          <w:sz w:val="22"/>
        </w:rPr>
        <w:t>in limine </w:t>
      </w:r>
      <w:r>
        <w:rPr>
          <w:w w:val="105"/>
        </w:rPr>
        <w:t>to exclude from trial any evidence relating to the Market Linked Deposit transaction ("MLD").</w:t>
      </w:r>
    </w:p>
    <w:p>
      <w:pPr>
        <w:pStyle w:val="BodyText"/>
        <w:spacing w:line="513" w:lineRule="auto" w:before="9"/>
        <w:ind w:left="124" w:right="278" w:firstLine="1374"/>
      </w:pPr>
      <w:r>
        <w:rPr>
          <w:w w:val="105"/>
        </w:rPr>
        <w:t>The MLD is a tax-advantaged transaction that, like dozens of other such products, competed in the marketplace with the four Jenkens </w:t>
      </w:r>
      <w:r>
        <w:rPr>
          <w:w w:val="105"/>
          <w:sz w:val="22"/>
        </w:rPr>
        <w:t>&amp; </w:t>
      </w:r>
      <w:r>
        <w:rPr>
          <w:w w:val="105"/>
        </w:rPr>
        <w:t>Gilchrist transactions referenced in the indictment. MLD is nowhere mentioned in the indictment, is not part of the charged conspiracy, does not involve Jenkens </w:t>
      </w:r>
      <w:r>
        <w:rPr>
          <w:w w:val="105"/>
          <w:sz w:val="22"/>
        </w:rPr>
        <w:t>&amp; </w:t>
      </w:r>
      <w:r>
        <w:rPr>
          <w:w w:val="105"/>
        </w:rPr>
        <w:t>Gilchrist, and has never been referenced in any of the government's discovery letters, motion  briefs, or bills of particulars.  Neither  the government's  original  list of 35 relevant taxpayer transactions, nor the revised list of 29, has included an MLD transaction. In short, we have received the polar opposite of notice that the government would seek to introduce evidence relating to MLD; we have essentially been  assured  that they  would  not.  The appearance of dozens ofMLD documents on the government's  exhibit  list  is a  violation  of Federal Rule of Evidence 404(b) and any semblance of fair play. All evidence relating to MLI) should be</w:t>
      </w:r>
      <w:r>
        <w:rPr>
          <w:spacing w:val="-16"/>
          <w:w w:val="105"/>
        </w:rPr>
        <w:t> </w:t>
      </w:r>
      <w:r>
        <w:rPr>
          <w:w w:val="105"/>
        </w:rPr>
        <w:t>precluded.</w:t>
      </w:r>
    </w:p>
    <w:p>
      <w:pPr>
        <w:pStyle w:val="BodyText"/>
        <w:tabs>
          <w:tab w:pos="6400" w:val="left" w:leader="dot"/>
        </w:tabs>
        <w:spacing w:line="516" w:lineRule="auto"/>
        <w:ind w:left="122" w:right="117" w:firstLine="1366"/>
      </w:pPr>
      <w:r>
        <w:rPr>
          <w:w w:val="105"/>
        </w:rPr>
        <w:t>As the Court knows, the sprawling  nature of the charges  in this case, combined with the enormous volume of discovery, presents substantial  and  unique  challenges  to the defense in preparing for trial. The Court has repeatedly directed the government  to cabin  its case to ensure that it does not become "so  complex that  no one can  understand  it."  (Dec. 4, 2009 Tr. at 27). Indeed, the Court has observed  that, "with  over 23  million  pages at  issue,  this Court needs to assert some control as a concession  to</w:t>
      </w:r>
      <w:r>
        <w:rPr>
          <w:spacing w:val="34"/>
          <w:w w:val="105"/>
        </w:rPr>
        <w:t> </w:t>
      </w:r>
      <w:r>
        <w:rPr>
          <w:w w:val="105"/>
        </w:rPr>
        <w:t>human</w:t>
      </w:r>
      <w:r>
        <w:rPr>
          <w:spacing w:val="33"/>
          <w:w w:val="105"/>
        </w:rPr>
        <w:t> </w:t>
      </w:r>
      <w:r>
        <w:rPr>
          <w:w w:val="105"/>
        </w:rPr>
        <w:t>mortality</w:t>
        <w:tab/>
        <w:t>to ensure that this case</w:t>
      </w:r>
      <w:r>
        <w:rPr>
          <w:spacing w:val="43"/>
          <w:w w:val="105"/>
        </w:rPr>
        <w:t> </w:t>
      </w:r>
      <w:r>
        <w:rPr>
          <w:w w:val="105"/>
        </w:rPr>
        <w:t>is</w:t>
      </w:r>
    </w:p>
    <w:p>
      <w:pPr>
        <w:pStyle w:val="BodyText"/>
        <w:spacing w:line="248" w:lineRule="exact"/>
        <w:ind w:left="126"/>
      </w:pPr>
      <w:r>
        <w:rPr>
          <w:w w:val="105"/>
        </w:rPr>
        <w:t>presented in an understandable and finite way to the jury." (Aug. 2, 20 </w:t>
      </w:r>
      <w:r>
        <w:rPr>
          <w:w w:val="105"/>
          <w:sz w:val="22"/>
        </w:rPr>
        <w:t>IO </w:t>
      </w:r>
      <w:r>
        <w:rPr>
          <w:w w:val="105"/>
        </w:rPr>
        <w:t>Tr. at 55).</w:t>
      </w:r>
    </w:p>
    <w:p>
      <w:pPr>
        <w:spacing w:after="0" w:line="248" w:lineRule="exact"/>
        <w:sectPr>
          <w:headerReference w:type="default" r:id="rId8"/>
          <w:pgSz w:w="12360" w:h="15940"/>
          <w:pgMar w:header="858" w:footer="0" w:top="1580" w:bottom="280" w:left="1740" w:right="1540"/>
        </w:sectPr>
      </w:pPr>
    </w:p>
    <w:p>
      <w:pPr>
        <w:pStyle w:val="BodyText"/>
        <w:spacing w:before="6"/>
        <w:rPr>
          <w:sz w:val="24"/>
        </w:rPr>
      </w:pPr>
    </w:p>
    <w:p>
      <w:pPr>
        <w:pStyle w:val="BodyText"/>
        <w:spacing w:line="513" w:lineRule="auto" w:before="92"/>
        <w:ind w:left="146" w:right="186" w:firstLine="1387"/>
      </w:pPr>
      <w:r>
        <w:rPr>
          <w:w w:val="105"/>
        </w:rPr>
        <w:t>In the face of all of the prior proceedings aimed at forcing the government to give notice of what it actually intended  to prove at trial, we are stunned  that the government's exhibit list contains documents related to an uncharged transaction never previously mentioned. We respectfully submit that the Court should prevent the government from unfairly  expanding a lengthy and complicated trial through the introduction of evidence relating to MLI).  The reasons are clear. </w:t>
      </w:r>
      <w:r>
        <w:rPr>
          <w:i/>
          <w:w w:val="105"/>
          <w:sz w:val="22"/>
        </w:rPr>
        <w:t>First, </w:t>
      </w:r>
      <w:r>
        <w:rPr>
          <w:w w:val="105"/>
        </w:rPr>
        <w:t>the government failed to provide the required notice under Rule 404(b), denying  the defense an adequate opportunity to prepare to  rebut  any  allegations  relating  to the transaction. It would take months of additional  time to prepare to rebut allegations  relating to MLD or to place the government's proposed  MLD exhibits  in context,  given  that a complete set of the relevant documents, witness statements and </w:t>
      </w:r>
      <w:r>
        <w:rPr>
          <w:i/>
          <w:sz w:val="23"/>
        </w:rPr>
        <w:t>Bracry1 </w:t>
      </w:r>
      <w:r>
        <w:rPr>
          <w:w w:val="105"/>
        </w:rPr>
        <w:t>disclosures are not included in the</w:t>
      </w:r>
      <w:r>
        <w:rPr>
          <w:spacing w:val="-16"/>
          <w:w w:val="105"/>
        </w:rPr>
        <w:t> </w:t>
      </w:r>
      <w:r>
        <w:rPr>
          <w:w w:val="105"/>
        </w:rPr>
        <w:t>24</w:t>
      </w:r>
    </w:p>
    <w:p>
      <w:pPr>
        <w:pStyle w:val="BodyText"/>
        <w:spacing w:line="212" w:lineRule="exact"/>
        <w:ind w:left="147"/>
      </w:pPr>
      <w:r>
        <w:rPr>
          <w:w w:val="105"/>
        </w:rPr>
        <w:t>million  pages of government discovery produced  in this case.  </w:t>
      </w:r>
      <w:r>
        <w:rPr>
          <w:i/>
          <w:w w:val="105"/>
          <w:sz w:val="22"/>
        </w:rPr>
        <w:t>Second, </w:t>
      </w:r>
      <w:r>
        <w:rPr>
          <w:w w:val="105"/>
        </w:rPr>
        <w:t>the introduction  of</w:t>
      </w:r>
      <w:r>
        <w:rPr>
          <w:spacing w:val="15"/>
          <w:w w:val="105"/>
        </w:rPr>
        <w:t> </w:t>
      </w:r>
      <w:r>
        <w:rPr>
          <w:w w:val="105"/>
        </w:rPr>
        <w:t>such</w:t>
      </w:r>
    </w:p>
    <w:p>
      <w:pPr>
        <w:pStyle w:val="BodyText"/>
        <w:spacing w:before="4"/>
        <w:rPr>
          <w:sz w:val="24"/>
        </w:rPr>
      </w:pPr>
    </w:p>
    <w:p>
      <w:pPr>
        <w:pStyle w:val="BodyText"/>
        <w:spacing w:line="516" w:lineRule="auto"/>
        <w:ind w:left="145" w:right="186"/>
      </w:pPr>
      <w:r>
        <w:rPr>
          <w:w w:val="105"/>
        </w:rPr>
        <w:t>evidence would result in a "mini-trial" involving a substantial  number  of additional  documents and testimony regarding the origin, structure and economics of the transaction, Deutsche Bank's approval of the transaction, and the legal opinions supporting the tax treatment of the transaction. Such a mini-trial - more  like a full-blown  second  trial -  would  divert the jury's attention  from the four transactions that are actually at issue in this case and needlessly prolong and  complicate the trial by multiplying the number of ambiguous and obscure facts the jury must</w:t>
      </w:r>
      <w:r>
        <w:rPr>
          <w:spacing w:val="28"/>
          <w:w w:val="105"/>
        </w:rPr>
        <w:t> </w:t>
      </w:r>
      <w:r>
        <w:rPr>
          <w:w w:val="105"/>
        </w:rPr>
        <w:t>untangle.</w:t>
      </w:r>
    </w:p>
    <w:p>
      <w:pPr>
        <w:pStyle w:val="BodyText"/>
        <w:spacing w:line="511" w:lineRule="auto"/>
        <w:ind w:left="137" w:right="25" w:firstLine="8"/>
      </w:pPr>
      <w:r>
        <w:rPr>
          <w:w w:val="110"/>
        </w:rPr>
        <w:t>Similar considerations led the court in </w:t>
      </w:r>
      <w:r>
        <w:rPr>
          <w:i/>
          <w:w w:val="110"/>
          <w:sz w:val="22"/>
        </w:rPr>
        <w:t>United States v. Stein </w:t>
      </w:r>
      <w:r>
        <w:rPr>
          <w:w w:val="110"/>
        </w:rPr>
        <w:t>to exclude comparable evidence of uncharged transaction structures, even when the government gave adequate notice. Thus, even if the government had complied here with its obligations under Rule 404(b), evidence relating to MLD would still be inadmissible under Rule 403.</w:t>
      </w:r>
    </w:p>
    <w:p>
      <w:pPr>
        <w:pStyle w:val="BodyText"/>
        <w:spacing w:before="3"/>
        <w:ind w:left="1503"/>
      </w:pPr>
      <w:r>
        <w:rPr>
          <w:w w:val="105"/>
        </w:rPr>
        <w:t>Accordingly, the government should be precluded from offering MLD evidence at</w:t>
      </w:r>
    </w:p>
    <w:p>
      <w:pPr>
        <w:pStyle w:val="BodyText"/>
        <w:spacing w:before="11"/>
        <w:rPr>
          <w:sz w:val="24"/>
        </w:rPr>
      </w:pPr>
    </w:p>
    <w:p>
      <w:pPr>
        <w:pStyle w:val="BodyText"/>
        <w:ind w:left="137"/>
      </w:pPr>
      <w:r>
        <w:rPr>
          <w:w w:val="110"/>
        </w:rPr>
        <w:t>trial.</w:t>
      </w:r>
    </w:p>
    <w:p>
      <w:pPr>
        <w:spacing w:after="0"/>
        <w:sectPr>
          <w:headerReference w:type="default" r:id="rId9"/>
          <w:footerReference w:type="default" r:id="rId10"/>
          <w:pgSz w:w="12360" w:h="15940"/>
          <w:pgMar w:header="853" w:footer="1102" w:top="1580" w:bottom="1300" w:left="1740" w:right="1500"/>
        </w:sectPr>
      </w:pPr>
    </w:p>
    <w:p>
      <w:pPr>
        <w:pStyle w:val="BodyText"/>
        <w:spacing w:before="2"/>
      </w:pPr>
    </w:p>
    <w:p>
      <w:pPr>
        <w:spacing w:before="100"/>
        <w:ind w:left="3161" w:right="0" w:firstLine="0"/>
        <w:jc w:val="left"/>
        <w:rPr>
          <w:rFonts w:ascii="Courier New"/>
          <w:b/>
          <w:sz w:val="25"/>
        </w:rPr>
      </w:pPr>
      <w:r>
        <w:rPr>
          <w:rFonts w:ascii="Courier New"/>
          <w:b/>
          <w:w w:val="105"/>
          <w:sz w:val="25"/>
        </w:rPr>
        <w:t>FACTUAL</w:t>
      </w:r>
      <w:r>
        <w:rPr>
          <w:rFonts w:ascii="Courier New"/>
          <w:b/>
          <w:spacing w:val="-89"/>
          <w:w w:val="105"/>
          <w:sz w:val="25"/>
        </w:rPr>
        <w:t> </w:t>
      </w:r>
      <w:r>
        <w:rPr>
          <w:rFonts w:ascii="Courier New"/>
          <w:b/>
          <w:w w:val="105"/>
          <w:sz w:val="25"/>
        </w:rPr>
        <w:t>BACKGROUND</w:t>
      </w:r>
    </w:p>
    <w:p>
      <w:pPr>
        <w:pStyle w:val="BodyText"/>
        <w:spacing w:line="518" w:lineRule="auto" w:before="248"/>
        <w:ind w:left="121" w:right="279" w:firstLine="1380"/>
        <w:jc w:val="both"/>
      </w:pPr>
      <w:r>
        <w:rPr>
          <w:w w:val="105"/>
        </w:rPr>
        <w:t>By any standard, this is a massive case. The Third Superseding Indictment (the "indictment") charges a conspiracy to defraud the Internal Revenue Service and violate the tax laws through the use of four distinct and intricate tax-advantaged transactions: the Short Sale, Short Options Strategy ("SOS"), Swaps and HOMER transactions. The indictment refers to</w:t>
      </w:r>
    </w:p>
    <w:p>
      <w:pPr>
        <w:pStyle w:val="BodyText"/>
        <w:spacing w:line="248" w:lineRule="exact"/>
        <w:ind w:left="128"/>
      </w:pPr>
      <w:r>
        <w:rPr>
          <w:w w:val="105"/>
        </w:rPr>
        <w:t>these collectively  as the "J&amp;G  tax shelters."  Ind. </w:t>
      </w:r>
      <w:r>
        <w:rPr>
          <w:rFonts w:ascii="Arial"/>
          <w:w w:val="105"/>
          <w:sz w:val="27"/>
        </w:rPr>
        <w:t>il </w:t>
      </w:r>
      <w:r>
        <w:rPr>
          <w:w w:val="105"/>
        </w:rPr>
        <w:t>23.  The conduct alleged  in the</w:t>
      </w:r>
      <w:r>
        <w:rPr>
          <w:spacing w:val="-11"/>
          <w:w w:val="105"/>
        </w:rPr>
        <w:t> </w:t>
      </w:r>
      <w:r>
        <w:rPr>
          <w:w w:val="105"/>
        </w:rPr>
        <w:t>90-page</w:t>
      </w:r>
    </w:p>
    <w:p>
      <w:pPr>
        <w:pStyle w:val="BodyText"/>
        <w:spacing w:before="6"/>
        <w:rPr>
          <w:sz w:val="23"/>
        </w:rPr>
      </w:pPr>
    </w:p>
    <w:p>
      <w:pPr>
        <w:pStyle w:val="BodyText"/>
        <w:spacing w:line="518" w:lineRule="auto"/>
        <w:ind w:left="122" w:right="274" w:firstLine="15"/>
      </w:pPr>
      <w:r>
        <w:rPr>
          <w:w w:val="105"/>
        </w:rPr>
        <w:t>indictment spans 11 years and involves 931 allegedly illegal transactions and, by the government's most recent count, 144 co-conspirators, including employees of Jenkens &amp; Gilchrist, Deutsche Bank, BOO Seidman, Arthur Andersen, Ernst &amp; Young, Bank One and American  Express,  as well  as a host of individual  taxpayers and their independent</w:t>
      </w:r>
      <w:r>
        <w:rPr>
          <w:spacing w:val="-25"/>
          <w:w w:val="105"/>
        </w:rPr>
        <w:t> </w:t>
      </w:r>
      <w:r>
        <w:rPr>
          <w:w w:val="105"/>
        </w:rPr>
        <w:t>advisors.</w:t>
      </w:r>
    </w:p>
    <w:p>
      <w:pPr>
        <w:pStyle w:val="BodyText"/>
        <w:spacing w:line="520" w:lineRule="auto"/>
        <w:ind w:left="122" w:firstLine="1370"/>
      </w:pPr>
      <w:r>
        <w:rPr>
          <w:w w:val="105"/>
        </w:rPr>
        <w:t>Nowhere in the sprawling indictment is there any mention of MLD, another tax­ advantaged transaction - and for good reason. MLD is not a part of the charged conspiracy.</w:t>
      </w:r>
    </w:p>
    <w:p>
      <w:pPr>
        <w:pStyle w:val="BodyText"/>
        <w:spacing w:line="518" w:lineRule="auto"/>
        <w:ind w:left="123" w:right="274" w:hanging="3"/>
      </w:pPr>
      <w:r>
        <w:rPr>
          <w:w w:val="105"/>
        </w:rPr>
        <w:t>Jenkens &amp; Gilchrist did not design MLI), nor did it provide a legal opinion for the transaction. MLI) was structured and promoted by the law firm of Cantley &amp; Sedacca, and Bryan Cave and Pryor Cashman were the two law firms that issued legal opinions supporting the tax treatment of the transaction. Mr. Brubaker served as a broker on some MLD transactions, but many of those were executed at Societe Generale, not Deutsche</w:t>
      </w:r>
      <w:r>
        <w:rPr>
          <w:spacing w:val="-27"/>
          <w:w w:val="105"/>
        </w:rPr>
        <w:t> </w:t>
      </w:r>
      <w:r>
        <w:rPr>
          <w:w w:val="105"/>
        </w:rPr>
        <w:t>Bank.</w:t>
      </w:r>
    </w:p>
    <w:p>
      <w:pPr>
        <w:pStyle w:val="BodyText"/>
        <w:spacing w:line="516" w:lineRule="auto"/>
        <w:ind w:left="118" w:right="274" w:firstLine="1371"/>
      </w:pPr>
      <w:r>
        <w:rPr>
          <w:w w:val="105"/>
        </w:rPr>
        <w:t>In our February 5, 2010 letter to the government, we specifically  requested  that the government provide Rule 404(b) disclosure. No notice has even been given. There has also been extensive motion practice and discussions among the parties and the Court relating to discovery. As a result, the government has been required to produce a list of co-conspirators, a witness list, a list ofrelevant taxpayer transactions, and separate bills of particulars for wires, mailings, false statements and acts of obstruction. In none of these lists has an MLI)</w:t>
      </w:r>
      <w:r>
        <w:rPr>
          <w:spacing w:val="49"/>
          <w:w w:val="105"/>
        </w:rPr>
        <w:t> </w:t>
      </w:r>
      <w:r>
        <w:rPr>
          <w:w w:val="105"/>
        </w:rPr>
        <w:t>transaction</w:t>
      </w:r>
    </w:p>
    <w:p>
      <w:pPr>
        <w:spacing w:after="0" w:line="516" w:lineRule="auto"/>
        <w:sectPr>
          <w:headerReference w:type="default" r:id="rId11"/>
          <w:footerReference w:type="default" r:id="rId12"/>
          <w:pgSz w:w="12340" w:h="15920"/>
          <w:pgMar w:header="829" w:footer="1126" w:top="1580" w:bottom="1320" w:left="1740" w:right="1580"/>
        </w:sectPr>
      </w:pPr>
    </w:p>
    <w:p>
      <w:pPr>
        <w:pStyle w:val="BodyText"/>
        <w:spacing w:before="3"/>
        <w:rPr>
          <w:sz w:val="23"/>
        </w:rPr>
      </w:pPr>
    </w:p>
    <w:p>
      <w:pPr>
        <w:pStyle w:val="BodyText"/>
        <w:spacing w:line="513" w:lineRule="auto" w:before="91"/>
        <w:ind w:left="151" w:right="186" w:firstLine="12"/>
      </w:pPr>
      <w:r>
        <w:rPr>
          <w:w w:val="105"/>
        </w:rPr>
        <w:t>been listed or referenced. The architects of the MLD structure at Cantley &amp; Sedacca are neither co-conspirators nor prospective witnesses. Taxpayers who engaged in MLD transactions are not included in the 3500 material or in the </w:t>
      </w:r>
      <w:r>
        <w:rPr>
          <w:i/>
          <w:w w:val="105"/>
          <w:sz w:val="22"/>
        </w:rPr>
        <w:t>Brady </w:t>
      </w:r>
      <w:r>
        <w:rPr>
          <w:w w:val="105"/>
        </w:rPr>
        <w:t>disclosures.</w:t>
      </w:r>
    </w:p>
    <w:p>
      <w:pPr>
        <w:pStyle w:val="BodyText"/>
        <w:spacing w:line="518" w:lineRule="auto"/>
        <w:ind w:left="141" w:right="172" w:firstLine="1380"/>
      </w:pPr>
      <w:r>
        <w:rPr>
          <w:w w:val="105"/>
        </w:rPr>
        <w:t>Nevertheless, on January 17, 2011, the government provided the defense  with  a list of more than 2,700 exhibits, spanning more than 60,000 pages, that it intends to offer at trial. Forty-two of the government's proposed exhibits  appear  to  relate  to  MLD.  The government's list even includes draft opinion  letters and  correspondence relating to Deutsche  Bank's approval of the transaction and  the economics  of the trade, (e.g., Gov't  Ex. 69-9; Gov't  Ex. 400-112),  all of which raise substantial factual and legal issues that the defense would need to address at trial. More than a year and a half after indictment and with just over one month remaining before trial, the government has not proffered any explanation for why these materials or any other evidence relating to MU) are admissible, and it is too late to start</w:t>
      </w:r>
      <w:r>
        <w:rPr>
          <w:spacing w:val="46"/>
          <w:w w:val="105"/>
        </w:rPr>
        <w:t> </w:t>
      </w:r>
      <w:r>
        <w:rPr>
          <w:w w:val="105"/>
        </w:rPr>
        <w:t>now.</w:t>
      </w:r>
    </w:p>
    <w:p>
      <w:pPr>
        <w:pStyle w:val="Heading2"/>
        <w:spacing w:line="240" w:lineRule="exact"/>
        <w:ind w:left="3911"/>
      </w:pPr>
      <w:bookmarkStart w:name="_TOC_250001" w:id="1"/>
      <w:bookmarkEnd w:id="1"/>
      <w:r>
        <w:rPr/>
        <w:t>ARGUMENT</w:t>
      </w:r>
    </w:p>
    <w:p>
      <w:pPr>
        <w:pStyle w:val="BodyText"/>
        <w:spacing w:before="7"/>
        <w:rPr>
          <w:b/>
        </w:rPr>
      </w:pPr>
    </w:p>
    <w:p>
      <w:pPr>
        <w:pStyle w:val="Heading2"/>
        <w:numPr>
          <w:ilvl w:val="0"/>
          <w:numId w:val="2"/>
        </w:numPr>
        <w:tabs>
          <w:tab w:pos="819" w:val="left" w:leader="none"/>
          <w:tab w:pos="820" w:val="left" w:leader="none"/>
        </w:tabs>
        <w:spacing w:line="240" w:lineRule="auto" w:before="0" w:after="0"/>
        <w:ind w:left="819" w:right="0" w:hanging="675"/>
        <w:jc w:val="left"/>
        <w:rPr>
          <w:sz w:val="23"/>
        </w:rPr>
      </w:pPr>
      <w:bookmarkStart w:name="_TOC_250000" w:id="2"/>
      <w:r>
        <w:rPr/>
        <w:t>The Government Has Not Provided the Required Notice under Rule</w:t>
      </w:r>
      <w:r>
        <w:rPr>
          <w:spacing w:val="-29"/>
        </w:rPr>
        <w:t> </w:t>
      </w:r>
      <w:bookmarkEnd w:id="2"/>
      <w:r>
        <w:rPr/>
        <w:t>404(b)</w:t>
      </w:r>
    </w:p>
    <w:p>
      <w:pPr>
        <w:pStyle w:val="BodyText"/>
        <w:spacing w:before="10"/>
        <w:rPr>
          <w:b/>
          <w:sz w:val="20"/>
        </w:rPr>
      </w:pPr>
    </w:p>
    <w:p>
      <w:pPr>
        <w:pStyle w:val="BodyText"/>
        <w:spacing w:line="516" w:lineRule="auto"/>
        <w:ind w:left="137" w:right="186" w:firstLine="1374"/>
      </w:pPr>
      <w:r>
        <w:rPr>
          <w:w w:val="105"/>
        </w:rPr>
        <w:t>fn order to afford the defense an adequate opportunity to prepare for trial in this exceedingly complex case, we specifically requested Rule 404(6) disclosure nearly a year ago. Given the scope of the charges in the indictment,  and  the enormity  of the government's production, we wanted to ensure that we had sufficient time to prepare to rebut any allegations - charged or uncharged - that Mr. Brubaker might face at trial. But the government provided  no notice and waited until there were just weeks remaining before the start of trial to provide any indication that it would seek to offer evidence relating to MLD at trial. The inclusion of MLD documents on the exhibit list at the 11th hour satisfies neither the letter nor the spirit of the notice requirement of Rule 404(b) and renders any evidence relating to MLD inadmissible at</w:t>
      </w:r>
      <w:r>
        <w:rPr>
          <w:spacing w:val="-34"/>
          <w:w w:val="105"/>
        </w:rPr>
        <w:t> </w:t>
      </w:r>
      <w:r>
        <w:rPr>
          <w:w w:val="105"/>
        </w:rPr>
        <w:t>trial.</w:t>
      </w:r>
    </w:p>
    <w:p>
      <w:pPr>
        <w:spacing w:after="0" w:line="516" w:lineRule="auto"/>
        <w:sectPr>
          <w:headerReference w:type="default" r:id="rId13"/>
          <w:footerReference w:type="default" r:id="rId14"/>
          <w:pgSz w:w="12360" w:h="15940"/>
          <w:pgMar w:header="839" w:footer="1132" w:top="1580" w:bottom="1320" w:left="1740" w:right="1500"/>
        </w:sectPr>
      </w:pPr>
    </w:p>
    <w:p>
      <w:pPr>
        <w:pStyle w:val="BodyText"/>
        <w:spacing w:before="10"/>
        <w:rPr>
          <w:sz w:val="20"/>
        </w:rPr>
      </w:pPr>
    </w:p>
    <w:p>
      <w:pPr>
        <w:pStyle w:val="BodyText"/>
        <w:spacing w:line="506" w:lineRule="auto" w:before="92"/>
        <w:ind w:left="122" w:right="255" w:firstLine="1390"/>
        <w:rPr>
          <w:i/>
          <w:sz w:val="22"/>
        </w:rPr>
      </w:pPr>
      <w:r>
        <w:rPr>
          <w:w w:val="105"/>
        </w:rPr>
        <w:t>Under Rule 404(6), evidence of other crimes, wrongs or acts may be admissible if offered "for some other purpose than to show a probability that the defendant committed the alleged crime because he is a man of bad character." </w:t>
      </w:r>
      <w:r>
        <w:rPr>
          <w:i/>
          <w:w w:val="105"/>
          <w:sz w:val="22"/>
        </w:rPr>
        <w:t>United States. v. Cushing, </w:t>
      </w:r>
      <w:r>
        <w:rPr>
          <w:w w:val="105"/>
        </w:rPr>
        <w:t>No. S3 00 CR. 1098 (WHP). 2002 WL 1339101, at *1 (S.D.N.Y. June 18, 2002) (citing</w:t>
      </w:r>
      <w:r>
        <w:rPr>
          <w:spacing w:val="-33"/>
          <w:w w:val="105"/>
        </w:rPr>
        <w:t> </w:t>
      </w:r>
      <w:r>
        <w:rPr>
          <w:i/>
          <w:w w:val="105"/>
          <w:sz w:val="22"/>
        </w:rPr>
        <w:t>UnitedStatesv.</w:t>
      </w:r>
    </w:p>
    <w:p>
      <w:pPr>
        <w:pStyle w:val="BodyText"/>
        <w:spacing w:line="238" w:lineRule="exact"/>
        <w:ind w:left="119"/>
      </w:pPr>
      <w:r>
        <w:rPr>
          <w:i/>
          <w:w w:val="105"/>
          <w:sz w:val="22"/>
        </w:rPr>
        <w:t>Germosen, </w:t>
      </w:r>
      <w:r>
        <w:rPr>
          <w:w w:val="105"/>
        </w:rPr>
        <w:t>139 F.3d 120, 127 (2d Cir. 1998)). In order to seek admission of other act evidence</w:t>
      </w:r>
    </w:p>
    <w:p>
      <w:pPr>
        <w:pStyle w:val="BodyText"/>
        <w:spacing w:before="4"/>
        <w:rPr>
          <w:sz w:val="24"/>
        </w:rPr>
      </w:pPr>
    </w:p>
    <w:p>
      <w:pPr>
        <w:pStyle w:val="BodyText"/>
        <w:spacing w:line="513" w:lineRule="auto"/>
        <w:ind w:left="117" w:right="140" w:firstLine="11"/>
      </w:pPr>
      <w:r>
        <w:rPr>
          <w:w w:val="110"/>
        </w:rPr>
        <w:t>under the Rule, the government must first provide the defense with "reasonable notice" of its intent to do so. Fed. R. Evid. 404(b). As the Advisory Committee's Note to the 1991 amendment explains, the notice requirement is "intended to reduce surprise and promote early resolution</w:t>
      </w:r>
      <w:r>
        <w:rPr>
          <w:spacing w:val="1"/>
          <w:w w:val="110"/>
        </w:rPr>
        <w:t> </w:t>
      </w:r>
      <w:r>
        <w:rPr>
          <w:w w:val="110"/>
        </w:rPr>
        <w:t>on</w:t>
      </w:r>
      <w:r>
        <w:rPr>
          <w:spacing w:val="-15"/>
          <w:w w:val="110"/>
        </w:rPr>
        <w:t> </w:t>
      </w:r>
      <w:r>
        <w:rPr>
          <w:w w:val="110"/>
        </w:rPr>
        <w:t>the</w:t>
      </w:r>
      <w:r>
        <w:rPr>
          <w:spacing w:val="-5"/>
          <w:w w:val="110"/>
        </w:rPr>
        <w:t> </w:t>
      </w:r>
      <w:r>
        <w:rPr>
          <w:w w:val="110"/>
        </w:rPr>
        <w:t>issue</w:t>
      </w:r>
      <w:r>
        <w:rPr>
          <w:spacing w:val="-14"/>
          <w:w w:val="110"/>
        </w:rPr>
        <w:t> </w:t>
      </w:r>
      <w:r>
        <w:rPr>
          <w:w w:val="110"/>
        </w:rPr>
        <w:t>of</w:t>
      </w:r>
      <w:r>
        <w:rPr>
          <w:spacing w:val="-18"/>
          <w:w w:val="110"/>
        </w:rPr>
        <w:t> </w:t>
      </w:r>
      <w:r>
        <w:rPr>
          <w:w w:val="110"/>
        </w:rPr>
        <w:t>admissibility."</w:t>
      </w:r>
      <w:r>
        <w:rPr>
          <w:spacing w:val="25"/>
          <w:w w:val="110"/>
        </w:rPr>
        <w:t> </w:t>
      </w:r>
      <w:r>
        <w:rPr>
          <w:w w:val="110"/>
        </w:rPr>
        <w:t>Fed.</w:t>
      </w:r>
      <w:r>
        <w:rPr>
          <w:spacing w:val="-10"/>
          <w:w w:val="110"/>
        </w:rPr>
        <w:t> </w:t>
      </w:r>
      <w:r>
        <w:rPr>
          <w:w w:val="110"/>
        </w:rPr>
        <w:t>R.</w:t>
      </w:r>
      <w:r>
        <w:rPr>
          <w:spacing w:val="-12"/>
          <w:w w:val="110"/>
        </w:rPr>
        <w:t> </w:t>
      </w:r>
      <w:r>
        <w:rPr>
          <w:w w:val="110"/>
        </w:rPr>
        <w:t>Evid.</w:t>
      </w:r>
      <w:r>
        <w:rPr>
          <w:spacing w:val="-11"/>
          <w:w w:val="110"/>
        </w:rPr>
        <w:t> </w:t>
      </w:r>
      <w:r>
        <w:rPr>
          <w:w w:val="110"/>
        </w:rPr>
        <w:t>404(6)</w:t>
      </w:r>
      <w:r>
        <w:rPr>
          <w:spacing w:val="-13"/>
          <w:w w:val="110"/>
        </w:rPr>
        <w:t> </w:t>
      </w:r>
      <w:r>
        <w:rPr>
          <w:w w:val="110"/>
        </w:rPr>
        <w:t>advisory</w:t>
      </w:r>
      <w:r>
        <w:rPr>
          <w:spacing w:val="-7"/>
          <w:w w:val="110"/>
        </w:rPr>
        <w:t> </w:t>
      </w:r>
      <w:r>
        <w:rPr>
          <w:w w:val="110"/>
        </w:rPr>
        <w:t>committee's</w:t>
      </w:r>
      <w:r>
        <w:rPr>
          <w:spacing w:val="2"/>
          <w:w w:val="110"/>
        </w:rPr>
        <w:t> </w:t>
      </w:r>
      <w:r>
        <w:rPr>
          <w:w w:val="110"/>
        </w:rPr>
        <w:t>note</w:t>
      </w:r>
      <w:r>
        <w:rPr>
          <w:spacing w:val="-7"/>
          <w:w w:val="110"/>
        </w:rPr>
        <w:t> </w:t>
      </w:r>
      <w:r>
        <w:rPr>
          <w:w w:val="110"/>
        </w:rPr>
        <w:t>(1991). Notice is also "necessary for a defendant to prepare for trial." </w:t>
      </w:r>
      <w:r>
        <w:rPr>
          <w:i/>
          <w:w w:val="110"/>
          <w:sz w:val="22"/>
        </w:rPr>
        <w:t>United States v. Heatley, </w:t>
      </w:r>
      <w:r>
        <w:rPr>
          <w:w w:val="110"/>
        </w:rPr>
        <w:t>994 F. Supp. 483,491 (S.D.N.Y.</w:t>
      </w:r>
      <w:r>
        <w:rPr>
          <w:spacing w:val="-23"/>
          <w:w w:val="110"/>
        </w:rPr>
        <w:t> </w:t>
      </w:r>
      <w:r>
        <w:rPr>
          <w:w w:val="110"/>
        </w:rPr>
        <w:t>1998).</w:t>
      </w:r>
    </w:p>
    <w:p>
      <w:pPr>
        <w:pStyle w:val="BodyText"/>
        <w:spacing w:line="511" w:lineRule="auto"/>
        <w:ind w:left="112" w:right="33" w:firstLine="1370"/>
        <w:rPr>
          <w:i/>
          <w:sz w:val="23"/>
        </w:rPr>
      </w:pPr>
      <w:r>
        <w:rPr>
          <w:w w:val="110"/>
        </w:rPr>
        <w:t>Courts in this Circuit routinely require the government to specifically identify Rule 404(6) material and "explain in detail the purposes for which the evidence is sought to be admitted." </w:t>
      </w:r>
      <w:r>
        <w:rPr>
          <w:i/>
          <w:w w:val="110"/>
          <w:sz w:val="22"/>
        </w:rPr>
        <w:t>United States v. Le1y, </w:t>
      </w:r>
      <w:r>
        <w:rPr>
          <w:w w:val="110"/>
        </w:rPr>
        <w:t>731 F.2d 997, 1002 (2d Cir. </w:t>
      </w:r>
      <w:r>
        <w:rPr/>
        <w:t>I </w:t>
      </w:r>
      <w:r>
        <w:rPr>
          <w:w w:val="110"/>
        </w:rPr>
        <w:t>984); </w:t>
      </w:r>
      <w:r>
        <w:rPr>
          <w:i/>
          <w:w w:val="110"/>
          <w:sz w:val="22"/>
        </w:rPr>
        <w:t>see also Heatley, </w:t>
      </w:r>
      <w:r>
        <w:rPr>
          <w:w w:val="110"/>
        </w:rPr>
        <w:t>994 F. Supp. at 491 (under Rule 404(6) government must provide "a full and particularized explanation of the grounds for admissibility"). As a matter of discretion, a district court may determine that a pmiicular "notice was not reasonable, either because of the lack of timeliness or completeness." Fed. R. Evid. 404(6) advisory committee's note (1991). Moreover, "[b]ecause the notice requirement serves as condition precedent to admissibility of 404(b) evidence, the offered evidence is inadmissible if the court decides that the notice requirement has not been met." </w:t>
      </w:r>
      <w:r>
        <w:rPr>
          <w:i/>
          <w:w w:val="110"/>
          <w:sz w:val="23"/>
        </w:rPr>
        <w:t>Id.;</w:t>
      </w:r>
    </w:p>
    <w:p>
      <w:pPr>
        <w:spacing w:line="222" w:lineRule="exact" w:before="0"/>
        <w:ind w:left="112" w:right="0" w:firstLine="0"/>
        <w:jc w:val="left"/>
        <w:rPr>
          <w:sz w:val="21"/>
        </w:rPr>
      </w:pPr>
      <w:r>
        <w:rPr>
          <w:i/>
          <w:w w:val="105"/>
          <w:sz w:val="22"/>
        </w:rPr>
        <w:t>see also United States v. Gasparik, </w:t>
      </w:r>
      <w:r>
        <w:rPr>
          <w:w w:val="105"/>
          <w:sz w:val="21"/>
        </w:rPr>
        <w:t>141 F. Supp. 2d 361,368 n.4 (S.D.N.Y. 2001) (precluding</w:t>
      </w:r>
    </w:p>
    <w:p>
      <w:pPr>
        <w:pStyle w:val="BodyText"/>
        <w:spacing w:before="9"/>
        <w:rPr>
          <w:sz w:val="23"/>
        </w:rPr>
      </w:pPr>
    </w:p>
    <w:p>
      <w:pPr>
        <w:pStyle w:val="BodyText"/>
        <w:ind w:left="123"/>
      </w:pPr>
      <w:r>
        <w:rPr>
          <w:w w:val="105"/>
        </w:rPr>
        <w:t>introduction of 404(b) material where the government failed to provide the required notice).</w:t>
      </w:r>
    </w:p>
    <w:p>
      <w:pPr>
        <w:spacing w:after="0"/>
        <w:sectPr>
          <w:headerReference w:type="default" r:id="rId15"/>
          <w:footerReference w:type="default" r:id="rId16"/>
          <w:pgSz w:w="12340" w:h="15920"/>
          <w:pgMar w:header="805" w:footer="1146" w:top="1580" w:bottom="1340" w:left="1740" w:right="1500"/>
        </w:sectPr>
      </w:pPr>
    </w:p>
    <w:p>
      <w:pPr>
        <w:pStyle w:val="BodyText"/>
        <w:rPr>
          <w:sz w:val="22"/>
        </w:rPr>
      </w:pPr>
    </w:p>
    <w:p>
      <w:pPr>
        <w:pStyle w:val="BodyText"/>
        <w:spacing w:line="516" w:lineRule="auto" w:before="92"/>
        <w:ind w:left="137" w:right="255" w:firstLine="1383"/>
      </w:pPr>
      <w:r>
        <w:rPr>
          <w:w w:val="105"/>
        </w:rPr>
        <w:t>Here, there can be no doubt that the government has failed to comply with the notice requirement of Ruic 404(6). Although we specifically requested Rule 404(6) disclosure almost a year ago, no notice has ever been given. Instead, the government sought to sidestep its disclosure obligations and sandbag the defense by intermingling MLD documents among  the more than 2,700 exhibits identified by the government last</w:t>
      </w:r>
      <w:r>
        <w:rPr>
          <w:spacing w:val="24"/>
          <w:w w:val="105"/>
        </w:rPr>
        <w:t> </w:t>
      </w:r>
      <w:r>
        <w:rPr>
          <w:w w:val="105"/>
        </w:rPr>
        <w:t>week.</w:t>
      </w:r>
    </w:p>
    <w:p>
      <w:pPr>
        <w:pStyle w:val="BodyText"/>
        <w:spacing w:line="518" w:lineRule="auto" w:before="4"/>
        <w:ind w:left="127" w:right="255" w:firstLine="1380"/>
      </w:pPr>
      <w:r>
        <w:rPr>
          <w:w w:val="105"/>
        </w:rPr>
        <w:t>Any claim by the government that it provided the defense with adequate notice by including MLD-related documents in its voluminous production  should  be swiftly  rejected  by this Court. The government cannot satisfy its Rule 404(6) obligation  by  burying  404(6) material in a mountain of Rule 16 discovery. Doing so in no way provides the defense with "reasonable notice" of the other acts evidence the government intends to introduce at trial or enables  the defense adequately "to prepare for trial," because the defense is left to speculate about which documents the government may ultimately contend are admissible under the</w:t>
      </w:r>
      <w:r>
        <w:rPr>
          <w:spacing w:val="2"/>
          <w:w w:val="105"/>
        </w:rPr>
        <w:t> </w:t>
      </w:r>
      <w:r>
        <w:rPr>
          <w:w w:val="105"/>
        </w:rPr>
        <w:t>Rule.</w:t>
      </w:r>
    </w:p>
    <w:p>
      <w:pPr>
        <w:pStyle w:val="BodyText"/>
        <w:spacing w:line="513" w:lineRule="auto"/>
        <w:ind w:left="123" w:right="98" w:firstLine="1382"/>
      </w:pPr>
      <w:r>
        <w:rPr>
          <w:i/>
          <w:w w:val="105"/>
          <w:sz w:val="22"/>
        </w:rPr>
        <w:t>United States v. Soliman, </w:t>
      </w:r>
      <w:r>
        <w:rPr>
          <w:w w:val="105"/>
        </w:rPr>
        <w:t>No. 06 CR. 236A, 2008 WL 4490623, at *8 (W.D.N.Y. Sept. 30, 2008), is illustrative. In that case, the defendant was charged with health care fraud in a 64-count indictment. As part of its Ruic 16 discovery,  the government  produced  over 60,000 pages of documents that were seized from  the defendant.  When  the defendant  requested disclosure of Rule 404(6) materials, the government asserted that the requested materials were included among the 60,000 pages and refused  to provide any further detail  until  sometime closer to trial. The court squarely  rejected  the government's  response  as  inadequate:  "Given  the volume of documents in this case, the notice ... is not sufficient. The Government should specifically identify the documents responsive to Rule 404(6) disclosure." </w:t>
      </w:r>
      <w:r>
        <w:rPr>
          <w:i/>
          <w:w w:val="105"/>
          <w:sz w:val="22"/>
        </w:rPr>
        <w:t>Id. </w:t>
      </w:r>
      <w:r>
        <w:rPr>
          <w:w w:val="105"/>
          <w:sz w:val="22"/>
        </w:rPr>
        <w:t>(</w:t>
      </w:r>
      <w:r>
        <w:rPr>
          <w:w w:val="105"/>
        </w:rPr>
        <w:t>citation</w:t>
      </w:r>
      <w:r>
        <w:rPr>
          <w:spacing w:val="-6"/>
          <w:w w:val="105"/>
        </w:rPr>
        <w:t> </w:t>
      </w:r>
      <w:r>
        <w:rPr>
          <w:w w:val="105"/>
        </w:rPr>
        <w:t>omitted).</w:t>
      </w:r>
    </w:p>
    <w:p>
      <w:pPr>
        <w:pStyle w:val="BodyText"/>
        <w:spacing w:line="516" w:lineRule="auto"/>
        <w:ind w:left="133" w:firstLine="1360"/>
      </w:pPr>
      <w:r>
        <w:rPr>
          <w:w w:val="110"/>
        </w:rPr>
        <w:t>The same analysis applies with even greater force in this case, where the government's production</w:t>
      </w:r>
      <w:r>
        <w:rPr>
          <w:spacing w:val="-3"/>
          <w:w w:val="110"/>
        </w:rPr>
        <w:t> </w:t>
      </w:r>
      <w:r>
        <w:rPr>
          <w:w w:val="110"/>
        </w:rPr>
        <w:t>(which</w:t>
      </w:r>
      <w:r>
        <w:rPr>
          <w:spacing w:val="-5"/>
          <w:w w:val="110"/>
        </w:rPr>
        <w:t> </w:t>
      </w:r>
      <w:r>
        <w:rPr>
          <w:w w:val="110"/>
        </w:rPr>
        <w:t>is</w:t>
      </w:r>
      <w:r>
        <w:rPr>
          <w:spacing w:val="-18"/>
          <w:w w:val="110"/>
        </w:rPr>
        <w:t> </w:t>
      </w:r>
      <w:r>
        <w:rPr>
          <w:w w:val="110"/>
        </w:rPr>
        <w:t>still</w:t>
      </w:r>
      <w:r>
        <w:rPr>
          <w:spacing w:val="-10"/>
          <w:w w:val="110"/>
        </w:rPr>
        <w:t> </w:t>
      </w:r>
      <w:r>
        <w:rPr>
          <w:w w:val="110"/>
        </w:rPr>
        <w:t>growing)</w:t>
      </w:r>
      <w:r>
        <w:rPr>
          <w:spacing w:val="-8"/>
          <w:w w:val="110"/>
        </w:rPr>
        <w:t> </w:t>
      </w:r>
      <w:r>
        <w:rPr>
          <w:w w:val="110"/>
        </w:rPr>
        <w:t>consists</w:t>
      </w:r>
      <w:r>
        <w:rPr>
          <w:spacing w:val="-11"/>
          <w:w w:val="110"/>
        </w:rPr>
        <w:t> </w:t>
      </w:r>
      <w:r>
        <w:rPr>
          <w:w w:val="110"/>
        </w:rPr>
        <w:t>of</w:t>
      </w:r>
      <w:r>
        <w:rPr>
          <w:spacing w:val="-13"/>
          <w:w w:val="110"/>
        </w:rPr>
        <w:t> </w:t>
      </w:r>
      <w:r>
        <w:rPr>
          <w:w w:val="110"/>
        </w:rPr>
        <w:t>more</w:t>
      </w:r>
      <w:r>
        <w:rPr>
          <w:spacing w:val="-21"/>
          <w:w w:val="110"/>
        </w:rPr>
        <w:t> </w:t>
      </w:r>
      <w:r>
        <w:rPr>
          <w:w w:val="110"/>
        </w:rPr>
        <w:t>than</w:t>
      </w:r>
      <w:r>
        <w:rPr>
          <w:spacing w:val="-5"/>
          <w:w w:val="110"/>
        </w:rPr>
        <w:t> </w:t>
      </w:r>
      <w:r>
        <w:rPr>
          <w:w w:val="110"/>
        </w:rPr>
        <w:t>24</w:t>
      </w:r>
      <w:r>
        <w:rPr>
          <w:spacing w:val="-8"/>
          <w:w w:val="110"/>
        </w:rPr>
        <w:t> </w:t>
      </w:r>
      <w:r>
        <w:rPr>
          <w:w w:val="110"/>
        </w:rPr>
        <w:t>million</w:t>
      </w:r>
      <w:r>
        <w:rPr>
          <w:spacing w:val="-1"/>
          <w:w w:val="110"/>
        </w:rPr>
        <w:t> </w:t>
      </w:r>
      <w:r>
        <w:rPr>
          <w:w w:val="110"/>
        </w:rPr>
        <w:t>pages</w:t>
      </w:r>
      <w:r>
        <w:rPr>
          <w:spacing w:val="-15"/>
          <w:w w:val="110"/>
        </w:rPr>
        <w:t> </w:t>
      </w:r>
      <w:r>
        <w:rPr>
          <w:w w:val="110"/>
        </w:rPr>
        <w:t>and</w:t>
      </w:r>
      <w:r>
        <w:rPr>
          <w:spacing w:val="-6"/>
          <w:w w:val="110"/>
        </w:rPr>
        <w:t> </w:t>
      </w:r>
      <w:r>
        <w:rPr>
          <w:w w:val="110"/>
        </w:rPr>
        <w:t>the</w:t>
      </w:r>
    </w:p>
    <w:p>
      <w:pPr>
        <w:spacing w:after="0" w:line="516" w:lineRule="auto"/>
        <w:sectPr>
          <w:headerReference w:type="default" r:id="rId17"/>
          <w:footerReference w:type="default" r:id="rId18"/>
          <w:pgSz w:w="12360" w:h="15940"/>
          <w:pgMar w:header="819" w:footer="1150" w:top="1580" w:bottom="1340" w:left="1740" w:right="1520"/>
          <w:pgNumType w:start="6"/>
        </w:sectPr>
      </w:pPr>
    </w:p>
    <w:p>
      <w:pPr>
        <w:pStyle w:val="BodyText"/>
        <w:spacing w:before="1"/>
        <w:rPr>
          <w:sz w:val="20"/>
        </w:rPr>
      </w:pPr>
    </w:p>
    <w:p>
      <w:pPr>
        <w:pStyle w:val="BodyText"/>
        <w:spacing w:before="91"/>
        <w:ind w:left="138"/>
      </w:pPr>
      <w:r>
        <w:rPr>
          <w:w w:val="105"/>
        </w:rPr>
        <w:t>government has never even suggested that the defense was obliged to comb the haystacks for</w:t>
      </w:r>
    </w:p>
    <w:p>
      <w:pPr>
        <w:pStyle w:val="BodyText"/>
        <w:rPr>
          <w:sz w:val="17"/>
        </w:rPr>
      </w:pPr>
    </w:p>
    <w:p>
      <w:pPr>
        <w:pStyle w:val="BodyText"/>
        <w:spacing w:line="516" w:lineRule="auto" w:before="92"/>
        <w:ind w:left="132" w:right="235" w:firstLine="8"/>
      </w:pPr>
      <w:r>
        <w:rPr>
          <w:w w:val="105"/>
        </w:rPr>
        <w:t>evidence of </w:t>
      </w:r>
      <w:r>
        <w:rPr>
          <w:w w:val="105"/>
          <w:u w:val="thick"/>
        </w:rPr>
        <w:t>uncharged</w:t>
      </w:r>
      <w:r>
        <w:rPr>
          <w:w w:val="105"/>
        </w:rPr>
        <w:t> crimes. Scattered among this mass of discovery are documents relating to many uncharged tax-advantaged transactions,  including  MLD.  Until we received  the government's expansive  exhibit  list, we could  not know  which  if any of the documents  relating to which if any uncharged transactions the government would seek to offer as 404(b)</w:t>
      </w:r>
      <w:r>
        <w:rPr>
          <w:spacing w:val="27"/>
          <w:w w:val="105"/>
        </w:rPr>
        <w:t> </w:t>
      </w:r>
      <w:r>
        <w:rPr>
          <w:w w:val="105"/>
        </w:rPr>
        <w:t>evidence.</w:t>
      </w:r>
    </w:p>
    <w:p>
      <w:pPr>
        <w:pStyle w:val="BodyText"/>
        <w:spacing w:line="516" w:lineRule="auto" w:before="4"/>
        <w:ind w:left="127" w:right="235" w:firstLine="1384"/>
      </w:pPr>
      <w:r>
        <w:rPr>
          <w:w w:val="105"/>
        </w:rPr>
        <w:t>While the government  has now  identified  42 MLD documents  it intends to offer at trial, the government still has not satisfied the reasonable notice requirement of the Rule. With only weeks remaining before the start of trial, the government has not provided "a full and particularized explanation of the grounds for admissibility" of any of these  MLD-related  exhibits as it is required to do. </w:t>
      </w:r>
      <w:r>
        <w:rPr>
          <w:i/>
          <w:w w:val="105"/>
          <w:sz w:val="22"/>
        </w:rPr>
        <w:t>Heatley, </w:t>
      </w:r>
      <w:r>
        <w:rPr>
          <w:w w:val="105"/>
        </w:rPr>
        <w:t>994 F. Supp. at 491; </w:t>
      </w:r>
      <w:r>
        <w:rPr>
          <w:i/>
          <w:w w:val="105"/>
          <w:sz w:val="22"/>
        </w:rPr>
        <w:t>see also Levy, </w:t>
      </w:r>
      <w:r>
        <w:rPr>
          <w:w w:val="105"/>
        </w:rPr>
        <w:t>731 F.2d at</w:t>
      </w:r>
      <w:r>
        <w:rPr>
          <w:spacing w:val="4"/>
          <w:w w:val="105"/>
        </w:rPr>
        <w:t> </w:t>
      </w:r>
      <w:r>
        <w:rPr>
          <w:w w:val="105"/>
        </w:rPr>
        <w:t>1002.</w:t>
      </w:r>
    </w:p>
    <w:p>
      <w:pPr>
        <w:pStyle w:val="BodyText"/>
        <w:spacing w:line="226" w:lineRule="exact"/>
        <w:ind w:left="1498"/>
      </w:pPr>
      <w:r>
        <w:rPr>
          <w:w w:val="105"/>
        </w:rPr>
        <w:t>The government cannot cure these deficiencies by providing the information</w:t>
      </w:r>
    </w:p>
    <w:p>
      <w:pPr>
        <w:pStyle w:val="BodyText"/>
        <w:spacing w:before="8"/>
        <w:rPr>
          <w:sz w:val="23"/>
        </w:rPr>
      </w:pPr>
    </w:p>
    <w:p>
      <w:pPr>
        <w:pStyle w:val="BodyText"/>
        <w:spacing w:line="513" w:lineRule="auto" w:before="1"/>
        <w:ind w:left="127" w:right="235" w:firstLine="5"/>
      </w:pPr>
      <w:r>
        <w:rPr>
          <w:w w:val="105"/>
        </w:rPr>
        <w:t>required under the Rule in response to this motion. </w:t>
      </w:r>
      <w:r>
        <w:rPr>
          <w:i/>
          <w:w w:val="105"/>
          <w:sz w:val="22"/>
        </w:rPr>
        <w:t>United States v. Garde!!, </w:t>
      </w:r>
      <w:r>
        <w:rPr>
          <w:w w:val="105"/>
        </w:rPr>
        <w:t>No. S4 00 CR. 632 (WHP), 2001 WL 1135948, at *6 (S.D.N.Y. Sept. 25, 2001) (rejecting government's notice as insufficient when provided for the first time in response to defendant's motion to preclude).  In light of the particular facts of this case, any such notice would  plainly  be unreasonable "because of the lack of timeliness." Fed. R. Evid. 404(6) advisory committee's note (199</w:t>
      </w:r>
      <w:r>
        <w:rPr>
          <w:spacing w:val="-36"/>
          <w:w w:val="105"/>
        </w:rPr>
        <w:t> </w:t>
      </w:r>
      <w:r>
        <w:rPr>
          <w:w w:val="105"/>
        </w:rPr>
        <w:t>I).</w:t>
      </w:r>
    </w:p>
    <w:p>
      <w:pPr>
        <w:pStyle w:val="BodyText"/>
        <w:spacing w:line="516" w:lineRule="auto"/>
        <w:ind w:left="118" w:right="235" w:firstLine="1384"/>
      </w:pPr>
      <w:r>
        <w:rPr>
          <w:w w:val="105"/>
        </w:rPr>
        <w:t>As this Court is aware, given the broad scope of this case, the defense  has repeatedly sought information from the government to minimize the burden of reviewing the 24 million pages of discovery and to afford the defense an adequate opportunity to prepare for trial. The government resisted our requests at every turn. Only after this Court granted the defendants' motion for a bill of particulars did the government identify which of the 931  transactions referenced in the indictment would actually be the subject of proof at trial. And even then, the defendants were compelled to seek an order directing the government to further cabin its case</w:t>
      </w:r>
      <w:r>
        <w:rPr>
          <w:spacing w:val="5"/>
          <w:w w:val="105"/>
        </w:rPr>
        <w:t> </w:t>
      </w:r>
      <w:r>
        <w:rPr>
          <w:w w:val="105"/>
        </w:rPr>
        <w:t>in</w:t>
      </w:r>
    </w:p>
    <w:p>
      <w:pPr>
        <w:spacing w:after="0" w:line="516" w:lineRule="auto"/>
        <w:sectPr>
          <w:headerReference w:type="default" r:id="rId19"/>
          <w:pgSz w:w="12350" w:h="15920"/>
          <w:pgMar w:header="800" w:footer="1150" w:top="1580" w:bottom="1340" w:left="1740" w:right="1500"/>
        </w:sectPr>
      </w:pPr>
    </w:p>
    <w:p>
      <w:pPr>
        <w:pStyle w:val="BodyText"/>
        <w:spacing w:before="2"/>
        <w:rPr>
          <w:sz w:val="20"/>
        </w:rPr>
      </w:pPr>
    </w:p>
    <w:p>
      <w:pPr>
        <w:pStyle w:val="Heading3"/>
        <w:spacing w:line="491" w:lineRule="auto" w:before="91"/>
        <w:ind w:left="126" w:right="155" w:firstLine="5"/>
      </w:pPr>
      <w:r>
        <w:rPr>
          <w:w w:val="105"/>
        </w:rPr>
        <w:t>accordance with representations the government had previously made to the Court, which yielded</w:t>
      </w:r>
      <w:r>
        <w:rPr>
          <w:spacing w:val="-3"/>
          <w:w w:val="105"/>
        </w:rPr>
        <w:t> </w:t>
      </w:r>
      <w:r>
        <w:rPr>
          <w:w w:val="105"/>
        </w:rPr>
        <w:t>the</w:t>
      </w:r>
      <w:r>
        <w:rPr>
          <w:spacing w:val="-18"/>
          <w:w w:val="105"/>
        </w:rPr>
        <w:t> </w:t>
      </w:r>
      <w:r>
        <w:rPr>
          <w:w w:val="105"/>
        </w:rPr>
        <w:t>current</w:t>
      </w:r>
      <w:r>
        <w:rPr>
          <w:spacing w:val="-5"/>
          <w:w w:val="105"/>
        </w:rPr>
        <w:t> </w:t>
      </w:r>
      <w:r>
        <w:rPr>
          <w:w w:val="105"/>
        </w:rPr>
        <w:t>list</w:t>
      </w:r>
      <w:r>
        <w:rPr>
          <w:spacing w:val="-21"/>
          <w:w w:val="105"/>
        </w:rPr>
        <w:t> </w:t>
      </w:r>
      <w:r>
        <w:rPr>
          <w:w w:val="105"/>
        </w:rPr>
        <w:t>of</w:t>
      </w:r>
      <w:r>
        <w:rPr>
          <w:spacing w:val="-20"/>
          <w:w w:val="105"/>
        </w:rPr>
        <w:t> </w:t>
      </w:r>
      <w:r>
        <w:rPr>
          <w:w w:val="105"/>
        </w:rPr>
        <w:t>29</w:t>
      </w:r>
      <w:r>
        <w:rPr>
          <w:spacing w:val="-23"/>
          <w:w w:val="105"/>
        </w:rPr>
        <w:t> </w:t>
      </w:r>
      <w:r>
        <w:rPr>
          <w:w w:val="105"/>
        </w:rPr>
        <w:t>"taxpayer</w:t>
      </w:r>
      <w:r>
        <w:rPr>
          <w:spacing w:val="-13"/>
          <w:w w:val="105"/>
        </w:rPr>
        <w:t> </w:t>
      </w:r>
      <w:r>
        <w:rPr>
          <w:w w:val="105"/>
        </w:rPr>
        <w:t>group</w:t>
      </w:r>
      <w:r>
        <w:rPr>
          <w:spacing w:val="-16"/>
          <w:w w:val="105"/>
        </w:rPr>
        <w:t> </w:t>
      </w:r>
      <w:r>
        <w:rPr>
          <w:w w:val="105"/>
        </w:rPr>
        <w:t>transactions"</w:t>
      </w:r>
      <w:r>
        <w:rPr>
          <w:spacing w:val="-16"/>
          <w:w w:val="105"/>
        </w:rPr>
        <w:t> </w:t>
      </w:r>
      <w:r>
        <w:rPr>
          <w:w w:val="105"/>
        </w:rPr>
        <w:t>that</w:t>
      </w:r>
      <w:r>
        <w:rPr>
          <w:spacing w:val="-16"/>
          <w:w w:val="105"/>
        </w:rPr>
        <w:t> </w:t>
      </w:r>
      <w:r>
        <w:rPr>
          <w:w w:val="105"/>
        </w:rPr>
        <w:t>the</w:t>
      </w:r>
      <w:r>
        <w:rPr>
          <w:spacing w:val="-14"/>
          <w:w w:val="105"/>
        </w:rPr>
        <w:t> </w:t>
      </w:r>
      <w:r>
        <w:rPr>
          <w:w w:val="105"/>
        </w:rPr>
        <w:t>government</w:t>
      </w:r>
      <w:r>
        <w:rPr>
          <w:spacing w:val="-1"/>
          <w:w w:val="105"/>
        </w:rPr>
        <w:t> </w:t>
      </w:r>
      <w:r>
        <w:rPr>
          <w:w w:val="105"/>
        </w:rPr>
        <w:t>produced on December 29, 20 </w:t>
      </w:r>
      <w:r>
        <w:rPr/>
        <w:t>I</w:t>
      </w:r>
      <w:r>
        <w:rPr>
          <w:spacing w:val="-26"/>
        </w:rPr>
        <w:t> </w:t>
      </w:r>
      <w:r>
        <w:rPr>
          <w:w w:val="105"/>
        </w:rPr>
        <w:t>0.</w:t>
      </w:r>
    </w:p>
    <w:p>
      <w:pPr>
        <w:spacing w:line="489" w:lineRule="auto" w:before="11"/>
        <w:ind w:left="116" w:right="155" w:firstLine="1373"/>
        <w:jc w:val="left"/>
        <w:rPr>
          <w:sz w:val="22"/>
        </w:rPr>
      </w:pPr>
      <w:r>
        <w:rPr>
          <w:sz w:val="22"/>
        </w:rPr>
        <w:t>In reliance on the disclosures that trickled out last fall  about what transactions would really be at issue at trial, we have been painstakingly reviewing the unprecedented  volume of discovery to identify relevant documents.  For any transaction  or factual  issue,  it takes  weeks of searching among a myriad of disorganized collections  from  Jenkens &amp; Gilchrist, Deutsche Bank, outside accountants, taxpayers, the </w:t>
      </w:r>
      <w:r>
        <w:rPr>
          <w:b/>
          <w:sz w:val="23"/>
        </w:rPr>
        <w:t>IRS </w:t>
      </w:r>
      <w:r>
        <w:rPr>
          <w:sz w:val="22"/>
        </w:rPr>
        <w:t>and other sources, just to assemble the essential documents. Finding emails, memoranda  and  handwritten  notes related  to any specific factual issue requires diligence, creativity, some luck and, above all,</w:t>
      </w:r>
      <w:r>
        <w:rPr>
          <w:spacing w:val="40"/>
          <w:sz w:val="22"/>
        </w:rPr>
        <w:t> </w:t>
      </w:r>
      <w:r>
        <w:rPr>
          <w:sz w:val="22"/>
        </w:rPr>
        <w:t>time.</w:t>
      </w:r>
    </w:p>
    <w:p>
      <w:pPr>
        <w:spacing w:line="494" w:lineRule="auto" w:before="2"/>
        <w:ind w:left="107" w:right="155" w:firstLine="1377"/>
        <w:jc w:val="left"/>
        <w:rPr>
          <w:sz w:val="22"/>
        </w:rPr>
      </w:pPr>
      <w:r>
        <w:rPr>
          <w:sz w:val="22"/>
        </w:rPr>
        <w:t>If the government is allowed to interject allegations relating  to MLD at this late date, Mr. Brubaker will be unfairly prejudiced at trial. With approximately one month remaining before the trial is scheduled to begin,  the defense  cannot  meaningfully  prepare  to rebut any claims relating to MLD, a complicated  transaction  that  is distinct  from  the Short Sale, SOS, Swap and HOMER transactions that are at issue  in this case.  To do so,  we would  have  to start our trial preparation all over again  and  not only  re-comb  the 24-million-plus pages of discovery to identify any documents relevant to MLD, but also subpoena a host of third parties to ensure a complete factual record with respect to the</w:t>
      </w:r>
      <w:r>
        <w:rPr>
          <w:spacing w:val="33"/>
          <w:sz w:val="22"/>
        </w:rPr>
        <w:t> </w:t>
      </w:r>
      <w:r>
        <w:rPr>
          <w:sz w:val="22"/>
        </w:rPr>
        <w:t>transaction.</w:t>
      </w:r>
    </w:p>
    <w:p>
      <w:pPr>
        <w:spacing w:line="494" w:lineRule="auto" w:before="0"/>
        <w:ind w:left="102" w:right="155" w:firstLine="1366"/>
        <w:jc w:val="left"/>
        <w:rPr>
          <w:sz w:val="22"/>
        </w:rPr>
      </w:pPr>
      <w:r>
        <w:rPr>
          <w:sz w:val="22"/>
        </w:rPr>
        <w:t>The government's production does not include all of the relevant documents from Cantley </w:t>
      </w:r>
      <w:r>
        <w:rPr>
          <w:sz w:val="21"/>
        </w:rPr>
        <w:t>&amp; </w:t>
      </w:r>
      <w:r>
        <w:rPr>
          <w:sz w:val="22"/>
        </w:rPr>
        <w:t>Sedacca, the law firm that promoted the MLD transaction, Pryor Cashman and Bryan Cave, the two law firms that provided legal opinions relating to the transaction, or John Ivsan, another attorney who played an  important  role in structuring  MLI).  Nor does it include documents from Clarion Capital, the investment advisory and trading firm responsible</w:t>
      </w:r>
      <w:r>
        <w:rPr>
          <w:spacing w:val="-8"/>
          <w:sz w:val="22"/>
        </w:rPr>
        <w:t> </w:t>
      </w:r>
      <w:r>
        <w:rPr>
          <w:sz w:val="22"/>
        </w:rPr>
        <w:t>for</w:t>
      </w:r>
    </w:p>
    <w:p>
      <w:pPr>
        <w:spacing w:after="0" w:line="494" w:lineRule="auto"/>
        <w:jc w:val="left"/>
        <w:rPr>
          <w:sz w:val="22"/>
        </w:rPr>
        <w:sectPr>
          <w:headerReference w:type="default" r:id="rId20"/>
          <w:pgSz w:w="12340" w:h="15920"/>
          <w:pgMar w:header="810" w:footer="1150" w:top="1580" w:bottom="1340" w:left="1740" w:right="1540"/>
        </w:sectPr>
      </w:pPr>
    </w:p>
    <w:p>
      <w:pPr>
        <w:pStyle w:val="BodyText"/>
        <w:spacing w:before="7"/>
      </w:pPr>
    </w:p>
    <w:p>
      <w:pPr>
        <w:pStyle w:val="BodyText"/>
        <w:spacing w:line="516" w:lineRule="auto" w:before="91"/>
        <w:ind w:left="133" w:right="274" w:firstLine="13"/>
      </w:pPr>
      <w:r>
        <w:rPr>
          <w:w w:val="105"/>
        </w:rPr>
        <w:t>directing the underlying investments, or transaction documents from the two banks that executed the 183 individual trades. The production similarly does not include documents  from  the taxpayers who participated in the transaction or their independent advisors. Without these materials, the defense cannot fully appreciate, let alone convey  to the jury,  the context  of the </w:t>
      </w:r>
      <w:r>
        <w:rPr>
          <w:rFonts w:ascii="Arial"/>
          <w:w w:val="105"/>
        </w:rPr>
        <w:t>MU) </w:t>
      </w:r>
      <w:r>
        <w:rPr>
          <w:w w:val="105"/>
        </w:rPr>
        <w:t>evidence the government proposes to offer at</w:t>
      </w:r>
      <w:r>
        <w:rPr>
          <w:spacing w:val="-11"/>
          <w:w w:val="105"/>
        </w:rPr>
        <w:t> </w:t>
      </w:r>
      <w:r>
        <w:rPr>
          <w:w w:val="105"/>
        </w:rPr>
        <w:t>trial.</w:t>
      </w:r>
    </w:p>
    <w:p>
      <w:pPr>
        <w:pStyle w:val="BodyText"/>
        <w:spacing w:line="516" w:lineRule="auto"/>
        <w:ind w:left="132" w:right="274" w:firstLine="1381"/>
      </w:pPr>
      <w:r>
        <w:rPr>
          <w:w w:val="105"/>
          <w:sz w:val="22"/>
        </w:rPr>
        <w:t>It </w:t>
      </w:r>
      <w:r>
        <w:rPr>
          <w:w w:val="105"/>
        </w:rPr>
        <w:t>has taken more than a year and a half for the defense to prepare to meet the charges in the indictment. Even working at full capacity, it will be a tremendous struggle to be prepared at trial for the 29 transaction groups, 65 potential witnesses,  144 potential  co­ conspirator hearsay declarants, and 2,700 other potential  government  exhibits on the government's various lists. There simply is not enough time to add an entirely new non-Jenkens transaction to the mix.  Accordingly,  we respectfully  submit that the Court should  reject the MLD evidence for lack of notice under</w:t>
      </w:r>
      <w:r>
        <w:rPr>
          <w:spacing w:val="27"/>
          <w:w w:val="105"/>
        </w:rPr>
        <w:t> </w:t>
      </w:r>
      <w:r>
        <w:rPr>
          <w:w w:val="105"/>
        </w:rPr>
        <w:t>Rule 404(b).</w:t>
      </w:r>
    </w:p>
    <w:p>
      <w:pPr>
        <w:pStyle w:val="Heading4"/>
        <w:numPr>
          <w:ilvl w:val="0"/>
          <w:numId w:val="2"/>
        </w:numPr>
        <w:tabs>
          <w:tab w:pos="820" w:val="left" w:leader="none"/>
          <w:tab w:pos="821" w:val="left" w:leader="none"/>
        </w:tabs>
        <w:spacing w:line="239" w:lineRule="exact" w:before="0" w:after="0"/>
        <w:ind w:left="820" w:right="0" w:hanging="685"/>
        <w:jc w:val="left"/>
      </w:pPr>
      <w:r>
        <w:rPr>
          <w:w w:val="105"/>
        </w:rPr>
        <w:t>Admission of MLD Evidence Will Unduly Lengthen the Trial and Confuse the</w:t>
      </w:r>
      <w:r>
        <w:rPr>
          <w:spacing w:val="-38"/>
          <w:w w:val="105"/>
        </w:rPr>
        <w:t> </w:t>
      </w:r>
      <w:r>
        <w:rPr>
          <w:w w:val="105"/>
        </w:rPr>
        <w:t>Jury</w:t>
      </w:r>
    </w:p>
    <w:p>
      <w:pPr>
        <w:pStyle w:val="BodyText"/>
        <w:spacing w:before="1"/>
        <w:rPr>
          <w:b/>
        </w:rPr>
      </w:pPr>
    </w:p>
    <w:p>
      <w:pPr>
        <w:pStyle w:val="BodyText"/>
        <w:spacing w:line="518" w:lineRule="auto"/>
        <w:ind w:left="127" w:right="342" w:firstLine="1377"/>
      </w:pPr>
      <w:r>
        <w:rPr>
          <w:w w:val="105"/>
        </w:rPr>
        <w:t>Even if the government had complied with the notice requirements of Rule 404(6), evidence relating to MLD would still be inadmissible under Rule 403, because any conceivable relevance the evidence may have is vastly outweighed by the prejudicial effect of the "mini-trial" that will certainly result if the evidence is allowed.</w:t>
      </w:r>
    </w:p>
    <w:p>
      <w:pPr>
        <w:pStyle w:val="BodyText"/>
        <w:spacing w:line="513" w:lineRule="auto"/>
        <w:ind w:left="131" w:right="274" w:firstLine="1377"/>
      </w:pPr>
      <w:r>
        <w:rPr>
          <w:w w:val="105"/>
        </w:rPr>
        <w:t>Under Rule 403, courts have the discretion to exclude other act evidence if the probative value of the evidence is outweighed by its potential to confuse or mislead the jury or waste time. Fed. R. Evict. 403. Exercising that discretion, courts in this Circuit, including this Court, have repeatedly excluded other acts evidence under Rule 403 where the evidence would lead to a collateral litigation that would unduly prolong the trial and distract the jury from the main charges in the case. </w:t>
      </w:r>
      <w:r>
        <w:rPr>
          <w:i/>
          <w:w w:val="105"/>
          <w:sz w:val="22"/>
        </w:rPr>
        <w:t>See, e.g., United States v. Schatzle, </w:t>
      </w:r>
      <w:r>
        <w:rPr>
          <w:w w:val="105"/>
        </w:rPr>
        <w:t>901 F.2d 252,256 (2d Cir. 1990) (evidence properly excluded when "potential delay from allowing a mini-trial" outweighed</w:t>
      </w:r>
    </w:p>
    <w:p>
      <w:pPr>
        <w:spacing w:after="0" w:line="513" w:lineRule="auto"/>
        <w:sectPr>
          <w:headerReference w:type="default" r:id="rId21"/>
          <w:footerReference w:type="default" r:id="rId22"/>
          <w:pgSz w:w="12360" w:h="15940"/>
          <w:pgMar w:header="810" w:footer="1150" w:top="1580" w:bottom="1340" w:left="1740" w:right="1600"/>
          <w:pgNumType w:start="9"/>
        </w:sectPr>
      </w:pPr>
    </w:p>
    <w:p>
      <w:pPr>
        <w:pStyle w:val="BodyText"/>
        <w:spacing w:before="3"/>
        <w:rPr>
          <w:sz w:val="19"/>
        </w:rPr>
      </w:pPr>
    </w:p>
    <w:p>
      <w:pPr>
        <w:pStyle w:val="BodyText"/>
        <w:spacing w:line="508" w:lineRule="auto" w:before="91"/>
        <w:ind w:left="111" w:right="241" w:firstLine="24"/>
      </w:pPr>
      <w:r>
        <w:rPr>
          <w:w w:val="105"/>
        </w:rPr>
        <w:t>probative value); </w:t>
      </w:r>
      <w:r>
        <w:rPr>
          <w:i/>
          <w:w w:val="105"/>
          <w:sz w:val="22"/>
        </w:rPr>
        <w:t>United States v. Kahn, </w:t>
      </w:r>
      <w:r>
        <w:rPr>
          <w:w w:val="105"/>
        </w:rPr>
        <w:t>472 F.2d 272, 279 (2d Cir. 1973) (upholding exclusion of proffered evidence because it "presented  the very  real danger of degenerating  into a side trial"); </w:t>
      </w:r>
      <w:r>
        <w:rPr>
          <w:i/>
          <w:w w:val="105"/>
          <w:sz w:val="22"/>
        </w:rPr>
        <w:t>United States v. Fasciana, </w:t>
      </w:r>
      <w:r>
        <w:rPr>
          <w:w w:val="105"/>
        </w:rPr>
        <w:t>226 F. Supp. 2d 445, 459 (S.D.N.Y. 2002) (finding that "admission of evidence concerning [a prior similar act] will lead to a confusion of the issues and unduly lengthen the trial"); </w:t>
      </w:r>
      <w:r>
        <w:rPr>
          <w:i/>
          <w:w w:val="105"/>
          <w:sz w:val="22"/>
        </w:rPr>
        <w:t>United States v. Gardell, </w:t>
      </w:r>
      <w:r>
        <w:rPr>
          <w:w w:val="105"/>
        </w:rPr>
        <w:t>No. S4 00 CR. 632 (WHP), 2001 WL 1135948, at *6 (S.D.N.Y. Sept. 25, 2001) (precluding 404(b) evidence that would require defendant to submit proof to refute government's allegations, "assume disproportionate significance at trial, lead to a mini-trial ... and engender confusion</w:t>
      </w:r>
      <w:r>
        <w:rPr>
          <w:spacing w:val="-1"/>
          <w:w w:val="105"/>
        </w:rPr>
        <w:t> </w:t>
      </w:r>
      <w:r>
        <w:rPr>
          <w:w w:val="105"/>
        </w:rPr>
        <w:t>among the issues").</w:t>
      </w:r>
    </w:p>
    <w:p>
      <w:pPr>
        <w:pStyle w:val="BodyText"/>
        <w:spacing w:line="518" w:lineRule="auto" w:before="8"/>
        <w:ind w:left="113" w:right="10" w:firstLine="1371"/>
      </w:pPr>
      <w:r>
        <w:rPr>
          <w:w w:val="110"/>
        </w:rPr>
        <w:t>There</w:t>
      </w:r>
      <w:r>
        <w:rPr>
          <w:spacing w:val="-18"/>
          <w:w w:val="110"/>
        </w:rPr>
        <w:t> </w:t>
      </w:r>
      <w:r>
        <w:rPr>
          <w:w w:val="110"/>
        </w:rPr>
        <w:t>can</w:t>
      </w:r>
      <w:r>
        <w:rPr>
          <w:spacing w:val="-2"/>
          <w:w w:val="110"/>
        </w:rPr>
        <w:t> </w:t>
      </w:r>
      <w:r>
        <w:rPr>
          <w:w w:val="110"/>
        </w:rPr>
        <w:t>be</w:t>
      </w:r>
      <w:r>
        <w:rPr>
          <w:spacing w:val="-16"/>
          <w:w w:val="110"/>
        </w:rPr>
        <w:t> </w:t>
      </w:r>
      <w:r>
        <w:rPr>
          <w:w w:val="110"/>
        </w:rPr>
        <w:t>no</w:t>
      </w:r>
      <w:r>
        <w:rPr>
          <w:spacing w:val="-17"/>
          <w:w w:val="110"/>
        </w:rPr>
        <w:t> </w:t>
      </w:r>
      <w:r>
        <w:rPr>
          <w:w w:val="110"/>
        </w:rPr>
        <w:t>question</w:t>
      </w:r>
      <w:r>
        <w:rPr>
          <w:spacing w:val="-12"/>
          <w:w w:val="110"/>
        </w:rPr>
        <w:t> </w:t>
      </w:r>
      <w:r>
        <w:rPr>
          <w:w w:val="110"/>
        </w:rPr>
        <w:t>that</w:t>
      </w:r>
      <w:r>
        <w:rPr>
          <w:spacing w:val="-12"/>
          <w:w w:val="110"/>
        </w:rPr>
        <w:t> </w:t>
      </w:r>
      <w:r>
        <w:rPr>
          <w:w w:val="110"/>
        </w:rPr>
        <w:t>the</w:t>
      </w:r>
      <w:r>
        <w:rPr>
          <w:spacing w:val="-19"/>
          <w:w w:val="110"/>
        </w:rPr>
        <w:t> </w:t>
      </w:r>
      <w:r>
        <w:rPr>
          <w:w w:val="110"/>
        </w:rPr>
        <w:t>admission</w:t>
      </w:r>
      <w:r>
        <w:rPr>
          <w:spacing w:val="1"/>
          <w:w w:val="110"/>
        </w:rPr>
        <w:t> </w:t>
      </w:r>
      <w:r>
        <w:rPr>
          <w:w w:val="110"/>
        </w:rPr>
        <w:t>of</w:t>
      </w:r>
      <w:r>
        <w:rPr>
          <w:spacing w:val="-21"/>
          <w:w w:val="110"/>
        </w:rPr>
        <w:t> </w:t>
      </w:r>
      <w:r>
        <w:rPr>
          <w:w w:val="110"/>
        </w:rPr>
        <w:t>evidence</w:t>
      </w:r>
      <w:r>
        <w:rPr>
          <w:spacing w:val="-5"/>
          <w:w w:val="110"/>
        </w:rPr>
        <w:t> </w:t>
      </w:r>
      <w:r>
        <w:rPr>
          <w:w w:val="110"/>
        </w:rPr>
        <w:t>relating</w:t>
      </w:r>
      <w:r>
        <w:rPr>
          <w:spacing w:val="-12"/>
          <w:w w:val="110"/>
        </w:rPr>
        <w:t> </w:t>
      </w:r>
      <w:r>
        <w:rPr>
          <w:w w:val="110"/>
        </w:rPr>
        <w:t>to</w:t>
      </w:r>
      <w:r>
        <w:rPr>
          <w:spacing w:val="-15"/>
          <w:w w:val="110"/>
        </w:rPr>
        <w:t> </w:t>
      </w:r>
      <w:r>
        <w:rPr>
          <w:w w:val="110"/>
        </w:rPr>
        <w:t>MLD</w:t>
      </w:r>
      <w:r>
        <w:rPr>
          <w:spacing w:val="-16"/>
          <w:w w:val="110"/>
        </w:rPr>
        <w:t> </w:t>
      </w:r>
      <w:r>
        <w:rPr>
          <w:w w:val="110"/>
        </w:rPr>
        <w:t>will</w:t>
      </w:r>
      <w:r>
        <w:rPr>
          <w:spacing w:val="-7"/>
          <w:w w:val="110"/>
        </w:rPr>
        <w:t> </w:t>
      </w:r>
      <w:r>
        <w:rPr>
          <w:w w:val="110"/>
        </w:rPr>
        <w:t>lead to just such a "mini-trial" in this case. Even in the absence of such evidence, this case will be long and complicated. The indictment alleges that the Short Sale, SOS, Swaps and HOMER transactions generated unlawful tax losses for 931 taxpayer-clients who invested in them. In order to evaluate these claims, the jury will have to gain an understanding of the complex structure of each of these transactions and the financial instruments that lie at their</w:t>
      </w:r>
      <w:r>
        <w:rPr>
          <w:spacing w:val="-27"/>
          <w:w w:val="110"/>
        </w:rPr>
        <w:t> </w:t>
      </w:r>
      <w:r>
        <w:rPr>
          <w:w w:val="110"/>
        </w:rPr>
        <w:t>core.</w:t>
      </w:r>
    </w:p>
    <w:p>
      <w:pPr>
        <w:pStyle w:val="BodyText"/>
        <w:spacing w:line="516" w:lineRule="auto"/>
        <w:ind w:left="108" w:right="10" w:firstLine="9"/>
      </w:pPr>
      <w:r>
        <w:rPr>
          <w:w w:val="110"/>
        </w:rPr>
        <w:t>Moreover, because the government has alleged that the legal opinion letters relating to the four transactions, which indicated that the transactions were more likely than not to survive scrutiny by the IRS, contained fraudulent misrepresentations, the jury will have to decide whether the facts</w:t>
      </w:r>
      <w:r>
        <w:rPr>
          <w:spacing w:val="-8"/>
          <w:w w:val="110"/>
        </w:rPr>
        <w:t> </w:t>
      </w:r>
      <w:r>
        <w:rPr>
          <w:w w:val="110"/>
        </w:rPr>
        <w:t>in</w:t>
      </w:r>
      <w:r>
        <w:rPr>
          <w:spacing w:val="-7"/>
          <w:w w:val="110"/>
        </w:rPr>
        <w:t> </w:t>
      </w:r>
      <w:r>
        <w:rPr>
          <w:w w:val="110"/>
        </w:rPr>
        <w:t>the</w:t>
      </w:r>
      <w:r>
        <w:rPr>
          <w:spacing w:val="-17"/>
          <w:w w:val="110"/>
        </w:rPr>
        <w:t> </w:t>
      </w:r>
      <w:r>
        <w:rPr>
          <w:w w:val="110"/>
        </w:rPr>
        <w:t>opinion letters</w:t>
      </w:r>
      <w:r>
        <w:rPr>
          <w:spacing w:val="-15"/>
          <w:w w:val="110"/>
        </w:rPr>
        <w:t> </w:t>
      </w:r>
      <w:r>
        <w:rPr>
          <w:w w:val="110"/>
        </w:rPr>
        <w:t>correspond</w:t>
      </w:r>
      <w:r>
        <w:rPr>
          <w:spacing w:val="7"/>
          <w:w w:val="110"/>
        </w:rPr>
        <w:t> </w:t>
      </w:r>
      <w:r>
        <w:rPr>
          <w:w w:val="110"/>
        </w:rPr>
        <w:t>to</w:t>
      </w:r>
      <w:r>
        <w:rPr>
          <w:spacing w:val="-19"/>
          <w:w w:val="110"/>
        </w:rPr>
        <w:t> </w:t>
      </w:r>
      <w:r>
        <w:rPr>
          <w:w w:val="110"/>
        </w:rPr>
        <w:t>the</w:t>
      </w:r>
      <w:r>
        <w:rPr>
          <w:spacing w:val="-17"/>
          <w:w w:val="110"/>
        </w:rPr>
        <w:t> </w:t>
      </w:r>
      <w:r>
        <w:rPr>
          <w:w w:val="110"/>
        </w:rPr>
        <w:t>manner</w:t>
      </w:r>
      <w:r>
        <w:rPr>
          <w:spacing w:val="-3"/>
          <w:w w:val="110"/>
        </w:rPr>
        <w:t> </w:t>
      </w:r>
      <w:r>
        <w:rPr>
          <w:w w:val="110"/>
        </w:rPr>
        <w:t>in</w:t>
      </w:r>
      <w:r>
        <w:rPr>
          <w:spacing w:val="-11"/>
          <w:w w:val="110"/>
        </w:rPr>
        <w:t> </w:t>
      </w:r>
      <w:r>
        <w:rPr>
          <w:w w:val="110"/>
        </w:rPr>
        <w:t>which</w:t>
      </w:r>
      <w:r>
        <w:rPr>
          <w:spacing w:val="-6"/>
          <w:w w:val="110"/>
        </w:rPr>
        <w:t> </w:t>
      </w:r>
      <w:r>
        <w:rPr>
          <w:w w:val="110"/>
        </w:rPr>
        <w:t>the</w:t>
      </w:r>
      <w:r>
        <w:rPr>
          <w:spacing w:val="-20"/>
          <w:w w:val="110"/>
        </w:rPr>
        <w:t> </w:t>
      </w:r>
      <w:r>
        <w:rPr>
          <w:w w:val="110"/>
        </w:rPr>
        <w:t>transactions</w:t>
      </w:r>
      <w:r>
        <w:rPr>
          <w:spacing w:val="-1"/>
          <w:w w:val="110"/>
        </w:rPr>
        <w:t> </w:t>
      </w:r>
      <w:r>
        <w:rPr>
          <w:w w:val="110"/>
        </w:rPr>
        <w:t>were</w:t>
      </w:r>
      <w:r>
        <w:rPr>
          <w:spacing w:val="-17"/>
          <w:w w:val="110"/>
        </w:rPr>
        <w:t> </w:t>
      </w:r>
      <w:r>
        <w:rPr>
          <w:w w:val="110"/>
        </w:rPr>
        <w:t>executed.</w:t>
      </w:r>
      <w:r>
        <w:rPr>
          <w:spacing w:val="23"/>
          <w:w w:val="110"/>
        </w:rPr>
        <w:t> </w:t>
      </w:r>
      <w:r>
        <w:rPr>
          <w:w w:val="110"/>
        </w:rPr>
        <w:t>To reach</w:t>
      </w:r>
      <w:r>
        <w:rPr>
          <w:spacing w:val="-7"/>
          <w:w w:val="110"/>
        </w:rPr>
        <w:t> </w:t>
      </w:r>
      <w:r>
        <w:rPr>
          <w:w w:val="110"/>
        </w:rPr>
        <w:t>conclusions</w:t>
      </w:r>
      <w:r>
        <w:rPr>
          <w:spacing w:val="-7"/>
          <w:w w:val="110"/>
        </w:rPr>
        <w:t> </w:t>
      </w:r>
      <w:r>
        <w:rPr>
          <w:w w:val="110"/>
        </w:rPr>
        <w:t>on</w:t>
      </w:r>
      <w:r>
        <w:rPr>
          <w:spacing w:val="-12"/>
          <w:w w:val="110"/>
        </w:rPr>
        <w:t> </w:t>
      </w:r>
      <w:r>
        <w:rPr>
          <w:w w:val="110"/>
        </w:rPr>
        <w:t>these</w:t>
      </w:r>
      <w:r>
        <w:rPr>
          <w:spacing w:val="-7"/>
          <w:w w:val="110"/>
        </w:rPr>
        <w:t> </w:t>
      </w:r>
      <w:r>
        <w:rPr>
          <w:w w:val="110"/>
        </w:rPr>
        <w:t>issues,</w:t>
      </w:r>
      <w:r>
        <w:rPr>
          <w:spacing w:val="-13"/>
          <w:w w:val="110"/>
        </w:rPr>
        <w:t> </w:t>
      </w:r>
      <w:r>
        <w:rPr>
          <w:w w:val="110"/>
        </w:rPr>
        <w:t>the</w:t>
      </w:r>
      <w:r>
        <w:rPr>
          <w:spacing w:val="-19"/>
          <w:w w:val="110"/>
        </w:rPr>
        <w:t> </w:t>
      </w:r>
      <w:r>
        <w:rPr>
          <w:w w:val="110"/>
        </w:rPr>
        <w:t>jury</w:t>
      </w:r>
      <w:r>
        <w:rPr>
          <w:spacing w:val="-8"/>
          <w:w w:val="110"/>
        </w:rPr>
        <w:t> </w:t>
      </w:r>
      <w:r>
        <w:rPr>
          <w:w w:val="110"/>
        </w:rPr>
        <w:t>will</w:t>
      </w:r>
      <w:r>
        <w:rPr>
          <w:spacing w:val="-5"/>
          <w:w w:val="110"/>
        </w:rPr>
        <w:t> </w:t>
      </w:r>
      <w:r>
        <w:rPr>
          <w:w w:val="110"/>
        </w:rPr>
        <w:t>have</w:t>
      </w:r>
      <w:r>
        <w:rPr>
          <w:spacing w:val="-8"/>
          <w:w w:val="110"/>
        </w:rPr>
        <w:t> </w:t>
      </w:r>
      <w:r>
        <w:rPr>
          <w:w w:val="110"/>
        </w:rPr>
        <w:t>to</w:t>
      </w:r>
      <w:r>
        <w:rPr>
          <w:spacing w:val="-20"/>
          <w:w w:val="110"/>
        </w:rPr>
        <w:t> </w:t>
      </w:r>
      <w:r>
        <w:rPr>
          <w:w w:val="110"/>
        </w:rPr>
        <w:t>analyze</w:t>
      </w:r>
      <w:r>
        <w:rPr>
          <w:spacing w:val="-10"/>
          <w:w w:val="110"/>
        </w:rPr>
        <w:t> </w:t>
      </w:r>
      <w:r>
        <w:rPr>
          <w:w w:val="110"/>
        </w:rPr>
        <w:t>the</w:t>
      </w:r>
      <w:r>
        <w:rPr>
          <w:spacing w:val="-18"/>
          <w:w w:val="110"/>
        </w:rPr>
        <w:t> </w:t>
      </w:r>
      <w:r>
        <w:rPr>
          <w:w w:val="110"/>
        </w:rPr>
        <w:t>testimony</w:t>
      </w:r>
      <w:r>
        <w:rPr>
          <w:spacing w:val="-1"/>
          <w:w w:val="110"/>
        </w:rPr>
        <w:t> </w:t>
      </w:r>
      <w:r>
        <w:rPr>
          <w:w w:val="110"/>
        </w:rPr>
        <w:t>of</w:t>
      </w:r>
      <w:r>
        <w:rPr>
          <w:spacing w:val="-15"/>
          <w:w w:val="110"/>
        </w:rPr>
        <w:t> </w:t>
      </w:r>
      <w:r>
        <w:rPr>
          <w:w w:val="110"/>
        </w:rPr>
        <w:t>the</w:t>
      </w:r>
      <w:r>
        <w:rPr>
          <w:spacing w:val="-16"/>
          <w:w w:val="110"/>
        </w:rPr>
        <w:t> </w:t>
      </w:r>
      <w:r>
        <w:rPr>
          <w:w w:val="110"/>
        </w:rPr>
        <w:t>65</w:t>
      </w:r>
      <w:r>
        <w:rPr>
          <w:spacing w:val="-10"/>
          <w:w w:val="110"/>
        </w:rPr>
        <w:t> </w:t>
      </w:r>
      <w:r>
        <w:rPr>
          <w:w w:val="110"/>
        </w:rPr>
        <w:t>witnesses and</w:t>
      </w:r>
      <w:r>
        <w:rPr>
          <w:spacing w:val="-9"/>
          <w:w w:val="110"/>
        </w:rPr>
        <w:t> </w:t>
      </w:r>
      <w:r>
        <w:rPr>
          <w:w w:val="110"/>
        </w:rPr>
        <w:t>60,000</w:t>
      </w:r>
      <w:r>
        <w:rPr>
          <w:spacing w:val="-3"/>
          <w:w w:val="110"/>
        </w:rPr>
        <w:t> </w:t>
      </w:r>
      <w:r>
        <w:rPr>
          <w:w w:val="110"/>
        </w:rPr>
        <w:t>pages</w:t>
      </w:r>
      <w:r>
        <w:rPr>
          <w:spacing w:val="-14"/>
          <w:w w:val="110"/>
        </w:rPr>
        <w:t> </w:t>
      </w:r>
      <w:r>
        <w:rPr>
          <w:w w:val="110"/>
        </w:rPr>
        <w:t>of</w:t>
      </w:r>
      <w:r>
        <w:rPr>
          <w:spacing w:val="-16"/>
          <w:w w:val="110"/>
        </w:rPr>
        <w:t> </w:t>
      </w:r>
      <w:r>
        <w:rPr>
          <w:w w:val="110"/>
        </w:rPr>
        <w:t>exhibits</w:t>
      </w:r>
      <w:r>
        <w:rPr>
          <w:spacing w:val="-11"/>
          <w:w w:val="110"/>
        </w:rPr>
        <w:t> </w:t>
      </w:r>
      <w:r>
        <w:rPr>
          <w:w w:val="110"/>
        </w:rPr>
        <w:t>the</w:t>
      </w:r>
      <w:r>
        <w:rPr>
          <w:spacing w:val="-14"/>
          <w:w w:val="110"/>
        </w:rPr>
        <w:t> </w:t>
      </w:r>
      <w:r>
        <w:rPr>
          <w:w w:val="110"/>
        </w:rPr>
        <w:t>government</w:t>
      </w:r>
      <w:r>
        <w:rPr>
          <w:spacing w:val="-1"/>
          <w:w w:val="110"/>
        </w:rPr>
        <w:t> </w:t>
      </w:r>
      <w:r>
        <w:rPr>
          <w:w w:val="110"/>
        </w:rPr>
        <w:t>intends</w:t>
      </w:r>
      <w:r>
        <w:rPr>
          <w:spacing w:val="-8"/>
          <w:w w:val="110"/>
        </w:rPr>
        <w:t> </w:t>
      </w:r>
      <w:r>
        <w:rPr>
          <w:w w:val="110"/>
        </w:rPr>
        <w:t>to</w:t>
      </w:r>
      <w:r>
        <w:rPr>
          <w:spacing w:val="-14"/>
          <w:w w:val="110"/>
        </w:rPr>
        <w:t> </w:t>
      </w:r>
      <w:r>
        <w:rPr>
          <w:w w:val="110"/>
        </w:rPr>
        <w:t>offer</w:t>
      </w:r>
      <w:r>
        <w:rPr>
          <w:spacing w:val="-13"/>
          <w:w w:val="110"/>
        </w:rPr>
        <w:t> </w:t>
      </w:r>
      <w:r>
        <w:rPr>
          <w:w w:val="110"/>
        </w:rPr>
        <w:t>at</w:t>
      </w:r>
      <w:r>
        <w:rPr>
          <w:spacing w:val="-15"/>
          <w:w w:val="110"/>
        </w:rPr>
        <w:t> </w:t>
      </w:r>
      <w:r>
        <w:rPr>
          <w:w w:val="110"/>
        </w:rPr>
        <w:t>trial</w:t>
      </w:r>
      <w:r>
        <w:rPr>
          <w:spacing w:val="-8"/>
          <w:w w:val="110"/>
        </w:rPr>
        <w:t> </w:t>
      </w:r>
      <w:r>
        <w:rPr>
          <w:w w:val="110"/>
        </w:rPr>
        <w:t>and</w:t>
      </w:r>
      <w:r>
        <w:rPr>
          <w:spacing w:val="-2"/>
          <w:w w:val="110"/>
        </w:rPr>
        <w:t> </w:t>
      </w:r>
      <w:r>
        <w:rPr>
          <w:w w:val="110"/>
        </w:rPr>
        <w:t>also</w:t>
      </w:r>
      <w:r>
        <w:rPr>
          <w:spacing w:val="-15"/>
          <w:w w:val="110"/>
        </w:rPr>
        <w:t> </w:t>
      </w:r>
      <w:r>
        <w:rPr>
          <w:w w:val="110"/>
        </w:rPr>
        <w:t>weigh</w:t>
      </w:r>
      <w:r>
        <w:rPr>
          <w:spacing w:val="-6"/>
          <w:w w:val="110"/>
        </w:rPr>
        <w:t> </w:t>
      </w:r>
      <w:r>
        <w:rPr>
          <w:w w:val="110"/>
        </w:rPr>
        <w:t>any</w:t>
      </w:r>
      <w:r>
        <w:rPr>
          <w:spacing w:val="-12"/>
          <w:w w:val="110"/>
        </w:rPr>
        <w:t> </w:t>
      </w:r>
      <w:r>
        <w:rPr>
          <w:w w:val="110"/>
        </w:rPr>
        <w:t>evidence introduced by the defense to rebut the indictment's</w:t>
      </w:r>
      <w:r>
        <w:rPr>
          <w:spacing w:val="13"/>
          <w:w w:val="110"/>
        </w:rPr>
        <w:t> </w:t>
      </w:r>
      <w:r>
        <w:rPr>
          <w:w w:val="110"/>
        </w:rPr>
        <w:t>claims.</w:t>
      </w:r>
    </w:p>
    <w:p>
      <w:pPr>
        <w:pStyle w:val="BodyText"/>
        <w:spacing w:line="506" w:lineRule="auto" w:before="2"/>
        <w:ind w:left="112" w:right="241" w:firstLine="1382"/>
      </w:pPr>
      <w:r>
        <w:rPr>
          <w:w w:val="110"/>
        </w:rPr>
        <w:t>In the face of similar circumstances, Judge Kaplan precluded the government from</w:t>
      </w:r>
      <w:r>
        <w:rPr>
          <w:spacing w:val="-12"/>
          <w:w w:val="110"/>
        </w:rPr>
        <w:t> </w:t>
      </w:r>
      <w:r>
        <w:rPr>
          <w:w w:val="110"/>
        </w:rPr>
        <w:t>introducing</w:t>
      </w:r>
      <w:r>
        <w:rPr>
          <w:spacing w:val="-12"/>
          <w:w w:val="110"/>
        </w:rPr>
        <w:t> </w:t>
      </w:r>
      <w:r>
        <w:rPr>
          <w:w w:val="110"/>
        </w:rPr>
        <w:t>evidence</w:t>
      </w:r>
      <w:r>
        <w:rPr>
          <w:spacing w:val="-18"/>
          <w:w w:val="110"/>
        </w:rPr>
        <w:t> </w:t>
      </w:r>
      <w:r>
        <w:rPr>
          <w:w w:val="110"/>
        </w:rPr>
        <w:t>of</w:t>
      </w:r>
      <w:r>
        <w:rPr>
          <w:spacing w:val="-22"/>
          <w:w w:val="110"/>
        </w:rPr>
        <w:t> </w:t>
      </w:r>
      <w:r>
        <w:rPr>
          <w:w w:val="110"/>
        </w:rPr>
        <w:t>uncharged</w:t>
      </w:r>
      <w:r>
        <w:rPr>
          <w:spacing w:val="-11"/>
          <w:w w:val="110"/>
        </w:rPr>
        <w:t> </w:t>
      </w:r>
      <w:r>
        <w:rPr>
          <w:w w:val="110"/>
        </w:rPr>
        <w:t>tax-shelters</w:t>
      </w:r>
      <w:r>
        <w:rPr>
          <w:spacing w:val="-10"/>
          <w:w w:val="110"/>
        </w:rPr>
        <w:t> </w:t>
      </w:r>
      <w:r>
        <w:rPr>
          <w:w w:val="110"/>
        </w:rPr>
        <w:t>in</w:t>
      </w:r>
      <w:r>
        <w:rPr>
          <w:spacing w:val="-17"/>
          <w:w w:val="110"/>
        </w:rPr>
        <w:t> </w:t>
      </w:r>
      <w:r>
        <w:rPr>
          <w:i/>
          <w:w w:val="110"/>
          <w:sz w:val="22"/>
        </w:rPr>
        <w:t>United</w:t>
      </w:r>
      <w:r>
        <w:rPr>
          <w:i/>
          <w:spacing w:val="-21"/>
          <w:w w:val="110"/>
          <w:sz w:val="22"/>
        </w:rPr>
        <w:t> </w:t>
      </w:r>
      <w:r>
        <w:rPr>
          <w:i/>
          <w:w w:val="110"/>
          <w:sz w:val="22"/>
        </w:rPr>
        <w:t>States</w:t>
      </w:r>
      <w:r>
        <w:rPr>
          <w:i/>
          <w:spacing w:val="-22"/>
          <w:w w:val="110"/>
          <w:sz w:val="22"/>
        </w:rPr>
        <w:t> </w:t>
      </w:r>
      <w:r>
        <w:rPr>
          <w:i/>
          <w:w w:val="110"/>
          <w:sz w:val="22"/>
        </w:rPr>
        <w:t>v.</w:t>
      </w:r>
      <w:r>
        <w:rPr>
          <w:i/>
          <w:spacing w:val="-30"/>
          <w:w w:val="110"/>
          <w:sz w:val="22"/>
        </w:rPr>
        <w:t> </w:t>
      </w:r>
      <w:r>
        <w:rPr>
          <w:i/>
          <w:w w:val="110"/>
          <w:sz w:val="22"/>
        </w:rPr>
        <w:t>Stein,</w:t>
      </w:r>
      <w:r>
        <w:rPr>
          <w:i/>
          <w:spacing w:val="-29"/>
          <w:w w:val="110"/>
          <w:sz w:val="22"/>
        </w:rPr>
        <w:t> </w:t>
      </w:r>
      <w:r>
        <w:rPr>
          <w:w w:val="110"/>
        </w:rPr>
        <w:t>521</w:t>
      </w:r>
      <w:r>
        <w:rPr>
          <w:spacing w:val="-9"/>
          <w:w w:val="110"/>
        </w:rPr>
        <w:t> </w:t>
      </w:r>
      <w:r>
        <w:rPr>
          <w:w w:val="110"/>
        </w:rPr>
        <w:t>F.</w:t>
      </w:r>
      <w:r>
        <w:rPr>
          <w:spacing w:val="-24"/>
          <w:w w:val="110"/>
        </w:rPr>
        <w:t> </w:t>
      </w:r>
      <w:r>
        <w:rPr>
          <w:w w:val="110"/>
        </w:rPr>
        <w:t>Supp.</w:t>
      </w:r>
      <w:r>
        <w:rPr>
          <w:spacing w:val="-22"/>
          <w:w w:val="110"/>
        </w:rPr>
        <w:t> </w:t>
      </w:r>
      <w:r>
        <w:rPr>
          <w:w w:val="110"/>
        </w:rPr>
        <w:t>2d</w:t>
      </w:r>
    </w:p>
    <w:p>
      <w:pPr>
        <w:spacing w:after="0" w:line="506" w:lineRule="auto"/>
        <w:sectPr>
          <w:headerReference w:type="default" r:id="rId23"/>
          <w:pgSz w:w="12350" w:h="15920"/>
          <w:pgMar w:header="800" w:footer="1150" w:top="1580" w:bottom="1360" w:left="1740" w:right="1520"/>
        </w:sectPr>
      </w:pPr>
    </w:p>
    <w:p>
      <w:pPr>
        <w:pStyle w:val="BodyText"/>
        <w:spacing w:before="11"/>
        <w:rPr>
          <w:sz w:val="18"/>
        </w:rPr>
      </w:pPr>
    </w:p>
    <w:p>
      <w:pPr>
        <w:pStyle w:val="BodyText"/>
        <w:spacing w:line="513" w:lineRule="auto" w:before="91"/>
        <w:ind w:left="128" w:right="129" w:firstLine="12"/>
      </w:pPr>
      <w:r>
        <w:rPr>
          <w:w w:val="110"/>
        </w:rPr>
        <w:t>266, 270-71 (S.D.N.Y. 2007). Although the government had argued (on proper notice to the defendants) that the evidence was admissible to show knowledge or intent and to show the relationship</w:t>
      </w:r>
      <w:r>
        <w:rPr>
          <w:spacing w:val="-20"/>
          <w:w w:val="110"/>
        </w:rPr>
        <w:t> </w:t>
      </w:r>
      <w:r>
        <w:rPr>
          <w:w w:val="110"/>
        </w:rPr>
        <w:t>among</w:t>
      </w:r>
      <w:r>
        <w:rPr>
          <w:spacing w:val="-20"/>
          <w:w w:val="110"/>
        </w:rPr>
        <w:t> </w:t>
      </w:r>
      <w:r>
        <w:rPr>
          <w:w w:val="110"/>
        </w:rPr>
        <w:t>co-conspirators,</w:t>
      </w:r>
      <w:r>
        <w:rPr>
          <w:spacing w:val="-26"/>
          <w:w w:val="110"/>
        </w:rPr>
        <w:t> </w:t>
      </w:r>
      <w:r>
        <w:rPr>
          <w:w w:val="110"/>
        </w:rPr>
        <w:t>Judge</w:t>
      </w:r>
      <w:r>
        <w:rPr>
          <w:spacing w:val="-15"/>
          <w:w w:val="110"/>
        </w:rPr>
        <w:t> </w:t>
      </w:r>
      <w:r>
        <w:rPr>
          <w:w w:val="110"/>
        </w:rPr>
        <w:t>Kaplan</w:t>
      </w:r>
      <w:r>
        <w:rPr>
          <w:spacing w:val="-6"/>
          <w:w w:val="110"/>
        </w:rPr>
        <w:t> </w:t>
      </w:r>
      <w:r>
        <w:rPr>
          <w:w w:val="110"/>
        </w:rPr>
        <w:t>excluded</w:t>
      </w:r>
      <w:r>
        <w:rPr>
          <w:spacing w:val="-3"/>
          <w:w w:val="110"/>
        </w:rPr>
        <w:t> </w:t>
      </w:r>
      <w:r>
        <w:rPr>
          <w:w w:val="110"/>
        </w:rPr>
        <w:t>the</w:t>
      </w:r>
      <w:r>
        <w:rPr>
          <w:spacing w:val="-20"/>
          <w:w w:val="110"/>
        </w:rPr>
        <w:t> </w:t>
      </w:r>
      <w:r>
        <w:rPr>
          <w:w w:val="110"/>
        </w:rPr>
        <w:t>evidence,</w:t>
      </w:r>
      <w:r>
        <w:rPr>
          <w:spacing w:val="-12"/>
          <w:w w:val="110"/>
        </w:rPr>
        <w:t> </w:t>
      </w:r>
      <w:r>
        <w:rPr>
          <w:w w:val="110"/>
        </w:rPr>
        <w:t>finding</w:t>
      </w:r>
      <w:r>
        <w:rPr>
          <w:spacing w:val="-15"/>
          <w:w w:val="110"/>
        </w:rPr>
        <w:t> </w:t>
      </w:r>
      <w:r>
        <w:rPr>
          <w:w w:val="110"/>
        </w:rPr>
        <w:t>that</w:t>
      </w:r>
      <w:r>
        <w:rPr>
          <w:spacing w:val="-14"/>
          <w:w w:val="110"/>
        </w:rPr>
        <w:t> </w:t>
      </w:r>
      <w:r>
        <w:rPr>
          <w:w w:val="110"/>
        </w:rPr>
        <w:t>it</w:t>
      </w:r>
      <w:r>
        <w:rPr>
          <w:spacing w:val="-28"/>
          <w:w w:val="110"/>
        </w:rPr>
        <w:t> </w:t>
      </w:r>
      <w:r>
        <w:rPr>
          <w:w w:val="110"/>
        </w:rPr>
        <w:t>"risk[ed] confusion of the issues and undue delay" and was "likely to divert the jury's attention from the charged transactions, which [were] sufficiently complicated in themselves." </w:t>
      </w:r>
      <w:r>
        <w:rPr>
          <w:i/>
          <w:w w:val="110"/>
          <w:sz w:val="22"/>
        </w:rPr>
        <w:t>Id. </w:t>
      </w:r>
      <w:r>
        <w:rPr>
          <w:w w:val="110"/>
        </w:rPr>
        <w:t>The same is true here. The evidence relating to MLD should be excluded to "ensure that this case is presented in an understandable and finite way to the jury." (Aug. 2, 20 l 0 Tr. at</w:t>
      </w:r>
      <w:r>
        <w:rPr>
          <w:spacing w:val="-27"/>
          <w:w w:val="110"/>
        </w:rPr>
        <w:t> </w:t>
      </w:r>
      <w:r>
        <w:rPr>
          <w:w w:val="110"/>
        </w:rPr>
        <w:t>55).</w:t>
      </w:r>
    </w:p>
    <w:p>
      <w:pPr>
        <w:pStyle w:val="BodyText"/>
        <w:spacing w:line="511" w:lineRule="auto"/>
        <w:ind w:left="123" w:right="235" w:firstLine="1381"/>
      </w:pPr>
      <w:r>
        <w:rPr>
          <w:w w:val="105"/>
          <w:sz w:val="23"/>
        </w:rPr>
        <w:t>If </w:t>
      </w:r>
      <w:r>
        <w:rPr>
          <w:w w:val="105"/>
        </w:rPr>
        <w:t>the government is also allowed to raise questions regarding the origin, structure, or economics of the MLD transaction, the length and the complexity of this case will expand dramatically, because Mr. Brubaker will have "to mount a substantial defense to refute those allegations." </w:t>
      </w:r>
      <w:r>
        <w:rPr>
          <w:i/>
          <w:w w:val="105"/>
          <w:sz w:val="22"/>
        </w:rPr>
        <w:t>Gare/ell, </w:t>
      </w:r>
      <w:r>
        <w:rPr>
          <w:w w:val="105"/>
        </w:rPr>
        <w:t>2001 WL 1135948, at *6. Such a defense would include, at a minimum, evidence relating to Deutsche Bank's approval of the transaction,  as well  as certain communications by various lawyers, accountants and advisors who expressed an opinion on the appropriate structure and tax treatment of the transaction. Not only would such evidence unnecessarily prolong this trial, but it would also distract the jury from  the four transactions  that are actually at issue in this case and multiply the number of complex factual</w:t>
      </w:r>
      <w:r>
        <w:rPr>
          <w:spacing w:val="-9"/>
          <w:w w:val="105"/>
        </w:rPr>
        <w:t> </w:t>
      </w:r>
      <w:r>
        <w:rPr>
          <w:w w:val="105"/>
        </w:rPr>
        <w:t>issues the jury must</w:t>
      </w:r>
    </w:p>
    <w:p>
      <w:pPr>
        <w:pStyle w:val="BodyText"/>
        <w:ind w:left="129"/>
      </w:pPr>
      <w:r>
        <w:rPr>
          <w:w w:val="105"/>
        </w:rPr>
        <w:t>resolve.</w:t>
      </w:r>
    </w:p>
    <w:p>
      <w:pPr>
        <w:pStyle w:val="BodyText"/>
        <w:spacing w:before="6"/>
        <w:rPr>
          <w:sz w:val="23"/>
        </w:rPr>
      </w:pPr>
    </w:p>
    <w:p>
      <w:pPr>
        <w:pStyle w:val="BodyText"/>
        <w:spacing w:line="511" w:lineRule="auto" w:before="1"/>
        <w:ind w:left="118" w:right="117" w:firstLine="1379"/>
      </w:pPr>
      <w:r>
        <w:rPr>
          <w:w w:val="105"/>
        </w:rPr>
        <w:t>Moreover,  at this late date,  we cannot  plausibly  be in a position to address MLD at trial without several additional months of preparation. We would need to serve subpoenas on Cantley </w:t>
      </w:r>
      <w:r>
        <w:rPr>
          <w:w w:val="105"/>
          <w:sz w:val="22"/>
        </w:rPr>
        <w:t>&amp; </w:t>
      </w:r>
      <w:r>
        <w:rPr>
          <w:w w:val="105"/>
        </w:rPr>
        <w:t>Sedacca and the other law firms that wrote opinion letters opining that MLD was legal and proper under the tax laws, litigate potential privilege issues, attempt to interview witnesses, re-comb the existing discovery, synthesize  the information  and  prepare again  for trial.  It would be the height of unfairness for the government to inject </w:t>
      </w:r>
      <w:r>
        <w:rPr>
          <w:rFonts w:ascii="Arial"/>
          <w:w w:val="105"/>
        </w:rPr>
        <w:t>MLI) </w:t>
      </w:r>
      <w:r>
        <w:rPr>
          <w:w w:val="105"/>
        </w:rPr>
        <w:t>into the trial at the last minute</w:t>
      </w:r>
      <w:r>
        <w:rPr>
          <w:spacing w:val="-15"/>
          <w:w w:val="105"/>
        </w:rPr>
        <w:t> </w:t>
      </w:r>
      <w:r>
        <w:rPr>
          <w:w w:val="105"/>
        </w:rPr>
        <w:t>and</w:t>
      </w:r>
    </w:p>
    <w:p>
      <w:pPr>
        <w:spacing w:after="0" w:line="511" w:lineRule="auto"/>
        <w:sectPr>
          <w:headerReference w:type="default" r:id="rId24"/>
          <w:pgSz w:w="12330" w:h="15910"/>
          <w:pgMar w:header="781" w:footer="1150" w:top="1580" w:bottom="1340" w:left="1720" w:right="1500"/>
        </w:sectPr>
      </w:pPr>
    </w:p>
    <w:p>
      <w:pPr>
        <w:pStyle w:val="BodyText"/>
        <w:spacing w:before="4"/>
        <w:rPr>
          <w:sz w:val="17"/>
        </w:rPr>
      </w:pPr>
    </w:p>
    <w:p>
      <w:pPr>
        <w:pStyle w:val="BodyText"/>
        <w:spacing w:line="520" w:lineRule="auto" w:before="91"/>
        <w:ind w:left="108" w:right="125" w:hanging="4"/>
      </w:pPr>
      <w:r>
        <w:rPr>
          <w:w w:val="105"/>
        </w:rPr>
        <w:t>thereby deprive the defense of any meaningful opportunity to prepare to rebut myriad  new factual and legal arguments. Accordingly, MLD evidence should be excluded under Rule</w:t>
      </w:r>
      <w:r>
        <w:rPr>
          <w:spacing w:val="-20"/>
          <w:w w:val="105"/>
        </w:rPr>
        <w:t> </w:t>
      </w:r>
      <w:r>
        <w:rPr>
          <w:w w:val="105"/>
        </w:rPr>
        <w:t>403.</w:t>
      </w:r>
    </w:p>
    <w:p>
      <w:pPr>
        <w:spacing w:after="0" w:line="520" w:lineRule="auto"/>
        <w:sectPr>
          <w:headerReference w:type="default" r:id="rId25"/>
          <w:pgSz w:w="12310" w:h="15900"/>
          <w:pgMar w:header="753" w:footer="1150" w:top="1560" w:bottom="1360" w:left="1720" w:right="1740"/>
        </w:sectPr>
      </w:pPr>
    </w:p>
    <w:p>
      <w:pPr>
        <w:pStyle w:val="BodyText"/>
        <w:spacing w:before="9"/>
        <w:rPr>
          <w:sz w:val="17"/>
        </w:rPr>
      </w:pPr>
    </w:p>
    <w:p>
      <w:pPr>
        <w:pStyle w:val="Heading4"/>
        <w:spacing w:before="92"/>
        <w:ind w:left="3809"/>
      </w:pPr>
      <w:r>
        <w:rPr>
          <w:w w:val="105"/>
        </w:rPr>
        <w:t>CONCLUSION</w:t>
      </w:r>
    </w:p>
    <w:p>
      <w:pPr>
        <w:pStyle w:val="BodyText"/>
        <w:spacing w:before="3"/>
        <w:rPr>
          <w:b/>
          <w:sz w:val="23"/>
        </w:rPr>
      </w:pPr>
    </w:p>
    <w:p>
      <w:pPr>
        <w:pStyle w:val="BodyText"/>
        <w:spacing w:line="506" w:lineRule="auto"/>
        <w:ind w:left="133" w:firstLine="1368"/>
      </w:pPr>
      <w:r>
        <w:rPr>
          <w:w w:val="105"/>
        </w:rPr>
        <w:t>For the foregoing reasons, we respectfully request that this motion </w:t>
      </w:r>
      <w:r>
        <w:rPr>
          <w:i/>
          <w:w w:val="105"/>
          <w:sz w:val="22"/>
        </w:rPr>
        <w:t>in limine </w:t>
      </w:r>
      <w:r>
        <w:rPr>
          <w:w w:val="105"/>
        </w:rPr>
        <w:t>to preclude the government from introducing any evidence relating to the MLD transaction be granted.</w:t>
      </w:r>
    </w:p>
    <w:p>
      <w:pPr>
        <w:pStyle w:val="BodyText"/>
        <w:tabs>
          <w:tab w:pos="1498" w:val="left" w:leader="none"/>
        </w:tabs>
        <w:spacing w:line="261" w:lineRule="auto" w:before="14"/>
        <w:ind w:left="1495" w:right="5315" w:hanging="1355"/>
      </w:pPr>
      <w:r>
        <w:rPr>
          <w:w w:val="105"/>
        </w:rPr>
        <w:t>Dated:</w:t>
        <w:tab/>
        <w:tab/>
        <w:t>New York, New York January 27,</w:t>
      </w:r>
      <w:r>
        <w:rPr>
          <w:spacing w:val="-33"/>
          <w:w w:val="105"/>
        </w:rPr>
        <w:t> </w:t>
      </w:r>
      <w:r>
        <w:rPr>
          <w:w w:val="105"/>
        </w:rPr>
        <w:t>2011</w:t>
      </w:r>
    </w:p>
    <w:p>
      <w:pPr>
        <w:pStyle w:val="BodyText"/>
        <w:spacing w:before="4"/>
        <w:rPr>
          <w:sz w:val="22"/>
        </w:rPr>
      </w:pPr>
    </w:p>
    <w:p>
      <w:pPr>
        <w:pStyle w:val="BodyText"/>
        <w:ind w:left="131"/>
      </w:pPr>
      <w:r>
        <w:rPr>
          <w:w w:val="105"/>
        </w:rPr>
        <w:t>Respectfully submitted,</w:t>
      </w:r>
    </w:p>
    <w:p>
      <w:pPr>
        <w:pStyle w:val="BodyText"/>
        <w:spacing w:before="5"/>
        <w:rPr>
          <w:sz w:val="15"/>
        </w:rPr>
      </w:pPr>
    </w:p>
    <w:p>
      <w:pPr>
        <w:spacing w:after="0"/>
        <w:rPr>
          <w:sz w:val="15"/>
        </w:rPr>
        <w:sectPr>
          <w:headerReference w:type="default" r:id="rId26"/>
          <w:pgSz w:w="12310" w:h="15890"/>
          <w:pgMar w:header="762" w:footer="1150" w:top="1560" w:bottom="1360" w:left="1740" w:right="1740"/>
        </w:sectPr>
      </w:pPr>
    </w:p>
    <w:p>
      <w:pPr>
        <w:pStyle w:val="Heading4"/>
        <w:spacing w:before="91"/>
      </w:pPr>
      <w:r>
        <w:rPr>
          <w:b w:val="0"/>
          <w:w w:val="105"/>
          <w:sz w:val="22"/>
          <w:u w:val="thick"/>
        </w:rPr>
        <w:t>s/ </w:t>
      </w:r>
      <w:r>
        <w:rPr>
          <w:w w:val="105"/>
          <w:u w:val="thick"/>
        </w:rPr>
        <w:t>Barry H. Berke</w:t>
      </w:r>
    </w:p>
    <w:p>
      <w:pPr>
        <w:pStyle w:val="BodyText"/>
        <w:spacing w:line="256" w:lineRule="auto" w:before="20"/>
        <w:ind w:left="131" w:right="1476" w:hanging="10"/>
      </w:pPr>
      <w:r>
        <w:rPr>
          <w:w w:val="105"/>
        </w:rPr>
        <w:t>Barry H. Berke Paul </w:t>
      </w:r>
      <w:r>
        <w:rPr>
          <w:rFonts w:ascii="Arial"/>
          <w:b/>
          <w:w w:val="105"/>
        </w:rPr>
        <w:t>H. </w:t>
      </w:r>
      <w:r>
        <w:rPr>
          <w:w w:val="105"/>
        </w:rPr>
        <w:t>Schoeman</w:t>
      </w:r>
    </w:p>
    <w:p>
      <w:pPr>
        <w:pStyle w:val="BodyText"/>
        <w:spacing w:line="245" w:lineRule="exact"/>
        <w:ind w:left="126"/>
        <w:rPr>
          <w:sz w:val="22"/>
        </w:rPr>
      </w:pPr>
      <w:r>
        <w:rPr>
          <w:w w:val="105"/>
        </w:rPr>
        <w:t>KRAMER LEVIN NAFTALIS </w:t>
      </w:r>
      <w:r>
        <w:rPr>
          <w:w w:val="105"/>
          <w:sz w:val="22"/>
        </w:rPr>
        <w:t>&amp;</w:t>
      </w:r>
    </w:p>
    <w:p>
      <w:pPr>
        <w:pStyle w:val="BodyText"/>
        <w:spacing w:before="21"/>
        <w:ind w:left="131"/>
      </w:pPr>
      <w:r>
        <w:rPr>
          <w:w w:val="105"/>
        </w:rPr>
        <w:t>FRANKEL LLP</w:t>
      </w:r>
    </w:p>
    <w:p>
      <w:pPr>
        <w:pStyle w:val="BodyText"/>
        <w:spacing w:line="259" w:lineRule="auto" w:before="17"/>
        <w:ind w:left="121" w:right="47" w:firstLine="9"/>
      </w:pPr>
      <w:r>
        <w:rPr>
          <w:rFonts w:ascii="Arial"/>
          <w:w w:val="105"/>
        </w:rPr>
        <w:t>1177 </w:t>
      </w:r>
      <w:r>
        <w:rPr>
          <w:w w:val="105"/>
        </w:rPr>
        <w:t>Avenue of the Americas New York, New York 10036 Phone: (212) 715-9100</w:t>
      </w:r>
    </w:p>
    <w:p>
      <w:pPr>
        <w:spacing w:line="243" w:lineRule="exact" w:before="0"/>
        <w:ind w:left="121" w:right="0" w:firstLine="0"/>
        <w:jc w:val="left"/>
        <w:rPr>
          <w:sz w:val="22"/>
        </w:rPr>
      </w:pPr>
      <w:r>
        <w:rPr>
          <w:sz w:val="22"/>
          <w:u w:val="thick"/>
        </w:rPr>
        <w:t>bbcrkerc?kramerlev1n.com</w:t>
      </w:r>
    </w:p>
    <w:p>
      <w:pPr>
        <w:spacing w:line="263" w:lineRule="exact" w:before="0"/>
        <w:ind w:left="130" w:right="0" w:firstLine="0"/>
        <w:jc w:val="left"/>
        <w:rPr>
          <w:sz w:val="22"/>
        </w:rPr>
      </w:pPr>
      <w:r>
        <w:rPr>
          <w:sz w:val="21"/>
          <w:u w:val="thick"/>
        </w:rPr>
        <w:t>psd1oem,m,, ;</w:t>
      </w:r>
      <w:r>
        <w:rPr>
          <w:sz w:val="22"/>
          <w:u w:val="thick"/>
        </w:rPr>
        <w:t>k </w:t>
      </w:r>
      <w:r>
        <w:rPr>
          <w:sz w:val="23"/>
          <w:u w:val="thick"/>
        </w:rPr>
        <w:t>rm </w:t>
      </w:r>
      <w:r>
        <w:rPr>
          <w:sz w:val="22"/>
          <w:u w:val="thick"/>
        </w:rPr>
        <w:t>nerlcv in</w:t>
      </w:r>
      <w:r>
        <w:rPr>
          <w:sz w:val="21"/>
          <w:u w:val="thick"/>
        </w:rPr>
        <w:t>.co1</w:t>
      </w:r>
      <w:r>
        <w:rPr>
          <w:sz w:val="22"/>
          <w:u w:val="thick"/>
        </w:rPr>
        <w:t>n</w:t>
      </w:r>
    </w:p>
    <w:p>
      <w:pPr>
        <w:spacing w:line="259" w:lineRule="auto" w:before="95"/>
        <w:ind w:left="123" w:right="1874" w:firstLine="117"/>
        <w:jc w:val="left"/>
        <w:rPr>
          <w:sz w:val="21"/>
        </w:rPr>
      </w:pPr>
      <w:r>
        <w:rPr/>
        <w:br w:type="column"/>
      </w:r>
      <w:r>
        <w:rPr>
          <w:w w:val="105"/>
          <w:sz w:val="22"/>
        </w:rPr>
        <w:t>s/ </w:t>
      </w:r>
      <w:r>
        <w:rPr>
          <w:b/>
          <w:w w:val="105"/>
          <w:sz w:val="21"/>
        </w:rPr>
        <w:t>Charles B. </w:t>
      </w:r>
      <w:r>
        <w:rPr>
          <w:b/>
          <w:w w:val="105"/>
          <w:sz w:val="21"/>
          <w:u w:val="thick"/>
        </w:rPr>
        <w:t>Sklarsky</w:t>
      </w:r>
      <w:r>
        <w:rPr>
          <w:b/>
          <w:w w:val="105"/>
          <w:sz w:val="21"/>
        </w:rPr>
        <w:t> </w:t>
      </w:r>
      <w:r>
        <w:rPr>
          <w:w w:val="105"/>
          <w:sz w:val="21"/>
        </w:rPr>
        <w:t>Charles B.  Sklarsky Chris C.</w:t>
      </w:r>
      <w:r>
        <w:rPr>
          <w:spacing w:val="9"/>
          <w:w w:val="105"/>
          <w:sz w:val="21"/>
        </w:rPr>
        <w:t> </w:t>
      </w:r>
      <w:r>
        <w:rPr>
          <w:w w:val="105"/>
          <w:sz w:val="21"/>
        </w:rPr>
        <w:t>Gair</w:t>
      </w:r>
    </w:p>
    <w:p>
      <w:pPr>
        <w:pStyle w:val="BodyText"/>
        <w:spacing w:line="239" w:lineRule="exact"/>
        <w:ind w:left="126"/>
      </w:pPr>
      <w:r>
        <w:rPr/>
        <w:pict>
          <v:line style="position:absolute;mso-position-horizontal-relative:page;mso-position-vertical-relative:paragraph;z-index:-16864" from="320.179047pt,-28.509819pt" to="456.711848pt,-28.509819pt" stroked="true" strokeweight=".961161pt" strokecolor="#000000">
            <v:stroke dashstyle="solid"/>
            <w10:wrap type="none"/>
          </v:line>
        </w:pict>
      </w:r>
      <w:r>
        <w:rPr>
          <w:w w:val="105"/>
        </w:rPr>
        <w:t>JENNER &amp; BLOCK LLP</w:t>
      </w:r>
    </w:p>
    <w:p>
      <w:pPr>
        <w:pStyle w:val="BodyText"/>
        <w:spacing w:line="256" w:lineRule="auto" w:before="18"/>
        <w:ind w:left="128" w:right="1874" w:hanging="1"/>
      </w:pPr>
      <w:r>
        <w:rPr>
          <w:w w:val="105"/>
        </w:rPr>
        <w:t>353 N. Clark Street Chicago, IL 60654-3456</w:t>
      </w:r>
    </w:p>
    <w:p>
      <w:pPr>
        <w:pStyle w:val="BodyText"/>
        <w:spacing w:line="227" w:lineRule="exact" w:before="8"/>
        <w:ind w:left="127"/>
      </w:pPr>
      <w:r>
        <w:rPr>
          <w:w w:val="105"/>
        </w:rPr>
        <w:t>Phone: 312-222-9350</w:t>
      </w:r>
    </w:p>
    <w:p>
      <w:pPr>
        <w:spacing w:line="238" w:lineRule="exact" w:before="0"/>
        <w:ind w:left="123" w:right="0" w:firstLine="0"/>
        <w:jc w:val="left"/>
        <w:rPr>
          <w:rFonts w:ascii="Arial"/>
          <w:sz w:val="19"/>
        </w:rPr>
      </w:pPr>
      <w:r>
        <w:rPr>
          <w:rFonts w:ascii="Arial"/>
          <w:sz w:val="19"/>
          <w:u w:val="thick"/>
        </w:rPr>
        <w:t>csk </w:t>
      </w:r>
      <w:r>
        <w:rPr>
          <w:sz w:val="22"/>
          <w:u w:val="thick"/>
        </w:rPr>
        <w:t>larsk\!(i.il </w:t>
      </w:r>
      <w:r>
        <w:rPr>
          <w:rFonts w:ascii="Arial"/>
          <w:sz w:val="19"/>
          <w:u w:val="thick"/>
        </w:rPr>
        <w:t>ienncr.corn</w:t>
      </w:r>
    </w:p>
    <w:p>
      <w:pPr>
        <w:spacing w:before="203"/>
        <w:ind w:left="121" w:right="0" w:firstLine="0"/>
        <w:jc w:val="left"/>
        <w:rPr>
          <w:i/>
          <w:sz w:val="22"/>
        </w:rPr>
      </w:pPr>
      <w:r>
        <w:rPr>
          <w:i/>
          <w:sz w:val="22"/>
        </w:rPr>
        <w:t>Counsel for Paul M. Daugerdas</w:t>
      </w:r>
    </w:p>
    <w:p>
      <w:pPr>
        <w:spacing w:after="0"/>
        <w:jc w:val="left"/>
        <w:rPr>
          <w:sz w:val="22"/>
        </w:rPr>
        <w:sectPr>
          <w:type w:val="continuous"/>
          <w:pgSz w:w="12310" w:h="15890"/>
          <w:pgMar w:top="1580" w:bottom="280" w:left="1740" w:right="1740"/>
          <w:cols w:num="2" w:equalWidth="0">
            <w:col w:w="3275" w:space="1267"/>
            <w:col w:w="4288"/>
          </w:cols>
        </w:sectPr>
      </w:pPr>
    </w:p>
    <w:p>
      <w:pPr>
        <w:pStyle w:val="BodyText"/>
        <w:spacing w:before="5"/>
        <w:rPr>
          <w:i/>
          <w:sz w:val="15"/>
        </w:rPr>
      </w:pPr>
    </w:p>
    <w:p>
      <w:pPr>
        <w:spacing w:before="91"/>
        <w:ind w:left="115" w:right="0" w:firstLine="0"/>
        <w:jc w:val="left"/>
        <w:rPr>
          <w:i/>
          <w:sz w:val="22"/>
        </w:rPr>
      </w:pPr>
      <w:r>
        <w:rPr>
          <w:i/>
          <w:w w:val="105"/>
          <w:sz w:val="22"/>
        </w:rPr>
        <w:t>Counsel for Raymond Craig Brubaker</w:t>
      </w:r>
    </w:p>
    <w:p>
      <w:pPr>
        <w:pStyle w:val="BodyText"/>
        <w:spacing w:before="3"/>
        <w:rPr>
          <w:i/>
          <w:sz w:val="15"/>
        </w:rPr>
      </w:pPr>
    </w:p>
    <w:p>
      <w:pPr>
        <w:spacing w:after="0"/>
        <w:rPr>
          <w:sz w:val="15"/>
        </w:rPr>
        <w:sectPr>
          <w:type w:val="continuous"/>
          <w:pgSz w:w="12310" w:h="15890"/>
          <w:pgMar w:top="1580" w:bottom="280" w:left="1740" w:right="1740"/>
        </w:sectPr>
      </w:pPr>
    </w:p>
    <w:p>
      <w:pPr>
        <w:spacing w:line="259" w:lineRule="auto" w:before="91"/>
        <w:ind w:left="116" w:right="1305" w:firstLine="112"/>
        <w:jc w:val="left"/>
        <w:rPr>
          <w:sz w:val="21"/>
        </w:rPr>
      </w:pPr>
      <w:r>
        <w:rPr>
          <w:w w:val="105"/>
          <w:sz w:val="22"/>
          <w:u w:val="thick"/>
        </w:rPr>
        <w:t>s/ </w:t>
      </w:r>
      <w:r>
        <w:rPr>
          <w:b/>
          <w:w w:val="105"/>
          <w:sz w:val="21"/>
          <w:u w:val="thick"/>
        </w:rPr>
        <w:t>Caroline Rule</w:t>
      </w:r>
      <w:r>
        <w:rPr>
          <w:b/>
          <w:w w:val="105"/>
          <w:sz w:val="21"/>
        </w:rPr>
        <w:t> </w:t>
      </w:r>
      <w:r>
        <w:rPr>
          <w:w w:val="105"/>
          <w:sz w:val="21"/>
        </w:rPr>
        <w:t>Caroline Rule Robert S. Fink</w:t>
      </w:r>
    </w:p>
    <w:p>
      <w:pPr>
        <w:pStyle w:val="BodyText"/>
        <w:spacing w:line="239" w:lineRule="exact"/>
        <w:ind w:left="117"/>
      </w:pPr>
      <w:r>
        <w:rPr>
          <w:w w:val="105"/>
        </w:rPr>
        <w:t>KOSTELANETZ &amp; FINK LLP</w:t>
      </w:r>
    </w:p>
    <w:p>
      <w:pPr>
        <w:pStyle w:val="BodyText"/>
        <w:spacing w:line="256" w:lineRule="auto" w:before="18"/>
        <w:ind w:left="113" w:firstLine="3"/>
      </w:pPr>
      <w:r>
        <w:rPr>
          <w:w w:val="105"/>
        </w:rPr>
        <w:t>7 World Trade Center, 34th Floor New York, NY</w:t>
      </w:r>
      <w:r>
        <w:rPr>
          <w:spacing w:val="38"/>
          <w:w w:val="105"/>
        </w:rPr>
        <w:t> </w:t>
      </w:r>
      <w:r>
        <w:rPr>
          <w:w w:val="105"/>
        </w:rPr>
        <w:t>10007</w:t>
      </w:r>
    </w:p>
    <w:p>
      <w:pPr>
        <w:pStyle w:val="BodyText"/>
        <w:spacing w:line="228" w:lineRule="exact"/>
        <w:ind w:left="121"/>
        <w:rPr>
          <w:sz w:val="22"/>
        </w:rPr>
      </w:pPr>
      <w:r>
        <w:rPr/>
        <w:t>Phone:  (212)  808-8 </w:t>
      </w:r>
      <w:r>
        <w:rPr>
          <w:b/>
          <w:sz w:val="22"/>
        </w:rPr>
        <w:t>l</w:t>
      </w:r>
      <w:r>
        <w:rPr>
          <w:b/>
          <w:spacing w:val="-31"/>
          <w:sz w:val="22"/>
        </w:rPr>
        <w:t> </w:t>
      </w:r>
      <w:r>
        <w:rPr>
          <w:sz w:val="22"/>
        </w:rPr>
        <w:t>00</w:t>
      </w:r>
    </w:p>
    <w:p>
      <w:pPr>
        <w:spacing w:line="235" w:lineRule="exact" w:before="0"/>
        <w:ind w:left="107" w:right="0" w:firstLine="0"/>
        <w:jc w:val="left"/>
        <w:rPr>
          <w:rFonts w:ascii="Arial"/>
          <w:sz w:val="19"/>
        </w:rPr>
      </w:pPr>
      <w:r>
        <w:rPr>
          <w:sz w:val="22"/>
          <w:u w:val="thick"/>
        </w:rPr>
        <w:t>crule&lt;i:i,k </w:t>
      </w:r>
      <w:r>
        <w:rPr>
          <w:rFonts w:ascii="Arial"/>
          <w:sz w:val="19"/>
          <w:u w:val="thick"/>
        </w:rPr>
        <w:t>flaw.com</w:t>
      </w:r>
    </w:p>
    <w:p>
      <w:pPr>
        <w:spacing w:before="208"/>
        <w:ind w:left="105" w:right="0" w:firstLine="0"/>
        <w:jc w:val="left"/>
        <w:rPr>
          <w:i/>
          <w:sz w:val="22"/>
        </w:rPr>
      </w:pPr>
      <w:r>
        <w:rPr>
          <w:i/>
          <w:sz w:val="22"/>
        </w:rPr>
        <w:t>Counsel for Denis Field</w:t>
      </w:r>
    </w:p>
    <w:p>
      <w:pPr>
        <w:spacing w:before="91"/>
        <w:ind w:left="229" w:right="0" w:firstLine="0"/>
        <w:jc w:val="left"/>
        <w:rPr>
          <w:b/>
          <w:sz w:val="21"/>
        </w:rPr>
      </w:pPr>
      <w:r>
        <w:rPr/>
        <w:br w:type="column"/>
      </w:r>
      <w:r>
        <w:rPr>
          <w:w w:val="105"/>
          <w:sz w:val="22"/>
          <w:u w:val="thick"/>
        </w:rPr>
        <w:t>s/ </w:t>
      </w:r>
      <w:r>
        <w:rPr>
          <w:b/>
          <w:w w:val="105"/>
          <w:sz w:val="21"/>
          <w:u w:val="thick"/>
        </w:rPr>
        <w:t>Mark L. Rotert</w:t>
      </w:r>
    </w:p>
    <w:p>
      <w:pPr>
        <w:pStyle w:val="BodyText"/>
        <w:spacing w:before="16"/>
        <w:ind w:left="122"/>
      </w:pPr>
      <w:r>
        <w:rPr>
          <w:w w:val="105"/>
        </w:rPr>
        <w:t>Mark L. Rotert</w:t>
      </w:r>
    </w:p>
    <w:p>
      <w:pPr>
        <w:pStyle w:val="BodyText"/>
        <w:spacing w:line="256" w:lineRule="auto" w:before="18"/>
        <w:ind w:left="112" w:right="969" w:firstLine="14"/>
      </w:pPr>
      <w:r>
        <w:rPr>
          <w:w w:val="105"/>
        </w:rPr>
        <w:t>William </w:t>
      </w:r>
      <w:r>
        <w:rPr>
          <w:rFonts w:ascii="Arial"/>
          <w:b/>
          <w:w w:val="105"/>
          <w:sz w:val="19"/>
        </w:rPr>
        <w:t>P. </w:t>
      </w:r>
      <w:r>
        <w:rPr>
          <w:w w:val="105"/>
        </w:rPr>
        <w:t>Ziegelmueller STETLER &amp; DUFFY, LTD.</w:t>
      </w:r>
    </w:p>
    <w:p>
      <w:pPr>
        <w:pStyle w:val="BodyText"/>
        <w:spacing w:line="254" w:lineRule="auto"/>
        <w:ind w:left="107" w:right="969" w:firstLine="18"/>
      </w:pPr>
      <w:r>
        <w:rPr>
          <w:rFonts w:ascii="Arial"/>
          <w:w w:val="105"/>
        </w:rPr>
        <w:t>l l </w:t>
      </w:r>
      <w:r>
        <w:rPr>
          <w:w w:val="105"/>
        </w:rPr>
        <w:t>S. LaSalle Street, Suite </w:t>
      </w:r>
      <w:r>
        <w:rPr>
          <w:b/>
          <w:w w:val="105"/>
          <w:sz w:val="22"/>
        </w:rPr>
        <w:t>l </w:t>
      </w:r>
      <w:r>
        <w:rPr>
          <w:w w:val="105"/>
        </w:rPr>
        <w:t>200 Chicago, IL 60603</w:t>
      </w:r>
    </w:p>
    <w:p>
      <w:pPr>
        <w:pStyle w:val="BodyText"/>
        <w:tabs>
          <w:tab w:pos="1140" w:val="left" w:leader="none"/>
        </w:tabs>
        <w:spacing w:line="178" w:lineRule="exact" w:before="2"/>
        <w:ind w:left="112"/>
      </w:pPr>
      <w:r>
        <w:rPr>
          <w:w w:val="105"/>
        </w:rPr>
        <w:t>Phone:</w:t>
        <w:tab/>
        <w:t>(312)</w:t>
      </w:r>
      <w:r>
        <w:rPr>
          <w:spacing w:val="1"/>
          <w:w w:val="105"/>
        </w:rPr>
        <w:t> </w:t>
      </w:r>
      <w:r>
        <w:rPr>
          <w:w w:val="105"/>
        </w:rPr>
        <w:t>338-0214</w:t>
      </w:r>
    </w:p>
    <w:p>
      <w:pPr>
        <w:spacing w:line="351" w:lineRule="exact" w:before="0"/>
        <w:ind w:left="118" w:right="0" w:firstLine="0"/>
        <w:jc w:val="left"/>
        <w:rPr>
          <w:rFonts w:ascii="Arial"/>
          <w:sz w:val="19"/>
        </w:rPr>
      </w:pPr>
      <w:r>
        <w:rPr>
          <w:sz w:val="21"/>
          <w:u w:val="thick"/>
        </w:rPr>
        <w:t>mrotert(dstetlera</w:t>
      </w:r>
      <w:r>
        <w:rPr>
          <w:sz w:val="22"/>
          <w:u w:val="thick"/>
        </w:rPr>
        <w:t>ndd </w:t>
      </w:r>
      <w:r>
        <w:rPr>
          <w:sz w:val="21"/>
          <w:u w:val="thick"/>
        </w:rPr>
        <w:t>u</w:t>
      </w:r>
      <w:r>
        <w:rPr>
          <w:sz w:val="36"/>
          <w:u w:val="thick"/>
        </w:rPr>
        <w:t>fiv</w:t>
      </w:r>
      <w:r>
        <w:rPr>
          <w:rFonts w:ascii="Arial"/>
          <w:sz w:val="19"/>
          <w:u w:val="thick"/>
        </w:rPr>
        <w:t>.com</w:t>
      </w:r>
    </w:p>
    <w:p>
      <w:pPr>
        <w:spacing w:before="245"/>
        <w:ind w:left="105" w:right="0" w:firstLine="0"/>
        <w:jc w:val="left"/>
        <w:rPr>
          <w:i/>
          <w:sz w:val="22"/>
        </w:rPr>
      </w:pPr>
      <w:r>
        <w:rPr>
          <w:i/>
          <w:sz w:val="22"/>
        </w:rPr>
        <w:t>Counsel fhr Donna Guerin</w:t>
      </w:r>
    </w:p>
    <w:p>
      <w:pPr>
        <w:spacing w:after="0"/>
        <w:jc w:val="left"/>
        <w:rPr>
          <w:sz w:val="22"/>
        </w:rPr>
        <w:sectPr>
          <w:type w:val="continuous"/>
          <w:pgSz w:w="12310" w:h="15890"/>
          <w:pgMar w:top="1580" w:bottom="280" w:left="1740" w:right="1740"/>
          <w:cols w:num="2" w:equalWidth="0">
            <w:col w:w="3232" w:space="1321"/>
            <w:col w:w="4277"/>
          </w:cols>
        </w:sectPr>
      </w:pPr>
    </w:p>
    <w:p>
      <w:pPr>
        <w:pStyle w:val="BodyText"/>
        <w:spacing w:before="3"/>
        <w:rPr>
          <w:i/>
          <w:sz w:val="15"/>
        </w:rPr>
      </w:pPr>
    </w:p>
    <w:p>
      <w:pPr>
        <w:tabs>
          <w:tab w:pos="2915" w:val="left" w:leader="none"/>
        </w:tabs>
        <w:spacing w:before="91"/>
        <w:ind w:left="106" w:right="0" w:firstLine="0"/>
        <w:jc w:val="left"/>
        <w:rPr>
          <w:b/>
          <w:sz w:val="21"/>
        </w:rPr>
      </w:pPr>
      <w:r>
        <w:rPr>
          <w:w w:val="100"/>
          <w:sz w:val="22"/>
          <w:u w:val="single"/>
        </w:rPr>
        <w:t> </w:t>
      </w:r>
      <w:r>
        <w:rPr>
          <w:sz w:val="22"/>
          <w:u w:val="single"/>
        </w:rPr>
        <w:t> </w:t>
      </w:r>
      <w:r>
        <w:rPr>
          <w:spacing w:val="-1"/>
          <w:sz w:val="22"/>
          <w:u w:val="single"/>
        </w:rPr>
        <w:t> </w:t>
      </w:r>
      <w:r>
        <w:rPr>
          <w:w w:val="105"/>
          <w:sz w:val="22"/>
          <w:u w:val="single"/>
        </w:rPr>
        <w:t>s/  </w:t>
      </w:r>
      <w:r>
        <w:rPr>
          <w:b/>
          <w:w w:val="105"/>
          <w:sz w:val="21"/>
          <w:u w:val="single"/>
        </w:rPr>
        <w:t>Susan  E.</w:t>
      </w:r>
      <w:r>
        <w:rPr>
          <w:b/>
          <w:spacing w:val="-6"/>
          <w:w w:val="105"/>
          <w:sz w:val="21"/>
          <w:u w:val="single"/>
        </w:rPr>
        <w:t> </w:t>
      </w:r>
      <w:r>
        <w:rPr>
          <w:b/>
          <w:w w:val="105"/>
          <w:sz w:val="21"/>
          <w:u w:val="single"/>
        </w:rPr>
        <w:t>Brune</w:t>
      </w:r>
      <w:r>
        <w:rPr>
          <w:b/>
          <w:sz w:val="21"/>
          <w:u w:val="single"/>
        </w:rPr>
        <w:tab/>
      </w:r>
    </w:p>
    <w:p>
      <w:pPr>
        <w:pStyle w:val="BodyText"/>
        <w:spacing w:before="11"/>
        <w:ind w:left="107"/>
      </w:pPr>
      <w:r>
        <w:rPr>
          <w:w w:val="105"/>
        </w:rPr>
        <w:t>Susan E. Brune</w:t>
      </w:r>
    </w:p>
    <w:p>
      <w:pPr>
        <w:pStyle w:val="BodyText"/>
        <w:spacing w:line="249" w:lineRule="auto" w:before="18"/>
        <w:ind w:left="107" w:right="5684" w:hanging="3"/>
      </w:pPr>
      <w:r>
        <w:rPr>
          <w:w w:val="105"/>
        </w:rPr>
        <w:t>Theresa Marie Trzaskoma BRUNE </w:t>
      </w:r>
      <w:r>
        <w:rPr>
          <w:w w:val="105"/>
          <w:sz w:val="22"/>
        </w:rPr>
        <w:t>&amp; </w:t>
      </w:r>
      <w:r>
        <w:rPr>
          <w:w w:val="105"/>
        </w:rPr>
        <w:t>RICHARD LLP</w:t>
      </w:r>
    </w:p>
    <w:p>
      <w:pPr>
        <w:pStyle w:val="BodyText"/>
        <w:tabs>
          <w:tab w:pos="1031" w:val="left" w:leader="none"/>
        </w:tabs>
        <w:spacing w:line="256" w:lineRule="auto" w:before="9"/>
        <w:ind w:left="108" w:right="6215" w:hanging="6"/>
      </w:pPr>
      <w:r>
        <w:rPr>
          <w:w w:val="105"/>
        </w:rPr>
        <w:t>80 Broad Street, 30th Floor New York, NY 10004 Phone:</w:t>
        <w:tab/>
        <w:t>(212)</w:t>
      </w:r>
      <w:r>
        <w:rPr>
          <w:spacing w:val="11"/>
          <w:w w:val="105"/>
        </w:rPr>
        <w:t> </w:t>
      </w:r>
      <w:r>
        <w:rPr>
          <w:w w:val="105"/>
        </w:rPr>
        <w:t>668-1900</w:t>
      </w:r>
    </w:p>
    <w:p>
      <w:pPr>
        <w:pStyle w:val="BodyText"/>
        <w:spacing w:line="256" w:lineRule="auto" w:before="4"/>
        <w:ind w:left="109" w:right="5315" w:hanging="5"/>
      </w:pPr>
      <w:r>
        <w:rPr>
          <w:w w:val="105"/>
          <w:u w:val="thick"/>
        </w:rPr>
        <w:t>sbruncic1;brunem1drichard.com</w:t>
      </w:r>
      <w:r>
        <w:rPr>
          <w:w w:val="105"/>
        </w:rPr>
        <w:t> </w:t>
      </w:r>
      <w:hyperlink r:id="rId27">
        <w:r>
          <w:rPr>
            <w:w w:val="105"/>
            <w:u w:val="thick"/>
          </w:rPr>
          <w:t>Urzask_oma@hruncandrichanl.com</w:t>
        </w:r>
      </w:hyperlink>
    </w:p>
    <w:p>
      <w:pPr>
        <w:spacing w:after="0" w:line="256" w:lineRule="auto"/>
        <w:sectPr>
          <w:type w:val="continuous"/>
          <w:pgSz w:w="12310" w:h="15890"/>
          <w:pgMar w:top="1580" w:bottom="280" w:left="1740" w:right="1740"/>
        </w:sectPr>
      </w:pPr>
    </w:p>
    <w:p>
      <w:pPr>
        <w:pStyle w:val="BodyText"/>
        <w:rPr>
          <w:sz w:val="20"/>
        </w:rPr>
      </w:pPr>
    </w:p>
    <w:p>
      <w:pPr>
        <w:pStyle w:val="BodyText"/>
        <w:spacing w:before="3"/>
      </w:pPr>
    </w:p>
    <w:p>
      <w:pPr>
        <w:pStyle w:val="Heading2"/>
        <w:spacing w:before="91"/>
        <w:ind w:left="111"/>
      </w:pPr>
      <w:r>
        <w:rPr/>
        <w:t>Laurie Edelstein</w:t>
      </w:r>
    </w:p>
    <w:p>
      <w:pPr>
        <w:spacing w:before="6"/>
        <w:ind w:left="115" w:right="0" w:firstLine="0"/>
        <w:jc w:val="left"/>
        <w:rPr>
          <w:b/>
          <w:sz w:val="22"/>
        </w:rPr>
      </w:pPr>
      <w:r>
        <w:rPr>
          <w:b/>
          <w:sz w:val="22"/>
        </w:rPr>
        <w:t>BRUNE </w:t>
      </w:r>
      <w:r>
        <w:rPr>
          <w:sz w:val="22"/>
        </w:rPr>
        <w:t>&amp; </w:t>
      </w:r>
      <w:r>
        <w:rPr>
          <w:b/>
          <w:sz w:val="22"/>
        </w:rPr>
        <w:t>RICHARD LLP</w:t>
      </w:r>
    </w:p>
    <w:p>
      <w:pPr>
        <w:spacing w:line="247" w:lineRule="auto" w:before="7"/>
        <w:ind w:left="113" w:right="5315" w:hanging="4"/>
        <w:jc w:val="left"/>
        <w:rPr>
          <w:b/>
          <w:sz w:val="22"/>
        </w:rPr>
      </w:pPr>
      <w:r>
        <w:rPr>
          <w:b/>
          <w:sz w:val="22"/>
        </w:rPr>
        <w:t>235 Montgomery Street, Suite 1130 San Francisco, CA 94104</w:t>
      </w:r>
    </w:p>
    <w:p>
      <w:pPr>
        <w:spacing w:before="2"/>
        <w:ind w:left="114" w:right="0" w:firstLine="0"/>
        <w:jc w:val="left"/>
        <w:rPr>
          <w:b/>
          <w:sz w:val="22"/>
        </w:rPr>
      </w:pPr>
      <w:r>
        <w:rPr>
          <w:b/>
          <w:sz w:val="22"/>
        </w:rPr>
        <w:t>Phone: </w:t>
      </w:r>
      <w:r>
        <w:rPr>
          <w:sz w:val="22"/>
        </w:rPr>
        <w:t>(</w:t>
      </w:r>
      <w:r>
        <w:rPr>
          <w:b/>
          <w:sz w:val="22"/>
        </w:rPr>
        <w:t>415) 563-0600</w:t>
      </w:r>
    </w:p>
    <w:p>
      <w:pPr>
        <w:spacing w:before="2"/>
        <w:ind w:left="113" w:right="0" w:firstLine="0"/>
        <w:jc w:val="left"/>
        <w:rPr>
          <w:sz w:val="22"/>
        </w:rPr>
      </w:pPr>
      <w:r>
        <w:rPr>
          <w:sz w:val="22"/>
          <w:u w:val="thick"/>
        </w:rPr>
        <w:t>lcdclstcinr(i)bruncandrichard.com</w:t>
      </w:r>
    </w:p>
    <w:p>
      <w:pPr>
        <w:pStyle w:val="BodyText"/>
        <w:spacing w:before="2"/>
        <w:rPr>
          <w:sz w:val="25"/>
        </w:rPr>
      </w:pPr>
    </w:p>
    <w:p>
      <w:pPr>
        <w:spacing w:before="0"/>
        <w:ind w:left="102" w:right="0" w:firstLine="0"/>
        <w:jc w:val="left"/>
        <w:rPr>
          <w:b/>
          <w:i/>
          <w:sz w:val="21"/>
        </w:rPr>
      </w:pPr>
      <w:r>
        <w:rPr>
          <w:b/>
          <w:i/>
          <w:w w:val="105"/>
          <w:sz w:val="21"/>
        </w:rPr>
        <w:t>Counsel.for David Parse</w:t>
      </w:r>
    </w:p>
    <w:p>
      <w:pPr>
        <w:spacing w:after="0"/>
        <w:jc w:val="left"/>
        <w:rPr>
          <w:sz w:val="21"/>
        </w:rPr>
        <w:sectPr>
          <w:headerReference w:type="default" r:id="rId28"/>
          <w:pgSz w:w="12310" w:h="15900"/>
          <w:pgMar w:header="781" w:footer="1150" w:top="1560" w:bottom="1340" w:left="1740" w:right="1740"/>
        </w:sectPr>
      </w:pPr>
    </w:p>
    <w:p>
      <w:pPr>
        <w:pStyle w:val="BodyText"/>
        <w:rPr>
          <w:b/>
          <w:i/>
          <w:sz w:val="20"/>
        </w:rPr>
      </w:pPr>
    </w:p>
    <w:p>
      <w:pPr>
        <w:pStyle w:val="BodyText"/>
        <w:rPr>
          <w:b/>
          <w:i/>
          <w:sz w:val="20"/>
        </w:rPr>
      </w:pPr>
    </w:p>
    <w:p>
      <w:pPr>
        <w:pStyle w:val="BodyText"/>
        <w:rPr>
          <w:b/>
          <w:i/>
          <w:sz w:val="20"/>
        </w:rPr>
      </w:pPr>
    </w:p>
    <w:p>
      <w:pPr>
        <w:pStyle w:val="BodyText"/>
        <w:spacing w:before="10"/>
        <w:rPr>
          <w:b/>
          <w:i/>
        </w:rPr>
      </w:pPr>
    </w:p>
    <w:p>
      <w:pPr>
        <w:pStyle w:val="BodyText"/>
        <w:spacing w:line="256" w:lineRule="auto" w:before="92"/>
        <w:ind w:left="380" w:right="4407" w:firstLine="2"/>
      </w:pPr>
      <w:r>
        <w:rPr/>
        <w:pict>
          <v:group style="position:absolute;margin-left:355.757202pt;margin-top:-46.871414pt;width:192.35pt;height:104.8pt;mso-position-horizontal-relative:page;mso-position-vertical-relative:paragraph;z-index:1144" coordorigin="7115,-937" coordsize="3847,2096">
            <v:shape style="position:absolute;left:7115;top:586;width:3173;height:572" type="#_x0000_t75" stroked="false">
              <v:imagedata r:id="rId31" o:title=""/>
            </v:shape>
            <v:shape style="position:absolute;left:7569;top:11157;width:3288;height:1978" coordorigin="7570,11158" coordsize="3288,1978" path="m7581,831l7581,-937m10875,1043l10875,-822e" filled="false" stroked="true" strokeweight="1.201669pt" strokecolor="#000000">
              <v:path arrowok="t"/>
              <v:stroke dashstyle="solid"/>
            </v:shape>
            <v:line style="position:absolute" from="7577,-812" to="10961,-812" stroked="true" strokeweight="1.922327pt" strokecolor="#000000">
              <v:stroke dashstyle="solid"/>
            </v:line>
            <v:shape style="position:absolute;left:7696;top:-823;width:3054;height:944" type="#_x0000_t202" filled="false" stroked="false">
              <v:textbox inset="0,0,0,0">
                <w:txbxContent>
                  <w:p>
                    <w:pPr>
                      <w:spacing w:line="235" w:lineRule="auto" w:before="0"/>
                      <w:ind w:left="10" w:right="233" w:firstLine="7"/>
                      <w:jc w:val="left"/>
                      <w:rPr>
                        <w:sz w:val="27"/>
                      </w:rPr>
                    </w:pPr>
                    <w:r>
                      <w:rPr>
                        <w:w w:val="95"/>
                        <w:sz w:val="27"/>
                      </w:rPr>
                      <w:t>USDC SDNY </w:t>
                    </w:r>
                    <w:r>
                      <w:rPr>
                        <w:w w:val="90"/>
                        <w:sz w:val="27"/>
                      </w:rPr>
                      <w:t>DOCUMENT</w:t>
                    </w:r>
                  </w:p>
                  <w:p>
                    <w:pPr>
                      <w:spacing w:before="24"/>
                      <w:ind w:left="0" w:right="0" w:firstLine="0"/>
                      <w:jc w:val="left"/>
                      <w:rPr>
                        <w:sz w:val="27"/>
                      </w:rPr>
                    </w:pPr>
                    <w:r>
                      <w:rPr>
                        <w:w w:val="95"/>
                        <w:sz w:val="27"/>
                      </w:rPr>
                      <w:t>ELECTRONICALLY</w:t>
                    </w:r>
                    <w:r>
                      <w:rPr>
                        <w:spacing w:val="-36"/>
                        <w:w w:val="95"/>
                        <w:sz w:val="27"/>
                      </w:rPr>
                      <w:t> </w:t>
                    </w:r>
                    <w:r>
                      <w:rPr>
                        <w:w w:val="95"/>
                        <w:sz w:val="27"/>
                      </w:rPr>
                      <w:t>FILED</w:t>
                    </w:r>
                  </w:p>
                </w:txbxContent>
              </v:textbox>
              <w10:wrap type="none"/>
            </v:shape>
            <v:shape style="position:absolute;left:7662;top:527;width:1527;height:300" type="#_x0000_t202" filled="false" stroked="false">
              <v:textbox inset="0,0,0,0">
                <w:txbxContent>
                  <w:p>
                    <w:pPr>
                      <w:spacing w:line="299" w:lineRule="exact" w:before="0"/>
                      <w:ind w:left="0" w:right="0" w:firstLine="0"/>
                      <w:jc w:val="left"/>
                      <w:rPr>
                        <w:sz w:val="27"/>
                      </w:rPr>
                    </w:pPr>
                    <w:r>
                      <w:rPr>
                        <w:rFonts w:ascii="Arial"/>
                        <w:i/>
                        <w:w w:val="95"/>
                        <w:sz w:val="23"/>
                      </w:rPr>
                      <w:t>D</w:t>
                    </w:r>
                    <w:r>
                      <w:rPr>
                        <w:w w:val="95"/>
                        <w:sz w:val="27"/>
                      </w:rPr>
                      <w:t>ATE FILED:</w:t>
                    </w:r>
                  </w:p>
                </w:txbxContent>
              </v:textbox>
              <w10:wrap type="none"/>
            </v:shape>
            <v:shape style="position:absolute;left:7677;top:143;width:3097;height:490" type="#_x0000_t202" filled="false" stroked="false">
              <v:textbox inset="0,0,0,0">
                <w:txbxContent>
                  <w:p>
                    <w:pPr>
                      <w:tabs>
                        <w:tab w:pos="2914" w:val="left" w:leader="hyphen"/>
                      </w:tabs>
                      <w:spacing w:line="489" w:lineRule="exact" w:before="0"/>
                      <w:ind w:left="0" w:right="0" w:firstLine="0"/>
                      <w:jc w:val="left"/>
                      <w:rPr>
                        <w:rFonts w:ascii="Arial" w:hAnsi="Arial"/>
                        <w:i/>
                        <w:sz w:val="31"/>
                      </w:rPr>
                    </w:pPr>
                    <w:r>
                      <w:rPr>
                        <w:w w:val="135"/>
                        <w:position w:val="18"/>
                        <w:sz w:val="27"/>
                      </w:rPr>
                      <w:t>DOC#:</w:t>
                    </w:r>
                    <w:r>
                      <w:rPr>
                        <w:rFonts w:ascii="Arial" w:hAnsi="Arial"/>
                        <w:i/>
                        <w:w w:val="135"/>
                        <w:sz w:val="31"/>
                      </w:rPr>
                      <w:t>----+--1</w:t>
                      <w:tab/>
                    </w:r>
                    <w:r>
                      <w:rPr>
                        <w:rFonts w:ascii="Arial" w:hAnsi="Arial"/>
                        <w:i/>
                        <w:w w:val="140"/>
                        <w:sz w:val="31"/>
                      </w:rPr>
                      <w:t>­</w:t>
                    </w:r>
                  </w:p>
                </w:txbxContent>
              </v:textbox>
              <w10:wrap type="none"/>
            </v:shape>
            <w10:wrap type="none"/>
          </v:group>
        </w:pict>
      </w:r>
      <w:r>
        <w:rPr>
          <w:w w:val="105"/>
        </w:rPr>
        <w:t>UNITED STATES DISTRICT COURT SOUTHERN DISTRICT OF NEW YORK</w:t>
      </w:r>
    </w:p>
    <w:p>
      <w:pPr>
        <w:pStyle w:val="Heading1"/>
        <w:spacing w:line="239" w:lineRule="exact"/>
      </w:pPr>
      <w:r>
        <w:rPr>
          <w:w w:val="65"/>
        </w:rPr>
        <w:t>------------------------------------------------------------X</w:t>
      </w:r>
    </w:p>
    <w:p>
      <w:pPr>
        <w:pStyle w:val="BodyText"/>
        <w:spacing w:line="208" w:lineRule="exact"/>
        <w:ind w:left="372"/>
      </w:pPr>
      <w:r>
        <w:rPr>
          <w:w w:val="105"/>
        </w:rPr>
        <w:t>UNITED STATES OF AMERICA,</w:t>
      </w:r>
    </w:p>
    <w:p>
      <w:pPr>
        <w:pStyle w:val="BodyText"/>
        <w:spacing w:before="2"/>
        <w:rPr>
          <w:sz w:val="16"/>
        </w:rPr>
      </w:pPr>
    </w:p>
    <w:p>
      <w:pPr>
        <w:pStyle w:val="BodyText"/>
        <w:tabs>
          <w:tab w:pos="5722" w:val="left" w:leader="none"/>
        </w:tabs>
        <w:spacing w:before="91"/>
        <w:ind w:left="1721"/>
      </w:pPr>
      <w:r>
        <w:rPr>
          <w:w w:val="105"/>
        </w:rPr>
        <w:t>-</w:t>
      </w:r>
      <w:r>
        <w:rPr>
          <w:spacing w:val="6"/>
          <w:w w:val="105"/>
        </w:rPr>
        <w:t> </w:t>
      </w:r>
      <w:r>
        <w:rPr>
          <w:w w:val="105"/>
        </w:rPr>
        <w:t>against</w:t>
      </w:r>
      <w:r>
        <w:rPr>
          <w:spacing w:val="8"/>
          <w:w w:val="105"/>
        </w:rPr>
        <w:t> </w:t>
      </w:r>
      <w:r>
        <w:rPr>
          <w:w w:val="105"/>
        </w:rPr>
        <w:t>-</w:t>
        <w:tab/>
      </w:r>
      <w:r>
        <w:rPr>
          <w:w w:val="105"/>
          <w:u w:val="thick"/>
        </w:rPr>
        <w:t>ORDER</w:t>
      </w:r>
    </w:p>
    <w:p>
      <w:pPr>
        <w:pStyle w:val="BodyText"/>
        <w:spacing w:before="8"/>
        <w:rPr>
          <w:sz w:val="23"/>
        </w:rPr>
      </w:pPr>
    </w:p>
    <w:p>
      <w:pPr>
        <w:pStyle w:val="BodyText"/>
        <w:ind w:left="380"/>
      </w:pPr>
      <w:r>
        <w:rPr>
          <w:w w:val="105"/>
        </w:rPr>
        <w:t>PAUL M. DAUGERDAS, et al.,</w:t>
      </w:r>
    </w:p>
    <w:p>
      <w:pPr>
        <w:pStyle w:val="BodyText"/>
        <w:spacing w:before="8"/>
        <w:rPr>
          <w:sz w:val="23"/>
        </w:rPr>
      </w:pPr>
    </w:p>
    <w:p>
      <w:pPr>
        <w:pStyle w:val="BodyText"/>
        <w:spacing w:before="1"/>
        <w:ind w:left="3067"/>
      </w:pPr>
      <w:r>
        <w:rPr>
          <w:w w:val="105"/>
        </w:rPr>
        <w:t>Defendants.</w:t>
      </w:r>
    </w:p>
    <w:p>
      <w:pPr>
        <w:pStyle w:val="Heading1"/>
        <w:spacing w:before="48"/>
      </w:pPr>
      <w:r>
        <w:rPr>
          <w:w w:val="65"/>
        </w:rPr>
        <w:t>------------------------------------------------------------X</w:t>
      </w:r>
    </w:p>
    <w:p>
      <w:pPr>
        <w:pStyle w:val="BodyText"/>
        <w:spacing w:before="207"/>
        <w:ind w:left="375"/>
      </w:pPr>
      <w:r>
        <w:rPr>
          <w:w w:val="105"/>
        </w:rPr>
        <w:t>WILLIAM H. PAULEY III, United States District Judge:</w:t>
      </w:r>
    </w:p>
    <w:p>
      <w:pPr>
        <w:pStyle w:val="BodyText"/>
        <w:spacing w:before="8"/>
        <w:rPr>
          <w:sz w:val="23"/>
        </w:rPr>
      </w:pPr>
    </w:p>
    <w:p>
      <w:pPr>
        <w:pStyle w:val="BodyText"/>
        <w:spacing w:line="513" w:lineRule="auto"/>
        <w:ind w:left="366" w:right="520" w:firstLine="1351"/>
        <w:rPr>
          <w:rFonts w:ascii="Arial"/>
        </w:rPr>
      </w:pPr>
      <w:r>
        <w:rPr>
          <w:w w:val="105"/>
        </w:rPr>
        <w:t>At the February 9, 2011 conference (the "February Conference"), this Court ruled on various motions in limine filed by the parties. At that time, this Court reserved on other motions in limine to consider the arguments raised by the parties. This Court now rules on Defendants' First, Third, Seventh, Ninth, Thirteenth and Fourteenth motions in limine and the Government's motion in limine with respect to Ken Brown as set forth below. This Court reserves decision on any motions not previously decided at the February Conference, or addressed in this</w:t>
      </w:r>
      <w:r>
        <w:rPr>
          <w:spacing w:val="-39"/>
          <w:w w:val="105"/>
        </w:rPr>
        <w:t> </w:t>
      </w:r>
      <w:r>
        <w:rPr>
          <w:w w:val="105"/>
        </w:rPr>
        <w:t>Order.</w:t>
      </w:r>
      <w:r>
        <w:rPr>
          <w:rFonts w:ascii="Arial"/>
          <w:w w:val="105"/>
          <w:vertAlign w:val="superscript"/>
        </w:rPr>
        <w:t>1</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9"/>
        <w:rPr>
          <w:rFonts w:ascii="Arial"/>
          <w:sz w:val="18"/>
        </w:rPr>
      </w:pPr>
      <w:r>
        <w:rPr/>
        <w:pict>
          <v:line style="position:absolute;mso-position-horizontal-relative:page;mso-position-vertical-relative:paragraph;z-index:-1000;mso-wrap-distance-left:0;mso-wrap-distance-right:0" from="87.49707pt,12.99899pt" to="223.069455pt,12.99899pt" stroked="true" strokeweight=".480582pt" strokecolor="#000000">
            <v:stroke dashstyle="solid"/>
            <w10:wrap type="topAndBottom"/>
          </v:line>
        </w:pict>
      </w:r>
    </w:p>
    <w:p>
      <w:pPr>
        <w:pStyle w:val="BodyText"/>
        <w:spacing w:line="254" w:lineRule="auto" w:before="22"/>
        <w:ind w:left="355" w:right="631" w:firstLine="3"/>
      </w:pPr>
      <w:r>
        <w:rPr>
          <w:rFonts w:ascii="Arial"/>
          <w:w w:val="105"/>
          <w:position w:val="11"/>
          <w:sz w:val="14"/>
        </w:rPr>
        <w:t>1 </w:t>
      </w:r>
      <w:r>
        <w:rPr>
          <w:w w:val="105"/>
        </w:rPr>
        <w:t>The in limine motions on which this Court reserves decision are: Defendants' Second (evidence of civil cases), Fourth (reference to the demise of Jenkins &amp; Gilchrist), and Eighth (expert) motions in limine, portions of Defendants' Sixth (bad acts), Tenth (joint defense privilege), and Thirteenth (as to GX 500-2) motions in limine, and the Government's motion in limine regarding failure to assess civil fraud penalties as affecting witness</w:t>
      </w:r>
      <w:r>
        <w:rPr>
          <w:spacing w:val="23"/>
          <w:w w:val="105"/>
        </w:rPr>
        <w:t> </w:t>
      </w:r>
      <w:r>
        <w:rPr>
          <w:w w:val="105"/>
        </w:rPr>
        <w:t>bias.</w:t>
      </w:r>
    </w:p>
    <w:p>
      <w:pPr>
        <w:spacing w:after="0" w:line="254" w:lineRule="auto"/>
        <w:sectPr>
          <w:headerReference w:type="default" r:id="rId29"/>
          <w:footerReference w:type="default" r:id="rId30"/>
          <w:pgSz w:w="12240" w:h="15840"/>
          <w:pgMar w:header="0" w:footer="1266" w:top="880" w:bottom="1460" w:left="1400" w:right="1360"/>
        </w:sectPr>
      </w:pPr>
    </w:p>
    <w:p>
      <w:pPr>
        <w:pStyle w:val="BodyText"/>
        <w:spacing w:before="4"/>
        <w:rPr>
          <w:sz w:val="28"/>
        </w:rPr>
      </w:pPr>
    </w:p>
    <w:p>
      <w:pPr>
        <w:spacing w:before="92"/>
        <w:ind w:left="109" w:right="0" w:firstLine="0"/>
        <w:jc w:val="left"/>
        <w:rPr>
          <w:sz w:val="20"/>
        </w:rPr>
      </w:pPr>
      <w:r>
        <w:rPr>
          <w:w w:val="110"/>
          <w:sz w:val="20"/>
        </w:rPr>
        <w:t>IV. </w:t>
      </w:r>
      <w:r>
        <w:rPr>
          <w:w w:val="110"/>
          <w:sz w:val="20"/>
          <w:u w:val="thick"/>
        </w:rPr>
        <w:t>Defendants</w:t>
      </w:r>
      <w:r>
        <w:rPr>
          <w:w w:val="110"/>
          <w:sz w:val="20"/>
        </w:rPr>
        <w:t>' </w:t>
      </w:r>
      <w:r>
        <w:rPr>
          <w:w w:val="110"/>
          <w:sz w:val="20"/>
          <w:u w:val="thick"/>
        </w:rPr>
        <w:t>Ninth Motion In Limine</w:t>
      </w:r>
    </w:p>
    <w:p>
      <w:pPr>
        <w:pStyle w:val="BodyText"/>
        <w:spacing w:before="3"/>
        <w:rPr>
          <w:sz w:val="24"/>
        </w:rPr>
      </w:pPr>
    </w:p>
    <w:p>
      <w:pPr>
        <w:spacing w:line="537" w:lineRule="auto" w:before="0"/>
        <w:ind w:left="400" w:right="631" w:firstLine="1344"/>
        <w:jc w:val="left"/>
        <w:rPr>
          <w:sz w:val="20"/>
        </w:rPr>
      </w:pPr>
      <w:r>
        <w:rPr>
          <w:w w:val="110"/>
          <w:sz w:val="20"/>
        </w:rPr>
        <w:t>Defendants move to exclude forty-two exhibits relating to the Market Linked Deposit ("MLD") transaction, asserting that it (i) was not included in the Government's Rule 404(b) disclosure and (ii) is likely to confuse the jury and spawn a mini-trial. The Government seeks to introduce only four exhibits related to the MLD transaction: GX 400-80, GX 400-81, GX 400-230, and GX 400-232.</w:t>
      </w:r>
    </w:p>
    <w:p>
      <w:pPr>
        <w:spacing w:line="535" w:lineRule="auto" w:before="1"/>
        <w:ind w:left="389" w:right="514" w:firstLine="1346"/>
        <w:jc w:val="left"/>
        <w:rPr>
          <w:sz w:val="20"/>
        </w:rPr>
      </w:pPr>
      <w:r>
        <w:rPr>
          <w:w w:val="110"/>
          <w:sz w:val="20"/>
        </w:rPr>
        <w:t>Fed. R. Evid. 404(b) requires the Government to provide Defendants with "reasonable notice" of any extrinsic "acts" evidence it intends to offer at trial. While Defendants requested Rule 404(b) disclosure on February 5, 2010, the Government did not disclose its intent to offer evidence on the MLD transaction until it produced its exhibit list on January 17, 2011.</w:t>
      </w:r>
    </w:p>
    <w:p>
      <w:pPr>
        <w:spacing w:line="537" w:lineRule="auto" w:before="5"/>
        <w:ind w:left="395" w:right="514" w:firstLine="1"/>
        <w:jc w:val="left"/>
        <w:rPr>
          <w:sz w:val="20"/>
        </w:rPr>
      </w:pPr>
      <w:r>
        <w:rPr>
          <w:w w:val="110"/>
          <w:sz w:val="20"/>
        </w:rPr>
        <w:t>This Court has cautioned the Government repeatedly about the need to cabin its proof and provide advance disclosure of the transactions to be offered at trial. Given the magnitude of this case, Defendants cannot adequately prepare to rebut evidence related to the MLD transaction</w:t>
      </w:r>
    </w:p>
    <w:p>
      <w:pPr>
        <w:spacing w:line="535" w:lineRule="auto" w:before="0"/>
        <w:ind w:left="391" w:right="514" w:firstLine="9"/>
        <w:jc w:val="left"/>
        <w:rPr>
          <w:sz w:val="20"/>
        </w:rPr>
      </w:pPr>
      <w:r>
        <w:rPr>
          <w:w w:val="110"/>
          <w:sz w:val="20"/>
        </w:rPr>
        <w:t>with approximately one month remaining before trial. </w:t>
      </w:r>
      <w:r>
        <w:rPr>
          <w:w w:val="110"/>
          <w:sz w:val="20"/>
          <w:u w:val="thick"/>
        </w:rPr>
        <w:t>See</w:t>
      </w:r>
      <w:r>
        <w:rPr>
          <w:w w:val="110"/>
          <w:sz w:val="20"/>
        </w:rPr>
        <w:t> Fed. R. Evid. 404(b) advisory committee's note, 1991 Amendment ("The amendment to Rule 404(b) adds a pretrial notice requirement in criminal cases and is intended to reduce surprise and promote early resolution on the issue of admissibility."). Accordingly, the Government is precluded from introducing any evidence relating to the MLD transaction.</w:t>
      </w:r>
    </w:p>
    <w:p>
      <w:pPr>
        <w:spacing w:after="0" w:line="535" w:lineRule="auto"/>
        <w:jc w:val="left"/>
        <w:rPr>
          <w:sz w:val="20"/>
        </w:rPr>
        <w:sectPr>
          <w:headerReference w:type="default" r:id="rId32"/>
          <w:footerReference w:type="default" r:id="rId33"/>
          <w:pgSz w:w="12240" w:h="15840"/>
          <w:pgMar w:header="0" w:footer="0" w:top="1500" w:bottom="280" w:left="1400" w:right="13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pPr>
    </w:p>
    <w:p>
      <w:pPr>
        <w:pStyle w:val="BodyText"/>
        <w:spacing w:line="261" w:lineRule="auto"/>
        <w:ind w:left="1021" w:right="6465" w:hanging="680"/>
      </w:pPr>
      <w:r>
        <w:rPr>
          <w:w w:val="105"/>
        </w:rPr>
        <w:t>Dated: February 16, 2011 New York, New York</w:t>
      </w:r>
    </w:p>
    <w:p>
      <w:pPr>
        <w:pStyle w:val="BodyText"/>
        <w:rPr>
          <w:sz w:val="20"/>
        </w:rPr>
      </w:pPr>
    </w:p>
    <w:p>
      <w:pPr>
        <w:pStyle w:val="BodyText"/>
        <w:spacing w:before="5"/>
        <w:rPr>
          <w:sz w:val="17"/>
        </w:rPr>
      </w:pPr>
    </w:p>
    <w:p>
      <w:pPr>
        <w:pStyle w:val="BodyText"/>
        <w:spacing w:before="91"/>
        <w:ind w:left="5043"/>
      </w:pPr>
      <w:r>
        <w:rPr>
          <w:w w:val="105"/>
        </w:rPr>
        <w:t>SO ORDERED: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2"/>
        </w:rPr>
      </w:pPr>
    </w:p>
    <w:p>
      <w:pPr>
        <w:pStyle w:val="BodyText"/>
        <w:spacing w:before="10"/>
        <w:rPr>
          <w:sz w:val="10"/>
        </w:rPr>
      </w:pPr>
    </w:p>
    <w:p>
      <w:pPr>
        <w:tabs>
          <w:tab w:pos="5587" w:val="left" w:leader="none"/>
          <w:tab w:pos="6500" w:val="left" w:leader="none"/>
          <w:tab w:pos="7529" w:val="left" w:leader="none"/>
          <w:tab w:pos="8725" w:val="left" w:leader="none"/>
        </w:tabs>
        <w:spacing w:line="25" w:lineRule="exact" w:before="0"/>
        <w:ind w:left="4792" w:right="0" w:firstLine="0"/>
        <w:jc w:val="left"/>
        <w:rPr>
          <w:rFonts w:ascii="Arial" w:hAnsi="Arial"/>
          <w:i/>
          <w:sz w:val="11"/>
        </w:rPr>
      </w:pPr>
      <w:r>
        <w:rPr>
          <w:rFonts w:ascii="Arial" w:hAnsi="Arial"/>
          <w:w w:val="100"/>
          <w:sz w:val="11"/>
          <w:u w:val="thick"/>
        </w:rPr>
        <w:t> </w:t>
      </w:r>
      <w:r>
        <w:rPr>
          <w:rFonts w:ascii="Arial" w:hAnsi="Arial"/>
          <w:sz w:val="11"/>
          <w:u w:val="thick"/>
        </w:rPr>
        <w:tab/>
      </w:r>
      <w:r>
        <w:rPr>
          <w:rFonts w:ascii="Arial" w:hAnsi="Arial"/>
          <w:sz w:val="11"/>
        </w:rPr>
        <w:t>     </w:t>
      </w:r>
      <w:r>
        <w:rPr>
          <w:rFonts w:ascii="Arial" w:hAnsi="Arial"/>
          <w:spacing w:val="-12"/>
          <w:sz w:val="11"/>
        </w:rPr>
        <w:t> </w:t>
      </w:r>
      <w:r>
        <w:rPr>
          <w:rFonts w:ascii="Arial" w:hAnsi="Arial"/>
          <w:w w:val="100"/>
          <w:sz w:val="11"/>
          <w:u w:val="thick"/>
        </w:rPr>
        <w:t> </w:t>
      </w:r>
      <w:r>
        <w:rPr>
          <w:rFonts w:ascii="Arial" w:hAnsi="Arial"/>
          <w:sz w:val="11"/>
          <w:u w:val="thick"/>
        </w:rPr>
        <w:tab/>
      </w:r>
      <w:r>
        <w:rPr>
          <w:rFonts w:ascii="Arial" w:hAnsi="Arial"/>
          <w:sz w:val="11"/>
        </w:rPr>
        <w:t>    </w:t>
      </w:r>
      <w:r>
        <w:rPr>
          <w:rFonts w:ascii="Arial" w:hAnsi="Arial"/>
          <w:w w:val="510"/>
          <w:sz w:val="11"/>
          <w:u w:val="thick"/>
        </w:rPr>
        <w:t>"'- </w:t>
        <w:tab/>
      </w:r>
      <w:r>
        <w:rPr>
          <w:rFonts w:ascii="Arial" w:hAnsi="Arial"/>
          <w:i/>
          <w:w w:val="120"/>
          <w:sz w:val="11"/>
          <w:u w:val="thick"/>
        </w:rPr>
        <w:t>C¼,</w:t>
      </w:r>
      <w:r>
        <w:rPr>
          <w:rFonts w:ascii="Arial" w:hAnsi="Arial"/>
          <w:i/>
          <w:sz w:val="11"/>
          <w:u w:val="thick"/>
        </w:rPr>
        <w:tab/>
      </w:r>
    </w:p>
    <w:p>
      <w:pPr>
        <w:spacing w:line="366" w:lineRule="exact" w:before="0"/>
        <w:ind w:left="5572" w:right="1351" w:firstLine="0"/>
        <w:jc w:val="center"/>
        <w:rPr>
          <w:rFonts w:ascii="Arial"/>
          <w:sz w:val="33"/>
        </w:rPr>
      </w:pPr>
      <w:r>
        <w:rPr>
          <w:sz w:val="23"/>
          <w:u w:val="thick"/>
        </w:rPr>
        <w:t>WILLIAM</w:t>
      </w:r>
      <w:r>
        <w:rPr>
          <w:sz w:val="23"/>
        </w:rPr>
        <w:t> </w:t>
      </w:r>
      <w:r>
        <w:rPr>
          <w:rFonts w:ascii="Arial"/>
          <w:sz w:val="22"/>
        </w:rPr>
        <w:t>H. </w:t>
      </w:r>
      <w:r>
        <w:rPr>
          <w:sz w:val="21"/>
        </w:rPr>
        <w:t>PAULEY </w:t>
      </w:r>
      <w:r>
        <w:rPr>
          <w:rFonts w:ascii="Arial"/>
          <w:sz w:val="33"/>
        </w:rPr>
        <w:t>III</w:t>
      </w:r>
    </w:p>
    <w:p>
      <w:pPr>
        <w:pStyle w:val="BodyText"/>
        <w:spacing w:line="238" w:lineRule="exact"/>
        <w:ind w:right="2289"/>
        <w:jc w:val="right"/>
      </w:pPr>
      <w:r>
        <w:rPr>
          <w:w w:val="120"/>
        </w:rPr>
        <w:t>US.DJ.</w:t>
      </w:r>
    </w:p>
    <w:p>
      <w:pPr>
        <w:pStyle w:val="BodyText"/>
        <w:rPr>
          <w:sz w:val="20"/>
        </w:rPr>
      </w:pPr>
    </w:p>
    <w:p>
      <w:pPr>
        <w:pStyle w:val="BodyText"/>
        <w:rPr>
          <w:sz w:val="20"/>
        </w:rPr>
      </w:pPr>
    </w:p>
    <w:p>
      <w:pPr>
        <w:pStyle w:val="BodyText"/>
        <w:spacing w:before="1"/>
        <w:rPr>
          <w:sz w:val="20"/>
        </w:rPr>
      </w:pPr>
    </w:p>
    <w:p>
      <w:pPr>
        <w:spacing w:before="91"/>
        <w:ind w:left="336" w:right="0" w:firstLine="0"/>
        <w:jc w:val="left"/>
        <w:rPr>
          <w:i/>
          <w:sz w:val="22"/>
        </w:rPr>
      </w:pPr>
      <w:r>
        <w:rPr>
          <w:i/>
          <w:sz w:val="22"/>
        </w:rPr>
        <w:t>All Counsel of Record</w:t>
      </w:r>
    </w:p>
    <w:sectPr>
      <w:headerReference w:type="default" r:id="rId34"/>
      <w:footerReference w:type="default" r:id="rId35"/>
      <w:pgSz w:w="12240" w:h="15840"/>
      <w:pgMar w:header="0" w:footer="0" w:top="1500" w:bottom="280" w:left="140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2.657196pt;margin-top:730.480408pt;width:7.85pt;height:12.65pt;mso-position-horizontal-relative:page;mso-position-vertical-relative:page;z-index:-16576" type="#_x0000_t202" filled="false" stroked="false">
          <v:textbox inset="0,0,0,0">
            <w:txbxContent>
              <w:p>
                <w:pPr>
                  <w:spacing w:before="14"/>
                  <w:ind w:left="20" w:right="0" w:firstLine="0"/>
                  <w:jc w:val="left"/>
                  <w:rPr>
                    <w:rFonts w:ascii="Arial"/>
                    <w:sz w:val="19"/>
                  </w:rPr>
                </w:pPr>
                <w:r>
                  <w:rPr>
                    <w:rFonts w:ascii="Arial"/>
                    <w:w w:val="110"/>
                    <w:sz w:val="19"/>
                  </w:rPr>
                  <w:t>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1.545685pt;margin-top:728.522278pt;width:7.65pt;height:13.65pt;mso-position-horizontal-relative:page;mso-position-vertical-relative:page;z-index:-16504" type="#_x0000_t202" filled="false" stroked="false">
          <v:textbox inset="0,0,0,0">
            <w:txbxContent>
              <w:p>
                <w:pPr>
                  <w:pStyle w:val="BodyText"/>
                  <w:spacing w:before="11"/>
                  <w:ind w:left="20"/>
                </w:pPr>
                <w:r>
                  <w:rPr>
                    <w:w w:val="107"/>
                  </w:rPr>
                  <w:t>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2.766693pt;margin-top:729.207581pt;width:7.55pt;height:13.1pt;mso-position-horizontal-relative:page;mso-position-vertical-relative:page;z-index:-16432" type="#_x0000_t202" filled="false" stroked="false">
          <v:textbox inset="0,0,0,0">
            <w:txbxContent>
              <w:p>
                <w:pPr>
                  <w:spacing w:before="11"/>
                  <w:ind w:left="20" w:right="0" w:firstLine="0"/>
                  <w:jc w:val="left"/>
                  <w:rPr>
                    <w:sz w:val="20"/>
                  </w:rPr>
                </w:pPr>
                <w:r>
                  <w:rPr>
                    <w:w w:val="110"/>
                    <w:sz w:val="20"/>
                  </w:rPr>
                  <w:t>4</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1.461487pt;margin-top:727.561157pt;width:7.65pt;height:13.65pt;mso-position-horizontal-relative:page;mso-position-vertical-relative:page;z-index:-16360" type="#_x0000_t202" filled="false" stroked="false">
          <v:textbox inset="0,0,0,0">
            <w:txbxContent>
              <w:p>
                <w:pPr>
                  <w:pStyle w:val="BodyText"/>
                  <w:spacing w:before="11"/>
                  <w:ind w:left="20"/>
                </w:pPr>
                <w:r>
                  <w:rPr>
                    <w:w w:val="107"/>
                  </w:rPr>
                  <w:t>5</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0.065094pt;margin-top:727.891968pt;width:10.95pt;height:14.4pt;mso-position-horizontal-relative:page;mso-position-vertical-relative:page;z-index:-16288" type="#_x0000_t202" filled="false" stroked="false">
          <v:textbox inset="0,0,0,0">
            <w:txbxContent>
              <w:p>
                <w:pPr>
                  <w:spacing w:before="14"/>
                  <w:ind w:left="40" w:right="0" w:firstLine="0"/>
                  <w:jc w:val="left"/>
                  <w:rPr>
                    <w:sz w:val="22"/>
                  </w:rPr>
                </w:pPr>
                <w:r>
                  <w:rPr/>
                  <w:fldChar w:fldCharType="begin"/>
                </w:r>
                <w:r>
                  <w:rPr>
                    <w:w w:val="101"/>
                    <w:sz w:val="22"/>
                  </w:rPr>
                  <w:instrText> PAGE </w:instrText>
                </w:r>
                <w:r>
                  <w:rPr/>
                  <w:fldChar w:fldCharType="separate"/>
                </w:r>
                <w:r>
                  <w:rPr/>
                  <w:t>8</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7.343292pt;margin-top:726.930664pt;width:16.05pt;height:15.15pt;mso-position-horizontal-relative:page;mso-position-vertical-relative:page;z-index:-16120" type="#_x0000_t202" filled="false" stroked="false">
          <v:textbox inset="0,0,0,0">
            <w:txbxContent>
              <w:p>
                <w:pPr>
                  <w:pStyle w:val="BodyText"/>
                  <w:spacing w:before="24"/>
                  <w:ind w:left="54"/>
                </w:pPr>
                <w:r>
                  <w:rPr/>
                  <w:fldChar w:fldCharType="begin"/>
                </w:r>
                <w:r>
                  <w:rPr>
                    <w:w w:val="105"/>
                  </w:rPr>
                  <w:instrText> PAGE </w:instrText>
                </w:r>
                <w:r>
                  <w:rPr/>
                  <w:fldChar w:fldCharType="separate"/>
                </w:r>
                <w:r>
                  <w:rPr/>
                  <w:t>10</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154785pt;margin-top:717.678955pt;width:7.3pt;height:13.1pt;mso-position-horizontal-relative:page;mso-position-vertical-relative:page;z-index:-15832" type="#_x0000_t202" filled="false" stroked="false">
          <v:textbox inset="0,0,0,0">
            <w:txbxContent>
              <w:p>
                <w:pPr>
                  <w:spacing w:before="11"/>
                  <w:ind w:left="20" w:right="0" w:firstLine="0"/>
                  <w:jc w:val="left"/>
                  <w:rPr>
                    <w:sz w:val="20"/>
                  </w:rPr>
                </w:pPr>
                <w:r>
                  <w:rPr>
                    <w:w w:val="105"/>
                    <w:sz w:val="20"/>
                  </w:rPr>
                  <w:t>1</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29.692902pt;margin-top:42.564644pt;width:216.25pt;height:14.8pt;mso-position-horizontal-relative:page;mso-position-vertical-relative:page;z-index:-16864" type="#_x0000_t202" filled="false" stroked="false">
          <v:textbox inset="0,0,0,0">
            <w:txbxContent>
              <w:p>
                <w:pPr>
                  <w:spacing w:before="10"/>
                  <w:ind w:left="20" w:right="0" w:firstLine="0"/>
                  <w:jc w:val="left"/>
                  <w:rPr>
                    <w:rFonts w:ascii="Arial"/>
                    <w:sz w:val="22"/>
                  </w:rPr>
                </w:pPr>
                <w:r>
                  <w:rPr>
                    <w:rFonts w:ascii="Arial"/>
                    <w:sz w:val="22"/>
                  </w:rPr>
                  <w:t>Case </w:t>
                </w:r>
                <w:r>
                  <w:rPr>
                    <w:sz w:val="23"/>
                  </w:rPr>
                  <w:t>i </w:t>
                </w:r>
                <w:r>
                  <w:rPr>
                    <w:rFonts w:ascii="Arial"/>
                    <w:sz w:val="22"/>
                  </w:rPr>
                  <w:t>:09-cr-00581-WHP Document 277</w:t>
                </w:r>
              </w:p>
            </w:txbxContent>
          </v:textbox>
          <w10:wrap type="none"/>
        </v:shape>
      </w:pict>
    </w:r>
    <w:r>
      <w:rPr/>
      <w:pict>
        <v:shape style="position:absolute;margin-left:356.733307pt;margin-top:42.85479pt;width:147.4pt;height:14.35pt;mso-position-horizontal-relative:page;mso-position-vertical-relative:page;z-index:-16840" type="#_x0000_t202" filled="false" stroked="false">
          <v:textbox inset="0,0,0,0">
            <w:txbxContent>
              <w:p>
                <w:pPr>
                  <w:spacing w:before="13"/>
                  <w:ind w:left="20" w:right="0" w:firstLine="0"/>
                  <w:jc w:val="left"/>
                  <w:rPr>
                    <w:rFonts w:ascii="Arial"/>
                    <w:sz w:val="22"/>
                  </w:rPr>
                </w:pPr>
                <w:r>
                  <w:rPr>
                    <w:rFonts w:ascii="Arial"/>
                    <w:sz w:val="22"/>
                  </w:rPr>
                  <w:t>Filed 01/27/11 Page 1 of 17</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5.606697pt;margin-top:39.010208pt;width:215.75pt;height:14.35pt;mso-position-horizontal-relative:page;mso-position-vertical-relative:page;z-index:-16264" type="#_x0000_t202" filled="false" stroked="false">
          <v:textbox inset="0,0,0,0">
            <w:txbxContent>
              <w:p>
                <w:pPr>
                  <w:spacing w:before="13"/>
                  <w:ind w:left="20" w:right="0" w:firstLine="0"/>
                  <w:jc w:val="left"/>
                  <w:rPr>
                    <w:rFonts w:ascii="Arial"/>
                    <w:sz w:val="22"/>
                  </w:rPr>
                </w:pPr>
                <w:r>
                  <w:rPr>
                    <w:rFonts w:ascii="Arial"/>
                    <w:sz w:val="22"/>
                  </w:rPr>
                  <w:t>Case 1:09-cr-00581-WHP Document 277</w:t>
                </w:r>
              </w:p>
            </w:txbxContent>
          </v:textbox>
          <w10:wrap type="none"/>
        </v:shape>
      </w:pict>
    </w:r>
    <w:r>
      <w:rPr/>
      <w:pict>
        <v:shape style="position:absolute;margin-left:352.166595pt;margin-top:39.010208pt;width:153.65pt;height:14.35pt;mso-position-horizontal-relative:page;mso-position-vertical-relative:page;z-index:-16240" type="#_x0000_t202" filled="false" stroked="false">
          <v:textbox inset="0,0,0,0">
            <w:txbxContent>
              <w:p>
                <w:pPr>
                  <w:spacing w:before="13"/>
                  <w:ind w:left="20" w:right="0" w:firstLine="0"/>
                  <w:jc w:val="left"/>
                  <w:rPr>
                    <w:rFonts w:ascii="Arial"/>
                    <w:sz w:val="22"/>
                  </w:rPr>
                </w:pPr>
                <w:r>
                  <w:rPr>
                    <w:rFonts w:ascii="Arial"/>
                    <w:sz w:val="22"/>
                  </w:rPr>
                  <w:t>Filed 01/27/11 Page 10 of 17</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4.885696pt;margin-top:39.490749pt;width:214.35pt;height:14.35pt;mso-position-horizontal-relative:page;mso-position-vertical-relative:page;z-index:-16216" type="#_x0000_t202" filled="false" stroked="false">
          <v:textbox inset="0,0,0,0">
            <w:txbxContent>
              <w:p>
                <w:pPr>
                  <w:spacing w:before="13"/>
                  <w:ind w:left="20" w:right="0" w:firstLine="0"/>
                  <w:jc w:val="left"/>
                  <w:rPr>
                    <w:rFonts w:ascii="Arial"/>
                    <w:sz w:val="22"/>
                  </w:rPr>
                </w:pPr>
                <w:r>
                  <w:rPr>
                    <w:rFonts w:ascii="Arial"/>
                    <w:w w:val="105"/>
                    <w:sz w:val="22"/>
                  </w:rPr>
                  <w:t>Case 1:09-cr-00581-WHP Document277</w:t>
                </w:r>
              </w:p>
            </w:txbxContent>
          </v:textbox>
          <w10:wrap type="none"/>
        </v:shape>
      </w:pict>
    </w:r>
    <w:r>
      <w:rPr/>
      <w:pict>
        <v:shape style="position:absolute;margin-left:351.445892pt;margin-top:39.490749pt;width:153.15pt;height:14.35pt;mso-position-horizontal-relative:page;mso-position-vertical-relative:page;z-index:-16192" type="#_x0000_t202" filled="false" stroked="false">
          <v:textbox inset="0,0,0,0">
            <w:txbxContent>
              <w:p>
                <w:pPr>
                  <w:tabs>
                    <w:tab w:pos="1650" w:val="left" w:leader="none"/>
                  </w:tabs>
                  <w:spacing w:before="13"/>
                  <w:ind w:left="20" w:right="0" w:firstLine="0"/>
                  <w:jc w:val="left"/>
                  <w:rPr>
                    <w:rFonts w:ascii="Arial"/>
                    <w:sz w:val="22"/>
                  </w:rPr>
                </w:pPr>
                <w:r>
                  <w:rPr>
                    <w:rFonts w:ascii="Arial"/>
                    <w:sz w:val="22"/>
                  </w:rPr>
                  <w:t>Filed</w:t>
                </w:r>
                <w:r>
                  <w:rPr>
                    <w:rFonts w:ascii="Arial"/>
                    <w:spacing w:val="13"/>
                    <w:sz w:val="22"/>
                  </w:rPr>
                  <w:t> </w:t>
                </w:r>
                <w:r>
                  <w:rPr>
                    <w:rFonts w:ascii="Arial"/>
                    <w:sz w:val="22"/>
                  </w:rPr>
                  <w:t>01/27/11</w:t>
                  <w:tab/>
                  <w:t>Page 11 of</w:t>
                </w:r>
                <w:r>
                  <w:rPr>
                    <w:rFonts w:ascii="Arial"/>
                    <w:spacing w:val="14"/>
                    <w:sz w:val="22"/>
                  </w:rPr>
                  <w:t> </w:t>
                </w:r>
                <w:r>
                  <w:rPr>
                    <w:rFonts w:ascii="Arial"/>
                    <w:sz w:val="22"/>
                  </w:rPr>
                  <w:t>17</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5.846703pt;margin-top:39.490791pt;width:192.8pt;height:14.35pt;mso-position-horizontal-relative:page;mso-position-vertical-relative:page;z-index:-16168" type="#_x0000_t202" filled="false" stroked="false">
          <v:textbox inset="0,0,0,0">
            <w:txbxContent>
              <w:p>
                <w:pPr>
                  <w:spacing w:before="13"/>
                  <w:ind w:left="20" w:right="0" w:firstLine="0"/>
                  <w:jc w:val="left"/>
                  <w:rPr>
                    <w:rFonts w:ascii="Arial"/>
                    <w:sz w:val="22"/>
                  </w:rPr>
                </w:pPr>
                <w:r>
                  <w:rPr>
                    <w:rFonts w:ascii="Arial"/>
                    <w:sz w:val="22"/>
                  </w:rPr>
                  <w:t>Case 1:09-cr-00581-WHP</w:t>
                </w:r>
                <w:r>
                  <w:rPr>
                    <w:rFonts w:ascii="Arial"/>
                    <w:spacing w:val="59"/>
                    <w:sz w:val="22"/>
                  </w:rPr>
                  <w:t> </w:t>
                </w:r>
                <w:r>
                  <w:rPr>
                    <w:rFonts w:ascii="Arial"/>
                    <w:sz w:val="22"/>
                  </w:rPr>
                  <w:t>Document</w:t>
                </w:r>
              </w:p>
            </w:txbxContent>
          </v:textbox>
          <w10:wrap type="none"/>
        </v:shape>
      </w:pict>
    </w:r>
    <w:r>
      <w:rPr/>
      <w:pict>
        <v:shape style="position:absolute;margin-left:380.008911pt;margin-top:40.21159pt;width:125.25pt;height:14.35pt;mso-position-horizontal-relative:page;mso-position-vertical-relative:page;z-index:-16144" type="#_x0000_t202" filled="false" stroked="false">
          <v:textbox inset="0,0,0,0">
            <w:txbxContent>
              <w:p>
                <w:pPr>
                  <w:spacing w:before="13"/>
                  <w:ind w:left="20" w:right="0" w:firstLine="0"/>
                  <w:jc w:val="left"/>
                  <w:rPr>
                    <w:rFonts w:ascii="Arial"/>
                    <w:sz w:val="22"/>
                  </w:rPr>
                </w:pPr>
                <w:r>
                  <w:rPr>
                    <w:rFonts w:ascii="Arial"/>
                    <w:w w:val="115"/>
                    <w:sz w:val="22"/>
                  </w:rPr>
                  <w:t>01/27/11 Page12ofi7</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4.885498pt;margin-top:39.010208pt;width:216pt;height:14.35pt;mso-position-horizontal-relative:page;mso-position-vertical-relative:page;z-index:-16096" type="#_x0000_t202" filled="false" stroked="false">
          <v:textbox inset="0,0,0,0">
            <w:txbxContent>
              <w:p>
                <w:pPr>
                  <w:spacing w:before="13"/>
                  <w:ind w:left="20" w:right="0" w:firstLine="0"/>
                  <w:jc w:val="left"/>
                  <w:rPr>
                    <w:rFonts w:ascii="Arial"/>
                    <w:sz w:val="22"/>
                  </w:rPr>
                </w:pPr>
                <w:r>
                  <w:rPr>
                    <w:rFonts w:ascii="Arial"/>
                    <w:sz w:val="22"/>
                  </w:rPr>
                  <w:t>Case 1:09-cr-00581-WHP Document 277</w:t>
                </w:r>
              </w:p>
            </w:txbxContent>
          </v:textbox>
          <w10:wrap type="none"/>
        </v:shape>
      </w:pict>
    </w:r>
    <w:r>
      <w:rPr/>
      <w:pict>
        <v:shape style="position:absolute;margin-left:351.685913pt;margin-top:39.010208pt;width:153.4pt;height:14.35pt;mso-position-horizontal-relative:page;mso-position-vertical-relative:page;z-index:-16072" type="#_x0000_t202" filled="false" stroked="false">
          <v:textbox inset="0,0,0,0">
            <w:txbxContent>
              <w:p>
                <w:pPr>
                  <w:spacing w:before="13"/>
                  <w:ind w:left="20" w:right="0" w:firstLine="0"/>
                  <w:jc w:val="left"/>
                  <w:rPr>
                    <w:rFonts w:ascii="Arial"/>
                    <w:sz w:val="22"/>
                  </w:rPr>
                </w:pPr>
                <w:r>
                  <w:rPr>
                    <w:rFonts w:ascii="Arial"/>
                    <w:sz w:val="22"/>
                  </w:rPr>
                  <w:t>Filed 01/27/11 Page 13 of 17</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4.405098pt;margin-top:38.049068pt;width:193.3pt;height:14.35pt;mso-position-horizontal-relative:page;mso-position-vertical-relative:page;z-index:-16048" type="#_x0000_t202" filled="false" stroked="false">
          <v:textbox inset="0,0,0,0">
            <w:txbxContent>
              <w:p>
                <w:pPr>
                  <w:spacing w:before="13"/>
                  <w:ind w:left="20" w:right="0" w:firstLine="0"/>
                  <w:jc w:val="left"/>
                  <w:rPr>
                    <w:rFonts w:ascii="Arial"/>
                    <w:sz w:val="22"/>
                  </w:rPr>
                </w:pPr>
                <w:r>
                  <w:rPr>
                    <w:rFonts w:ascii="Arial"/>
                    <w:sz w:val="22"/>
                  </w:rPr>
                  <w:t>Case 1:09-cr-00581-WHP Document</w:t>
                </w:r>
              </w:p>
            </w:txbxContent>
          </v:textbox>
          <w10:wrap type="none"/>
        </v:shape>
      </w:pict>
    </w:r>
    <w:r>
      <w:rPr/>
      <w:pict>
        <v:shape style="position:absolute;margin-left:351.205994pt;margin-top:38.76997pt;width:153.4pt;height:14.35pt;mso-position-horizontal-relative:page;mso-position-vertical-relative:page;z-index:-16024" type="#_x0000_t202" filled="false" stroked="false">
          <v:textbox inset="0,0,0,0">
            <w:txbxContent>
              <w:p>
                <w:pPr>
                  <w:spacing w:before="13"/>
                  <w:ind w:left="20" w:right="0" w:firstLine="0"/>
                  <w:jc w:val="left"/>
                  <w:rPr>
                    <w:rFonts w:ascii="Arial"/>
                    <w:sz w:val="22"/>
                  </w:rPr>
                </w:pPr>
                <w:r>
                  <w:rPr>
                    <w:rFonts w:ascii="Arial"/>
                    <w:sz w:val="22"/>
                  </w:rPr>
                  <w:t>Filed 01/27/11 Page 14 of 17</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2.457298pt;margin-top:36.634796pt;width:215.9pt;height:14.9pt;mso-position-horizontal-relative:page;mso-position-vertical-relative:page;z-index:-16000" type="#_x0000_t202" filled="false" stroked="false">
          <v:textbox inset="0,0,0,0">
            <w:txbxContent>
              <w:p>
                <w:pPr>
                  <w:spacing w:before="12"/>
                  <w:ind w:left="20" w:right="0" w:firstLine="0"/>
                  <w:jc w:val="left"/>
                  <w:rPr>
                    <w:rFonts w:ascii="Arial"/>
                    <w:sz w:val="23"/>
                  </w:rPr>
                </w:pPr>
                <w:r>
                  <w:rPr>
                    <w:rFonts w:ascii="Arial"/>
                    <w:sz w:val="23"/>
                  </w:rPr>
                  <w:t>Case 1:09-cr-00581-WHP Document 277</w:t>
                </w:r>
              </w:p>
            </w:txbxContent>
          </v:textbox>
          <w10:wrap type="none"/>
        </v:shape>
      </w:pict>
    </w:r>
    <w:r>
      <w:rPr/>
      <w:pict>
        <v:shape style="position:absolute;margin-left:349.242615pt;margin-top:36.634796pt;width:153.7pt;height:14.9pt;mso-position-horizontal-relative:page;mso-position-vertical-relative:page;z-index:-15976" type="#_x0000_t202" filled="false" stroked="false">
          <v:textbox inset="0,0,0,0">
            <w:txbxContent>
              <w:p>
                <w:pPr>
                  <w:tabs>
                    <w:tab w:pos="1650" w:val="left" w:leader="none"/>
                  </w:tabs>
                  <w:spacing w:before="12"/>
                  <w:ind w:left="20" w:right="0" w:firstLine="0"/>
                  <w:jc w:val="left"/>
                  <w:rPr>
                    <w:rFonts w:ascii="Arial"/>
                    <w:sz w:val="23"/>
                  </w:rPr>
                </w:pPr>
                <w:r>
                  <w:rPr>
                    <w:rFonts w:ascii="Arial"/>
                    <w:sz w:val="23"/>
                  </w:rPr>
                  <w:t>Filed</w:t>
                </w:r>
                <w:r>
                  <w:rPr>
                    <w:rFonts w:ascii="Arial"/>
                    <w:spacing w:val="-12"/>
                    <w:sz w:val="23"/>
                  </w:rPr>
                  <w:t> </w:t>
                </w:r>
                <w:r>
                  <w:rPr>
                    <w:rFonts w:ascii="Arial"/>
                    <w:sz w:val="23"/>
                  </w:rPr>
                  <w:t>01/27/11</w:t>
                  <w:tab/>
                  <w:t>Page 15 of</w:t>
                </w:r>
                <w:r>
                  <w:rPr>
                    <w:rFonts w:ascii="Arial"/>
                    <w:spacing w:val="-32"/>
                    <w:sz w:val="23"/>
                  </w:rPr>
                  <w:t> </w:t>
                </w:r>
                <w:r>
                  <w:rPr>
                    <w:rFonts w:ascii="Arial"/>
                    <w:sz w:val="23"/>
                  </w:rPr>
                  <w:t>17</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5.366898pt;margin-top:37.087978pt;width:216.4pt;height:14.35pt;mso-position-horizontal-relative:page;mso-position-vertical-relative:page;z-index:-15952" type="#_x0000_t202" filled="false" stroked="false">
          <v:textbox inset="0,0,0,0">
            <w:txbxContent>
              <w:p>
                <w:pPr>
                  <w:spacing w:before="13"/>
                  <w:ind w:left="20" w:right="0" w:firstLine="0"/>
                  <w:jc w:val="left"/>
                  <w:rPr>
                    <w:rFonts w:ascii="Arial"/>
                    <w:sz w:val="22"/>
                  </w:rPr>
                </w:pPr>
                <w:r>
                  <w:rPr>
                    <w:rFonts w:ascii="Arial"/>
                    <w:w w:val="105"/>
                    <w:sz w:val="22"/>
                  </w:rPr>
                  <w:t>Case 1:09-cr-00581-WHP Document 277</w:t>
                </w:r>
              </w:p>
            </w:txbxContent>
          </v:textbox>
          <w10:wrap type="none"/>
        </v:shape>
      </w:pict>
    </w:r>
    <w:r>
      <w:rPr/>
      <w:pict>
        <v:shape style="position:absolute;margin-left:352.408691pt;margin-top:37.087978pt;width:153.75pt;height:14.35pt;mso-position-horizontal-relative:page;mso-position-vertical-relative:page;z-index:-15928" type="#_x0000_t202" filled="false" stroked="false">
          <v:textbox inset="0,0,0,0">
            <w:txbxContent>
              <w:p>
                <w:pPr>
                  <w:spacing w:before="13"/>
                  <w:ind w:left="20" w:right="0" w:firstLine="0"/>
                  <w:jc w:val="left"/>
                  <w:rPr>
                    <w:rFonts w:ascii="Arial"/>
                    <w:sz w:val="22"/>
                  </w:rPr>
                </w:pPr>
                <w:r>
                  <w:rPr>
                    <w:rFonts w:ascii="Arial"/>
                    <w:w w:val="105"/>
                    <w:sz w:val="22"/>
                  </w:rPr>
                  <w:t>Filed 01/27/11 Page 16 of 17</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3.684196pt;margin-top:38.049080pt;width:216.25pt;height:14.35pt;mso-position-horizontal-relative:page;mso-position-vertical-relative:page;z-index:-15904" type="#_x0000_t202" filled="false" stroked="false">
          <v:textbox inset="0,0,0,0">
            <w:txbxContent>
              <w:p>
                <w:pPr>
                  <w:spacing w:before="13"/>
                  <w:ind w:left="20" w:right="0" w:firstLine="0"/>
                  <w:jc w:val="left"/>
                  <w:rPr>
                    <w:rFonts w:ascii="Arial"/>
                    <w:sz w:val="22"/>
                  </w:rPr>
                </w:pPr>
                <w:r>
                  <w:rPr>
                    <w:rFonts w:ascii="Arial"/>
                    <w:sz w:val="22"/>
                  </w:rPr>
                  <w:t>Case 1:09-cr-00581-WHP Document 277</w:t>
                </w:r>
              </w:p>
            </w:txbxContent>
          </v:textbox>
          <w10:wrap type="none"/>
        </v:shape>
      </w:pict>
    </w:r>
    <w:r>
      <w:rPr/>
      <w:pict>
        <v:shape style="position:absolute;margin-left:350.966187pt;margin-top:38.049080pt;width:73.1pt;height:14.35pt;mso-position-horizontal-relative:page;mso-position-vertical-relative:page;z-index:-15880" type="#_x0000_t202" filled="false" stroked="false">
          <v:textbox inset="0,0,0,0">
            <w:txbxContent>
              <w:p>
                <w:pPr>
                  <w:spacing w:before="13"/>
                  <w:ind w:left="20" w:right="0" w:firstLine="0"/>
                  <w:jc w:val="left"/>
                  <w:rPr>
                    <w:rFonts w:ascii="Arial"/>
                    <w:sz w:val="22"/>
                  </w:rPr>
                </w:pPr>
                <w:r>
                  <w:rPr>
                    <w:rFonts w:ascii="Arial"/>
                    <w:sz w:val="22"/>
                  </w:rPr>
                  <w:t>Filed 01/27/11</w:t>
                </w:r>
              </w:p>
            </w:txbxContent>
          </v:textbox>
          <w10:wrap type="none"/>
        </v:shape>
      </w:pict>
    </w:r>
    <w:r>
      <w:rPr/>
      <w:pict>
        <v:shape style="position:absolute;margin-left:461.492401pt;margin-top:38.049080pt;width:42.65pt;height:14.35pt;mso-position-horizontal-relative:page;mso-position-vertical-relative:page;z-index:-15856" type="#_x0000_t202" filled="false" stroked="false">
          <v:textbox inset="0,0,0,0">
            <w:txbxContent>
              <w:p>
                <w:pPr>
                  <w:spacing w:before="13"/>
                  <w:ind w:left="20" w:right="0" w:firstLine="0"/>
                  <w:jc w:val="left"/>
                  <w:rPr>
                    <w:rFonts w:ascii="Arial"/>
                    <w:sz w:val="22"/>
                  </w:rPr>
                </w:pPr>
                <w:r>
                  <w:rPr>
                    <w:rFonts w:ascii="Arial"/>
                    <w:sz w:val="22"/>
                  </w:rPr>
                  <w:t>17 of 17</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7.899399pt;margin-top:41.172878pt;width:186.3pt;height:14.35pt;mso-position-horizontal-relative:page;mso-position-vertical-relative:page;z-index:-16816" type="#_x0000_t202" filled="false" stroked="false">
          <v:textbox inset="0,0,0,0">
            <w:txbxContent>
              <w:p>
                <w:pPr>
                  <w:spacing w:before="13"/>
                  <w:ind w:left="20" w:right="0" w:firstLine="0"/>
                  <w:jc w:val="left"/>
                  <w:rPr>
                    <w:rFonts w:ascii="Arial"/>
                    <w:sz w:val="22"/>
                  </w:rPr>
                </w:pPr>
                <w:r>
                  <w:rPr>
                    <w:rFonts w:ascii="Arial"/>
                    <w:sz w:val="22"/>
                  </w:rPr>
                  <w:t>1:09-cr-00581-VVHP Document 277</w:t>
                </w:r>
              </w:p>
            </w:txbxContent>
          </v:textbox>
          <w10:wrap type="none"/>
        </v:shape>
      </w:pict>
    </w:r>
    <w:r>
      <w:rPr/>
      <w:pict>
        <v:shape style="position:absolute;margin-left:355.052399pt;margin-top:41.172878pt;width:73.25pt;height:14.35pt;mso-position-horizontal-relative:page;mso-position-vertical-relative:page;z-index:-16792" type="#_x0000_t202" filled="false" stroked="false">
          <v:textbox inset="0,0,0,0">
            <w:txbxContent>
              <w:p>
                <w:pPr>
                  <w:spacing w:before="13"/>
                  <w:ind w:left="20" w:right="0" w:firstLine="0"/>
                  <w:jc w:val="left"/>
                  <w:rPr>
                    <w:rFonts w:ascii="Arial"/>
                    <w:sz w:val="22"/>
                  </w:rPr>
                </w:pPr>
                <w:r>
                  <w:rPr>
                    <w:rFonts w:ascii="Arial"/>
                    <w:w w:val="105"/>
                    <w:sz w:val="22"/>
                  </w:rPr>
                  <w:t>Filed 0'l/27/11</w:t>
                </w:r>
              </w:p>
            </w:txbxContent>
          </v:textbox>
          <w10:wrap type="none"/>
        </v:shape>
      </w:pict>
    </w:r>
    <w:r>
      <w:rPr/>
      <w:pict>
        <v:shape style="position:absolute;margin-left:466.045685pt;margin-top:41.363335pt;width:36.7pt;height:14.8pt;mso-position-horizontal-relative:page;mso-position-vertical-relative:page;z-index:-16768" type="#_x0000_t202" filled="false" stroked="false">
          <v:textbox inset="0,0,0,0">
            <w:txbxContent>
              <w:p>
                <w:pPr>
                  <w:spacing w:before="10"/>
                  <w:ind w:left="20" w:right="0" w:firstLine="0"/>
                  <w:jc w:val="left"/>
                  <w:rPr>
                    <w:sz w:val="23"/>
                  </w:rPr>
                </w:pPr>
                <w:r>
                  <w:rPr>
                    <w:w w:val="105"/>
                    <w:sz w:val="23"/>
                  </w:rPr>
                  <w:t>2 </w:t>
                </w:r>
                <w:r>
                  <w:rPr>
                    <w:rFonts w:ascii="Arial"/>
                    <w:w w:val="105"/>
                    <w:sz w:val="22"/>
                  </w:rPr>
                  <w:t>of </w:t>
                </w:r>
                <w:r>
                  <w:rPr>
                    <w:w w:val="105"/>
                    <w:sz w:val="23"/>
                  </w:rPr>
                  <w:t>17</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9.581497pt;margin-top:41.893711pt;width:186.35pt;height:14.35pt;mso-position-horizontal-relative:page;mso-position-vertical-relative:page;z-index:-16744" type="#_x0000_t202" filled="false" stroked="false">
          <v:textbox inset="0,0,0,0">
            <w:txbxContent>
              <w:p>
                <w:pPr>
                  <w:spacing w:before="13"/>
                  <w:ind w:left="20" w:right="0" w:firstLine="0"/>
                  <w:jc w:val="left"/>
                  <w:rPr>
                    <w:rFonts w:ascii="Arial"/>
                    <w:sz w:val="22"/>
                  </w:rPr>
                </w:pPr>
                <w:r>
                  <w:rPr>
                    <w:rFonts w:ascii="Arial"/>
                    <w:sz w:val="22"/>
                  </w:rPr>
                  <w:t>1 :09-cr-00581-WHP Document 277</w:t>
                </w:r>
              </w:p>
            </w:txbxContent>
          </v:textbox>
          <w10:wrap type="none"/>
        </v:shape>
      </w:pict>
    </w:r>
    <w:r>
      <w:rPr/>
      <w:pict>
        <v:shape style="position:absolute;margin-left:356.974304pt;margin-top:41.893711pt;width:73.350pt;height:14.35pt;mso-position-horizontal-relative:page;mso-position-vertical-relative:page;z-index:-16720" type="#_x0000_t202" filled="false" stroked="false">
          <v:textbox inset="0,0,0,0">
            <w:txbxContent>
              <w:p>
                <w:pPr>
                  <w:spacing w:before="13"/>
                  <w:ind w:left="20" w:right="0" w:firstLine="0"/>
                  <w:jc w:val="left"/>
                  <w:rPr>
                    <w:rFonts w:ascii="Arial"/>
                    <w:sz w:val="22"/>
                  </w:rPr>
                </w:pPr>
                <w:r>
                  <w:rPr>
                    <w:rFonts w:ascii="Arial"/>
                    <w:sz w:val="22"/>
                  </w:rPr>
                  <w:t>Filed 01/27/11</w:t>
                </w:r>
              </w:p>
            </w:txbxContent>
          </v:textbox>
          <w10:wrap type="none"/>
        </v:shape>
      </w:pict>
    </w:r>
    <w:r>
      <w:rPr/>
      <w:pict>
        <v:shape style="position:absolute;margin-left:467.767487pt;margin-top:43.067791pt;width:36.450pt;height:13.75pt;mso-position-horizontal-relative:page;mso-position-vertical-relative:page;z-index:-16696" type="#_x0000_t202" filled="false" stroked="false">
          <v:textbox inset="0,0,0,0">
            <w:txbxContent>
              <w:p>
                <w:pPr>
                  <w:pStyle w:val="BodyText"/>
                  <w:spacing w:before="13"/>
                  <w:ind w:left="20"/>
                  <w:rPr>
                    <w:rFonts w:ascii="Arial"/>
                  </w:rPr>
                </w:pPr>
                <w:r>
                  <w:rPr>
                    <w:rFonts w:ascii="Arial"/>
                    <w:w w:val="105"/>
                  </w:rPr>
                  <w:t>3 of 17</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8.619598pt;margin-top:41.893681pt;width:186.35pt;height:14.35pt;mso-position-horizontal-relative:page;mso-position-vertical-relative:page;z-index:-16672" type="#_x0000_t202" filled="false" stroked="false">
          <v:textbox inset="0,0,0,0">
            <w:txbxContent>
              <w:p>
                <w:pPr>
                  <w:spacing w:before="13"/>
                  <w:ind w:left="20" w:right="0" w:firstLine="0"/>
                  <w:jc w:val="left"/>
                  <w:rPr>
                    <w:rFonts w:ascii="Arial"/>
                    <w:sz w:val="22"/>
                  </w:rPr>
                </w:pPr>
                <w:r>
                  <w:rPr>
                    <w:rFonts w:ascii="Arial"/>
                    <w:sz w:val="22"/>
                  </w:rPr>
                  <w:t>1:09-cr-00581-VVHP Document 277</w:t>
                </w:r>
              </w:p>
            </w:txbxContent>
          </v:textbox>
          <w10:wrap type="none"/>
        </v:shape>
      </w:pict>
    </w:r>
    <w:r>
      <w:rPr/>
      <w:pict>
        <v:shape style="position:absolute;margin-left:356.011688pt;margin-top:41.893681pt;width:147.15pt;height:14.35pt;mso-position-horizontal-relative:page;mso-position-vertical-relative:page;z-index:-16648" type="#_x0000_t202" filled="false" stroked="false">
          <v:textbox inset="0,0,0,0">
            <w:txbxContent>
              <w:p>
                <w:pPr>
                  <w:tabs>
                    <w:tab w:pos="1645" w:val="left" w:leader="none"/>
                  </w:tabs>
                  <w:spacing w:before="13"/>
                  <w:ind w:left="20" w:right="0" w:firstLine="0"/>
                  <w:jc w:val="left"/>
                  <w:rPr>
                    <w:rFonts w:ascii="Arial"/>
                    <w:sz w:val="22"/>
                  </w:rPr>
                </w:pPr>
                <w:r>
                  <w:rPr>
                    <w:rFonts w:ascii="Arial"/>
                    <w:sz w:val="22"/>
                  </w:rPr>
                  <w:t>Filed</w:t>
                </w:r>
                <w:r>
                  <w:rPr>
                    <w:rFonts w:ascii="Arial"/>
                    <w:spacing w:val="8"/>
                    <w:sz w:val="22"/>
                  </w:rPr>
                  <w:t> </w:t>
                </w:r>
                <w:r>
                  <w:rPr>
                    <w:rFonts w:ascii="Arial"/>
                    <w:sz w:val="22"/>
                  </w:rPr>
                  <w:t>01/27/11</w:t>
                  <w:tab/>
                  <w:t>Page 4 of</w:t>
                </w:r>
                <w:r>
                  <w:rPr>
                    <w:rFonts w:ascii="Arial"/>
                    <w:spacing w:val="21"/>
                    <w:sz w:val="22"/>
                  </w:rPr>
                  <w:t> </w:t>
                </w:r>
                <w:r>
                  <w:rPr>
                    <w:rFonts w:ascii="Arial"/>
                    <w:sz w:val="22"/>
                  </w:rPr>
                  <w:t>17</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9.340698pt;margin-top:41.653389pt;width:186.5pt;height:14.35pt;mso-position-horizontal-relative:page;mso-position-vertical-relative:page;z-index:-16624" type="#_x0000_t202" filled="false" stroked="false">
          <v:textbox inset="0,0,0,0">
            <w:txbxContent>
              <w:p>
                <w:pPr>
                  <w:spacing w:before="13"/>
                  <w:ind w:left="20" w:right="0" w:firstLine="0"/>
                  <w:jc w:val="left"/>
                  <w:rPr>
                    <w:rFonts w:ascii="Arial"/>
                    <w:sz w:val="22"/>
                  </w:rPr>
                </w:pPr>
                <w:r>
                  <w:rPr>
                    <w:rFonts w:ascii="Arial"/>
                    <w:w w:val="105"/>
                    <w:sz w:val="22"/>
                  </w:rPr>
                  <w:t>1:09-cr-00581-WHP Document 277</w:t>
                </w:r>
              </w:p>
            </w:txbxContent>
          </v:textbox>
          <w10:wrap type="none"/>
        </v:shape>
      </w:pict>
    </w:r>
    <w:r>
      <w:rPr/>
      <w:pict>
        <v:shape style="position:absolute;margin-left:356.492493pt;margin-top:41.653389pt;width:147.5pt;height:14.35pt;mso-position-horizontal-relative:page;mso-position-vertical-relative:page;z-index:-16600" type="#_x0000_t202" filled="false" stroked="false">
          <v:textbox inset="0,0,0,0">
            <w:txbxContent>
              <w:p>
                <w:pPr>
                  <w:spacing w:before="13"/>
                  <w:ind w:left="20" w:right="0" w:firstLine="0"/>
                  <w:jc w:val="left"/>
                  <w:rPr>
                    <w:rFonts w:ascii="Arial"/>
                    <w:sz w:val="22"/>
                  </w:rPr>
                </w:pPr>
                <w:r>
                  <w:rPr>
                    <w:rFonts w:ascii="Arial"/>
                    <w:sz w:val="22"/>
                  </w:rPr>
                  <w:t>Fried 01/27/11 Page 5 of 17</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8.139297pt;margin-top:40.451908pt;width:186.35pt;height:14.35pt;mso-position-horizontal-relative:page;mso-position-vertical-relative:page;z-index:-16552" type="#_x0000_t202" filled="false" stroked="false">
          <v:textbox inset="0,0,0,0">
            <w:txbxContent>
              <w:p>
                <w:pPr>
                  <w:spacing w:before="13"/>
                  <w:ind w:left="20" w:right="0" w:firstLine="0"/>
                  <w:jc w:val="left"/>
                  <w:rPr>
                    <w:rFonts w:ascii="Arial"/>
                    <w:sz w:val="22"/>
                  </w:rPr>
                </w:pPr>
                <w:r>
                  <w:rPr>
                    <w:rFonts w:ascii="Arial"/>
                    <w:sz w:val="22"/>
                  </w:rPr>
                  <w:t>1:09-cr-00581-WHP Document 277</w:t>
                </w:r>
              </w:p>
            </w:txbxContent>
          </v:textbox>
          <w10:wrap type="none"/>
        </v:shape>
      </w:pict>
    </w:r>
    <w:r>
      <w:rPr/>
      <w:pict>
        <v:shape style="position:absolute;margin-left:355.291687pt;margin-top:40.451908pt;width:147.15pt;height:14.35pt;mso-position-horizontal-relative:page;mso-position-vertical-relative:page;z-index:-16528" type="#_x0000_t202" filled="false" stroked="false">
          <v:textbox inset="0,0,0,0">
            <w:txbxContent>
              <w:p>
                <w:pPr>
                  <w:tabs>
                    <w:tab w:pos="1645" w:val="left" w:leader="none"/>
                  </w:tabs>
                  <w:spacing w:before="13"/>
                  <w:ind w:left="20" w:right="0" w:firstLine="0"/>
                  <w:jc w:val="left"/>
                  <w:rPr>
                    <w:rFonts w:ascii="Arial"/>
                    <w:sz w:val="22"/>
                  </w:rPr>
                </w:pPr>
                <w:r>
                  <w:rPr>
                    <w:rFonts w:ascii="Arial"/>
                    <w:sz w:val="22"/>
                  </w:rPr>
                  <w:t>Filed</w:t>
                </w:r>
                <w:r>
                  <w:rPr>
                    <w:rFonts w:ascii="Arial"/>
                    <w:spacing w:val="15"/>
                    <w:sz w:val="22"/>
                  </w:rPr>
                  <w:t> </w:t>
                </w:r>
                <w:r>
                  <w:rPr>
                    <w:rFonts w:ascii="Arial"/>
                    <w:sz w:val="22"/>
                  </w:rPr>
                  <w:t>01/27/11</w:t>
                  <w:tab/>
                  <w:t>Page 6 of</w:t>
                </w:r>
                <w:r>
                  <w:rPr>
                    <w:rFonts w:ascii="Arial"/>
                    <w:spacing w:val="20"/>
                    <w:sz w:val="22"/>
                  </w:rPr>
                  <w:t> </w:t>
                </w:r>
                <w:r>
                  <w:rPr>
                    <w:rFonts w:ascii="Arial"/>
                    <w:sz w:val="22"/>
                  </w:rPr>
                  <w:t>17</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9.452301pt;margin-top:40.93248pt;width:214.6pt;height:14.35pt;mso-position-horizontal-relative:page;mso-position-vertical-relative:page;z-index:-16480" type="#_x0000_t202" filled="false" stroked="false">
          <v:textbox inset="0,0,0,0">
            <w:txbxContent>
              <w:p>
                <w:pPr>
                  <w:spacing w:before="13"/>
                  <w:ind w:left="20" w:right="0" w:firstLine="0"/>
                  <w:jc w:val="left"/>
                  <w:rPr>
                    <w:rFonts w:ascii="Arial"/>
                    <w:sz w:val="22"/>
                  </w:rPr>
                </w:pPr>
                <w:r>
                  <w:rPr>
                    <w:rFonts w:ascii="Arial"/>
                    <w:w w:val="105"/>
                    <w:sz w:val="22"/>
                  </w:rPr>
                  <w:t>Case1:09-cr-00581-WHP</w:t>
                </w:r>
                <w:r>
                  <w:rPr>
                    <w:rFonts w:ascii="Arial"/>
                    <w:spacing w:val="61"/>
                    <w:w w:val="105"/>
                    <w:sz w:val="22"/>
                  </w:rPr>
                  <w:t> </w:t>
                </w:r>
                <w:r>
                  <w:rPr>
                    <w:rFonts w:ascii="Arial"/>
                    <w:w w:val="105"/>
                    <w:sz w:val="22"/>
                  </w:rPr>
                  <w:t>Document277</w:t>
                </w:r>
              </w:p>
            </w:txbxContent>
          </v:textbox>
          <w10:wrap type="none"/>
        </v:shape>
      </w:pict>
    </w:r>
    <w:r>
      <w:rPr/>
      <w:pict>
        <v:shape style="position:absolute;margin-left:356.252106pt;margin-top:40.93248pt;width:146.35pt;height:14.35pt;mso-position-horizontal-relative:page;mso-position-vertical-relative:page;z-index:-16456" type="#_x0000_t202" filled="false" stroked="false">
          <v:textbox inset="0,0,0,0">
            <w:txbxContent>
              <w:p>
                <w:pPr>
                  <w:tabs>
                    <w:tab w:pos="1650" w:val="left" w:leader="none"/>
                  </w:tabs>
                  <w:spacing w:before="13"/>
                  <w:ind w:left="20" w:right="0" w:firstLine="0"/>
                  <w:jc w:val="left"/>
                  <w:rPr>
                    <w:rFonts w:ascii="Arial"/>
                    <w:sz w:val="22"/>
                  </w:rPr>
                </w:pPr>
                <w:r>
                  <w:rPr>
                    <w:rFonts w:ascii="Arial"/>
                    <w:w w:val="110"/>
                    <w:sz w:val="22"/>
                  </w:rPr>
                  <w:t>Filed01/27/11</w:t>
                  <w:tab/>
                </w:r>
                <w:r>
                  <w:rPr>
                    <w:rFonts w:ascii="Arial"/>
                    <w:w w:val="115"/>
                    <w:sz w:val="22"/>
                  </w:rPr>
                  <w:t>Page7of17</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8.2509pt;margin-top:39.250511pt;width:215.75pt;height:14.35pt;mso-position-horizontal-relative:page;mso-position-vertical-relative:page;z-index:-16408" type="#_x0000_t202" filled="false" stroked="false">
          <v:textbox inset="0,0,0,0">
            <w:txbxContent>
              <w:p>
                <w:pPr>
                  <w:spacing w:before="13"/>
                  <w:ind w:left="20" w:right="0" w:firstLine="0"/>
                  <w:jc w:val="left"/>
                  <w:rPr>
                    <w:rFonts w:ascii="Arial"/>
                    <w:sz w:val="22"/>
                  </w:rPr>
                </w:pPr>
                <w:r>
                  <w:rPr>
                    <w:rFonts w:ascii="Arial"/>
                    <w:sz w:val="22"/>
                  </w:rPr>
                  <w:t>Case 1:09-cr-00581-WHP Document 277</w:t>
                </w:r>
              </w:p>
            </w:txbxContent>
          </v:textbox>
          <w10:wrap type="none"/>
        </v:shape>
      </w:pict>
    </w:r>
    <w:r>
      <w:rPr/>
      <w:pict>
        <v:shape style="position:absolute;margin-left:354.570587pt;margin-top:39.250511pt;width:147.4pt;height:14.35pt;mso-position-horizontal-relative:page;mso-position-vertical-relative:page;z-index:-16384" type="#_x0000_t202" filled="false" stroked="false">
          <v:textbox inset="0,0,0,0">
            <w:txbxContent>
              <w:p>
                <w:pPr>
                  <w:spacing w:before="13"/>
                  <w:ind w:left="20" w:right="0" w:firstLine="0"/>
                  <w:jc w:val="left"/>
                  <w:rPr>
                    <w:rFonts w:ascii="Arial"/>
                    <w:sz w:val="22"/>
                  </w:rPr>
                </w:pPr>
                <w:r>
                  <w:rPr>
                    <w:rFonts w:ascii="Arial"/>
                    <w:sz w:val="22"/>
                  </w:rPr>
                  <w:t>Filed 01/27/11 Page 8 of 17</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8.971603pt;margin-top:39.971291pt;width:215.65pt;height:14.35pt;mso-position-horizontal-relative:page;mso-position-vertical-relative:page;z-index:-16336" type="#_x0000_t202" filled="false" stroked="false">
          <v:textbox inset="0,0,0,0">
            <w:txbxContent>
              <w:p>
                <w:pPr>
                  <w:spacing w:before="13"/>
                  <w:ind w:left="20" w:right="0" w:firstLine="0"/>
                  <w:jc w:val="left"/>
                  <w:rPr>
                    <w:rFonts w:ascii="Arial"/>
                    <w:sz w:val="22"/>
                  </w:rPr>
                </w:pPr>
                <w:r>
                  <w:rPr>
                    <w:rFonts w:ascii="Arial"/>
                    <w:sz w:val="22"/>
                  </w:rPr>
                  <w:t>Case 1:09-cr-00581-WHP Document 277</w:t>
                </w:r>
              </w:p>
            </w:txbxContent>
          </v:textbox>
          <w10:wrap type="none"/>
        </v:shape>
      </w:pict>
    </w:r>
    <w:r>
      <w:rPr/>
      <w:pict>
        <v:shape style="position:absolute;margin-left:355.771393pt;margin-top:39.971291pt;width:147.15pt;height:14.35pt;mso-position-horizontal-relative:page;mso-position-vertical-relative:page;z-index:-16312" type="#_x0000_t202" filled="false" stroked="false">
          <v:textbox inset="0,0,0,0">
            <w:txbxContent>
              <w:p>
                <w:pPr>
                  <w:spacing w:before="13"/>
                  <w:ind w:left="20" w:right="0" w:firstLine="0"/>
                  <w:jc w:val="left"/>
                  <w:rPr>
                    <w:rFonts w:ascii="Arial"/>
                    <w:sz w:val="22"/>
                  </w:rPr>
                </w:pPr>
                <w:r>
                  <w:rPr>
                    <w:rFonts w:ascii="Arial"/>
                    <w:sz w:val="22"/>
                  </w:rPr>
                  <w:t>Filed 0'1/27/11 Page 9 of 17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Roman"/>
      <w:lvlText w:val="%1."/>
      <w:lvlJc w:val="left"/>
      <w:pPr>
        <w:ind w:left="819" w:hanging="675"/>
        <w:jc w:val="left"/>
      </w:pPr>
      <w:rPr>
        <w:rFonts w:hint="default"/>
        <w:b/>
        <w:bCs/>
        <w:spacing w:val="-1"/>
        <w:w w:val="96"/>
      </w:rPr>
    </w:lvl>
    <w:lvl w:ilvl="1">
      <w:start w:val="0"/>
      <w:numFmt w:val="bullet"/>
      <w:lvlText w:val="•"/>
      <w:lvlJc w:val="left"/>
      <w:pPr>
        <w:ind w:left="1650" w:hanging="675"/>
      </w:pPr>
      <w:rPr>
        <w:rFonts w:hint="default"/>
      </w:rPr>
    </w:lvl>
    <w:lvl w:ilvl="2">
      <w:start w:val="0"/>
      <w:numFmt w:val="bullet"/>
      <w:lvlText w:val="•"/>
      <w:lvlJc w:val="left"/>
      <w:pPr>
        <w:ind w:left="2480" w:hanging="675"/>
      </w:pPr>
      <w:rPr>
        <w:rFonts w:hint="default"/>
      </w:rPr>
    </w:lvl>
    <w:lvl w:ilvl="3">
      <w:start w:val="0"/>
      <w:numFmt w:val="bullet"/>
      <w:lvlText w:val="•"/>
      <w:lvlJc w:val="left"/>
      <w:pPr>
        <w:ind w:left="3310" w:hanging="675"/>
      </w:pPr>
      <w:rPr>
        <w:rFonts w:hint="default"/>
      </w:rPr>
    </w:lvl>
    <w:lvl w:ilvl="4">
      <w:start w:val="0"/>
      <w:numFmt w:val="bullet"/>
      <w:lvlText w:val="•"/>
      <w:lvlJc w:val="left"/>
      <w:pPr>
        <w:ind w:left="4140" w:hanging="675"/>
      </w:pPr>
      <w:rPr>
        <w:rFonts w:hint="default"/>
      </w:rPr>
    </w:lvl>
    <w:lvl w:ilvl="5">
      <w:start w:val="0"/>
      <w:numFmt w:val="bullet"/>
      <w:lvlText w:val="•"/>
      <w:lvlJc w:val="left"/>
      <w:pPr>
        <w:ind w:left="4970" w:hanging="675"/>
      </w:pPr>
      <w:rPr>
        <w:rFonts w:hint="default"/>
      </w:rPr>
    </w:lvl>
    <w:lvl w:ilvl="6">
      <w:start w:val="0"/>
      <w:numFmt w:val="bullet"/>
      <w:lvlText w:val="•"/>
      <w:lvlJc w:val="left"/>
      <w:pPr>
        <w:ind w:left="5800" w:hanging="675"/>
      </w:pPr>
      <w:rPr>
        <w:rFonts w:hint="default"/>
      </w:rPr>
    </w:lvl>
    <w:lvl w:ilvl="7">
      <w:start w:val="0"/>
      <w:numFmt w:val="bullet"/>
      <w:lvlText w:val="•"/>
      <w:lvlJc w:val="left"/>
      <w:pPr>
        <w:ind w:left="6630" w:hanging="675"/>
      </w:pPr>
      <w:rPr>
        <w:rFonts w:hint="default"/>
      </w:rPr>
    </w:lvl>
    <w:lvl w:ilvl="8">
      <w:start w:val="0"/>
      <w:numFmt w:val="bullet"/>
      <w:lvlText w:val="•"/>
      <w:lvlJc w:val="left"/>
      <w:pPr>
        <w:ind w:left="7460" w:hanging="675"/>
      </w:pPr>
      <w:rPr>
        <w:rFonts w:hint="default"/>
      </w:rPr>
    </w:lvl>
  </w:abstractNum>
  <w:abstractNum w:abstractNumId="0">
    <w:multiLevelType w:val="hybridMultilevel"/>
    <w:lvl w:ilvl="0">
      <w:start w:val="1"/>
      <w:numFmt w:val="upperRoman"/>
      <w:lvlText w:val="%1."/>
      <w:lvlJc w:val="left"/>
      <w:pPr>
        <w:ind w:left="792" w:hanging="673"/>
        <w:jc w:val="left"/>
      </w:pPr>
      <w:rPr>
        <w:rFonts w:hint="default"/>
        <w:w w:val="106"/>
      </w:rPr>
    </w:lvl>
    <w:lvl w:ilvl="1">
      <w:start w:val="0"/>
      <w:numFmt w:val="bullet"/>
      <w:lvlText w:val="•"/>
      <w:lvlJc w:val="left"/>
      <w:pPr>
        <w:ind w:left="1629" w:hanging="673"/>
      </w:pPr>
      <w:rPr>
        <w:rFonts w:hint="default"/>
      </w:rPr>
    </w:lvl>
    <w:lvl w:ilvl="2">
      <w:start w:val="0"/>
      <w:numFmt w:val="bullet"/>
      <w:lvlText w:val="•"/>
      <w:lvlJc w:val="left"/>
      <w:pPr>
        <w:ind w:left="2458" w:hanging="673"/>
      </w:pPr>
      <w:rPr>
        <w:rFonts w:hint="default"/>
      </w:rPr>
    </w:lvl>
    <w:lvl w:ilvl="3">
      <w:start w:val="0"/>
      <w:numFmt w:val="bullet"/>
      <w:lvlText w:val="•"/>
      <w:lvlJc w:val="left"/>
      <w:pPr>
        <w:ind w:left="3287" w:hanging="673"/>
      </w:pPr>
      <w:rPr>
        <w:rFonts w:hint="default"/>
      </w:rPr>
    </w:lvl>
    <w:lvl w:ilvl="4">
      <w:start w:val="0"/>
      <w:numFmt w:val="bullet"/>
      <w:lvlText w:val="•"/>
      <w:lvlJc w:val="left"/>
      <w:pPr>
        <w:ind w:left="4116" w:hanging="673"/>
      </w:pPr>
      <w:rPr>
        <w:rFonts w:hint="default"/>
      </w:rPr>
    </w:lvl>
    <w:lvl w:ilvl="5">
      <w:start w:val="0"/>
      <w:numFmt w:val="bullet"/>
      <w:lvlText w:val="•"/>
      <w:lvlJc w:val="left"/>
      <w:pPr>
        <w:ind w:left="4946" w:hanging="673"/>
      </w:pPr>
      <w:rPr>
        <w:rFonts w:hint="default"/>
      </w:rPr>
    </w:lvl>
    <w:lvl w:ilvl="6">
      <w:start w:val="0"/>
      <w:numFmt w:val="bullet"/>
      <w:lvlText w:val="•"/>
      <w:lvlJc w:val="left"/>
      <w:pPr>
        <w:ind w:left="5775" w:hanging="673"/>
      </w:pPr>
      <w:rPr>
        <w:rFonts w:hint="default"/>
      </w:rPr>
    </w:lvl>
    <w:lvl w:ilvl="7">
      <w:start w:val="0"/>
      <w:numFmt w:val="bullet"/>
      <w:lvlText w:val="•"/>
      <w:lvlJc w:val="left"/>
      <w:pPr>
        <w:ind w:left="6604" w:hanging="673"/>
      </w:pPr>
      <w:rPr>
        <w:rFonts w:hint="default"/>
      </w:rPr>
    </w:lvl>
    <w:lvl w:ilvl="8">
      <w:start w:val="0"/>
      <w:numFmt w:val="bullet"/>
      <w:lvlText w:val="•"/>
      <w:lvlJc w:val="left"/>
      <w:pPr>
        <w:ind w:left="7433" w:hanging="673"/>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244"/>
      <w:ind w:left="117"/>
    </w:pPr>
    <w:rPr>
      <w:rFonts w:ascii="Times New Roman" w:hAnsi="Times New Roman" w:eastAsia="Times New Roman" w:cs="Times New Roman"/>
      <w:sz w:val="21"/>
      <w:szCs w:val="21"/>
    </w:rPr>
  </w:style>
  <w:style w:styleId="TOC2" w:type="paragraph">
    <w:name w:val="TOC 2"/>
    <w:basedOn w:val="Normal"/>
    <w:uiPriority w:val="1"/>
    <w:qFormat/>
    <w:pPr>
      <w:spacing w:before="23"/>
      <w:ind w:left="801"/>
    </w:pPr>
    <w:rPr>
      <w:rFonts w:ascii="Times New Roman" w:hAnsi="Times New Roman" w:eastAsia="Times New Roman" w:cs="Times New Roman"/>
      <w:sz w:val="21"/>
      <w:szCs w:val="21"/>
    </w:rPr>
  </w:style>
  <w:style w:styleId="BodyText" w:type="paragraph">
    <w:name w:val="Body Text"/>
    <w:basedOn w:val="Normal"/>
    <w:uiPriority w:val="1"/>
    <w:qFormat/>
    <w:pPr/>
    <w:rPr>
      <w:rFonts w:ascii="Times New Roman" w:hAnsi="Times New Roman" w:eastAsia="Times New Roman" w:cs="Times New Roman"/>
      <w:sz w:val="21"/>
      <w:szCs w:val="21"/>
    </w:rPr>
  </w:style>
  <w:style w:styleId="Heading1" w:type="paragraph">
    <w:name w:val="Heading 1"/>
    <w:basedOn w:val="Normal"/>
    <w:uiPriority w:val="1"/>
    <w:qFormat/>
    <w:pPr>
      <w:spacing w:before="47"/>
      <w:ind w:left="361"/>
      <w:outlineLvl w:val="1"/>
    </w:pPr>
    <w:rPr>
      <w:rFonts w:ascii="Courier New" w:hAnsi="Courier New" w:eastAsia="Courier New" w:cs="Courier New"/>
      <w:sz w:val="24"/>
      <w:szCs w:val="24"/>
    </w:rPr>
  </w:style>
  <w:style w:styleId="Heading2" w:type="paragraph">
    <w:name w:val="Heading 2"/>
    <w:basedOn w:val="Normal"/>
    <w:uiPriority w:val="1"/>
    <w:qFormat/>
    <w:pPr>
      <w:outlineLvl w:val="2"/>
    </w:pPr>
    <w:rPr>
      <w:rFonts w:ascii="Times New Roman" w:hAnsi="Times New Roman" w:eastAsia="Times New Roman" w:cs="Times New Roman"/>
      <w:b/>
      <w:bCs/>
      <w:sz w:val="22"/>
      <w:szCs w:val="22"/>
    </w:rPr>
  </w:style>
  <w:style w:styleId="Heading3" w:type="paragraph">
    <w:name w:val="Heading 3"/>
    <w:basedOn w:val="Normal"/>
    <w:uiPriority w:val="1"/>
    <w:qFormat/>
    <w:pPr>
      <w:spacing w:before="13"/>
      <w:ind w:left="20"/>
      <w:outlineLvl w:val="3"/>
    </w:pPr>
    <w:rPr>
      <w:rFonts w:ascii="Times New Roman" w:hAnsi="Times New Roman" w:eastAsia="Times New Roman" w:cs="Times New Roman"/>
      <w:sz w:val="22"/>
      <w:szCs w:val="22"/>
    </w:rPr>
  </w:style>
  <w:style w:styleId="Heading4" w:type="paragraph">
    <w:name w:val="Heading 4"/>
    <w:basedOn w:val="Normal"/>
    <w:uiPriority w:val="1"/>
    <w:qFormat/>
    <w:pPr>
      <w:ind w:left="234"/>
      <w:outlineLvl w:val="4"/>
    </w:pPr>
    <w:rPr>
      <w:rFonts w:ascii="Times New Roman" w:hAnsi="Times New Roman" w:eastAsia="Times New Roman" w:cs="Times New Roman"/>
      <w:b/>
      <w:bCs/>
      <w:sz w:val="21"/>
      <w:szCs w:val="21"/>
    </w:rPr>
  </w:style>
  <w:style w:styleId="ListParagraph" w:type="paragraph">
    <w:name w:val="List Paragraph"/>
    <w:basedOn w:val="Normal"/>
    <w:uiPriority w:val="1"/>
    <w:qFormat/>
    <w:pPr>
      <w:ind w:left="792" w:hanging="685"/>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footer" Target="footer1.xml"/><Relationship Id="rId11" Type="http://schemas.openxmlformats.org/officeDocument/2006/relationships/header" Target="header6.xml"/><Relationship Id="rId12" Type="http://schemas.openxmlformats.org/officeDocument/2006/relationships/footer" Target="footer2.xml"/><Relationship Id="rId13" Type="http://schemas.openxmlformats.org/officeDocument/2006/relationships/header" Target="header7.xml"/><Relationship Id="rId14" Type="http://schemas.openxmlformats.org/officeDocument/2006/relationships/footer" Target="footer3.xml"/><Relationship Id="rId15" Type="http://schemas.openxmlformats.org/officeDocument/2006/relationships/header" Target="header8.xml"/><Relationship Id="rId16" Type="http://schemas.openxmlformats.org/officeDocument/2006/relationships/footer" Target="footer4.xml"/><Relationship Id="rId17" Type="http://schemas.openxmlformats.org/officeDocument/2006/relationships/header" Target="header9.xml"/><Relationship Id="rId18" Type="http://schemas.openxmlformats.org/officeDocument/2006/relationships/footer" Target="footer5.xml"/><Relationship Id="rId19" Type="http://schemas.openxmlformats.org/officeDocument/2006/relationships/header" Target="header10.xml"/><Relationship Id="rId20" Type="http://schemas.openxmlformats.org/officeDocument/2006/relationships/header" Target="header11.xml"/><Relationship Id="rId21" Type="http://schemas.openxmlformats.org/officeDocument/2006/relationships/header" Target="header12.xml"/><Relationship Id="rId22" Type="http://schemas.openxmlformats.org/officeDocument/2006/relationships/footer" Target="footer6.xml"/><Relationship Id="rId23" Type="http://schemas.openxmlformats.org/officeDocument/2006/relationships/header" Target="header13.xml"/><Relationship Id="rId24" Type="http://schemas.openxmlformats.org/officeDocument/2006/relationships/header" Target="header14.xml"/><Relationship Id="rId25" Type="http://schemas.openxmlformats.org/officeDocument/2006/relationships/header" Target="header15.xml"/><Relationship Id="rId26" Type="http://schemas.openxmlformats.org/officeDocument/2006/relationships/header" Target="header16.xml"/><Relationship Id="rId27" Type="http://schemas.openxmlformats.org/officeDocument/2006/relationships/hyperlink" Target="mailto:Urzask_oma@hruncandrichanl.com" TargetMode="External"/><Relationship Id="rId28" Type="http://schemas.openxmlformats.org/officeDocument/2006/relationships/header" Target="header17.xml"/><Relationship Id="rId29" Type="http://schemas.openxmlformats.org/officeDocument/2006/relationships/header" Target="header18.xml"/><Relationship Id="rId30" Type="http://schemas.openxmlformats.org/officeDocument/2006/relationships/footer" Target="footer7.xml"/><Relationship Id="rId31" Type="http://schemas.openxmlformats.org/officeDocument/2006/relationships/image" Target="media/image1.png"/><Relationship Id="rId32" Type="http://schemas.openxmlformats.org/officeDocument/2006/relationships/header" Target="header19.xml"/><Relationship Id="rId33" Type="http://schemas.openxmlformats.org/officeDocument/2006/relationships/footer" Target="footer8.xml"/><Relationship Id="rId34" Type="http://schemas.openxmlformats.org/officeDocument/2006/relationships/header" Target="header20.xml"/><Relationship Id="rId35" Type="http://schemas.openxmlformats.org/officeDocument/2006/relationships/footer" Target="footer9.xml"/><Relationship Id="rId3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2019-02-13T16:04:40Z</dcterms:created>
  <dcterms:modified xsi:type="dcterms:W3CDTF">2019-02-13T16:04:40Z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2014-10-08T00:00:00Z</vt:filetime>
  </property>
  <property fmtid="{D5CDD505-2E9C-101B-9397-08002B2CF9AE}" pid="3" name="LastSaved">
    <vt:filetime>2019-02-13T00:00:00Z</vt:filetime>
  </property>
</Properties>
</file>