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2520" w:val="left" w:leader="none"/>
          <w:tab w:pos="4559" w:val="left" w:leader="none"/>
          <w:tab w:pos="5783" w:val="left" w:leader="none"/>
          <w:tab w:pos="7382" w:val="left" w:leader="none"/>
          <w:tab w:pos="8715" w:val="left" w:leader="none"/>
        </w:tabs>
        <w:spacing w:before="75"/>
        <w:ind w:left="615" w:right="0" w:firstLine="0"/>
        <w:jc w:val="left"/>
        <w:rPr>
          <w:rFonts w:ascii="Arial"/>
          <w:sz w:val="24"/>
        </w:rPr>
      </w:pPr>
      <w:r>
        <w:rPr>
          <w:rFonts w:ascii="Arial"/>
          <w:color w:val="FF3232"/>
          <w:sz w:val="24"/>
        </w:rPr>
        <w:t>Case:</w:t>
      </w:r>
      <w:r>
        <w:rPr>
          <w:rFonts w:ascii="Arial"/>
          <w:color w:val="FF3232"/>
          <w:spacing w:val="-5"/>
          <w:sz w:val="24"/>
        </w:rPr>
        <w:t> </w:t>
      </w:r>
      <w:r>
        <w:rPr>
          <w:rFonts w:ascii="Arial"/>
          <w:color w:val="FF3232"/>
          <w:sz w:val="24"/>
        </w:rPr>
        <w:t>14-2902</w:t>
        <w:tab/>
        <w:t>Document:</w:t>
      </w:r>
      <w:r>
        <w:rPr>
          <w:rFonts w:ascii="Arial"/>
          <w:color w:val="FF3232"/>
          <w:spacing w:val="-4"/>
          <w:sz w:val="24"/>
        </w:rPr>
        <w:t> </w:t>
      </w:r>
      <w:r>
        <w:rPr>
          <w:rFonts w:ascii="Arial"/>
          <w:color w:val="FF3232"/>
          <w:sz w:val="24"/>
        </w:rPr>
        <w:t>37-1</w:t>
        <w:tab/>
        <w:t>Page:</w:t>
      </w:r>
      <w:r>
        <w:rPr>
          <w:rFonts w:ascii="Arial"/>
          <w:color w:val="FF3232"/>
          <w:spacing w:val="-3"/>
          <w:sz w:val="24"/>
        </w:rPr>
        <w:t> </w:t>
      </w:r>
      <w:r>
        <w:rPr>
          <w:rFonts w:ascii="Arial"/>
          <w:color w:val="FF3232"/>
          <w:sz w:val="24"/>
        </w:rPr>
        <w:t>1</w:t>
        <w:tab/>
        <w:t>09/22/2014</w:t>
        <w:tab/>
        <w:t>1325730</w:t>
        <w:tab/>
        <w:t>14</w:t>
      </w:r>
    </w:p>
    <w:p>
      <w:pPr>
        <w:spacing w:before="168"/>
        <w:ind w:left="1471" w:right="0" w:firstLine="0"/>
        <w:jc w:val="left"/>
        <w:rPr>
          <w:rFonts w:ascii="Arial Narrow"/>
          <w:b/>
          <w:sz w:val="164"/>
        </w:rPr>
      </w:pPr>
      <w:r>
        <w:rPr/>
        <w:pict>
          <v:group style="position:absolute;margin-left:56.16pt;margin-top:107.434975pt;width:499.7pt;height:5.9pt;mso-position-horizontal-relative:page;mso-position-vertical-relative:paragraph;z-index:1144" coordorigin="1123,2149" coordsize="9994,118">
            <v:line style="position:absolute" from="1123,2179" to="11117,2179" stroked="true" strokeweight="3pt" strokecolor="#000000">
              <v:stroke dashstyle="solid"/>
            </v:line>
            <v:line style="position:absolute" from="1123,2252" to="11117,2252" stroked="true" strokeweight="1.44pt" strokecolor="#000000">
              <v:stroke dashstyle="solid"/>
            </v:line>
            <w10:wrap type="none"/>
          </v:group>
        </w:pict>
      </w:r>
      <w:r>
        <w:rPr>
          <w:rFonts w:ascii="Arial Narrow"/>
          <w:b/>
          <w:sz w:val="164"/>
        </w:rPr>
        <w:t>14-2902-cr</w:t>
      </w:r>
    </w:p>
    <w:p>
      <w:pPr>
        <w:spacing w:line="204" w:lineRule="auto" w:before="234"/>
        <w:ind w:left="1567" w:right="1570" w:firstLine="0"/>
        <w:jc w:val="center"/>
        <w:rPr>
          <w:rFonts w:ascii="Cambria"/>
          <w:sz w:val="48"/>
        </w:rPr>
      </w:pPr>
      <w:r>
        <w:rPr>
          <w:rFonts w:ascii="Cambria"/>
          <w:spacing w:val="-1"/>
          <w:w w:val="147"/>
          <w:sz w:val="48"/>
        </w:rPr>
        <w:t>I</w:t>
      </w:r>
      <w:r>
        <w:rPr>
          <w:rFonts w:ascii="Cambria"/>
          <w:w w:val="72"/>
          <w:sz w:val="48"/>
        </w:rPr>
        <w:t>n</w:t>
      </w:r>
      <w:r>
        <w:rPr>
          <w:rFonts w:ascii="Cambria"/>
          <w:spacing w:val="5"/>
          <w:sz w:val="48"/>
        </w:rPr>
        <w:t> </w:t>
      </w:r>
      <w:r>
        <w:rPr>
          <w:rFonts w:ascii="Cambria"/>
          <w:spacing w:val="-1"/>
          <w:w w:val="70"/>
          <w:sz w:val="48"/>
        </w:rPr>
        <w:t>th</w:t>
      </w:r>
      <w:r>
        <w:rPr>
          <w:rFonts w:ascii="Cambria"/>
          <w:w w:val="70"/>
          <w:sz w:val="48"/>
        </w:rPr>
        <w:t>e</w:t>
      </w:r>
      <w:r>
        <w:rPr>
          <w:rFonts w:ascii="Cambria"/>
          <w:spacing w:val="5"/>
          <w:sz w:val="48"/>
        </w:rPr>
        <w:t> </w:t>
      </w:r>
      <w:r>
        <w:rPr>
          <w:rFonts w:ascii="Cambria"/>
          <w:w w:val="117"/>
          <w:sz w:val="48"/>
        </w:rPr>
        <w:t>U</w:t>
      </w:r>
      <w:r>
        <w:rPr>
          <w:rFonts w:ascii="Cambria"/>
          <w:spacing w:val="1"/>
          <w:w w:val="72"/>
          <w:sz w:val="48"/>
        </w:rPr>
        <w:t>n</w:t>
      </w:r>
      <w:r>
        <w:rPr>
          <w:rFonts w:ascii="Cambria"/>
          <w:w w:val="74"/>
          <w:sz w:val="48"/>
        </w:rPr>
        <w:t>i</w:t>
      </w:r>
      <w:r>
        <w:rPr>
          <w:rFonts w:ascii="Cambria"/>
          <w:spacing w:val="-1"/>
          <w:w w:val="69"/>
          <w:sz w:val="48"/>
        </w:rPr>
        <w:t>t</w:t>
      </w:r>
      <w:r>
        <w:rPr>
          <w:rFonts w:ascii="Cambria"/>
          <w:w w:val="69"/>
          <w:sz w:val="48"/>
        </w:rPr>
        <w:t>e</w:t>
      </w:r>
      <w:r>
        <w:rPr>
          <w:rFonts w:ascii="Cambria"/>
          <w:w w:val="69"/>
          <w:sz w:val="48"/>
        </w:rPr>
        <w:t>d</w:t>
      </w:r>
      <w:r>
        <w:rPr>
          <w:rFonts w:ascii="Cambria"/>
          <w:spacing w:val="2"/>
          <w:sz w:val="48"/>
        </w:rPr>
        <w:t> </w:t>
      </w:r>
      <w:r>
        <w:rPr>
          <w:rFonts w:ascii="Cambria"/>
          <w:spacing w:val="-1"/>
          <w:w w:val="146"/>
          <w:sz w:val="48"/>
        </w:rPr>
        <w:t>S</w:t>
      </w:r>
      <w:r>
        <w:rPr>
          <w:rFonts w:ascii="Cambria"/>
          <w:spacing w:val="-1"/>
          <w:w w:val="77"/>
          <w:sz w:val="48"/>
        </w:rPr>
        <w:t>ta</w:t>
      </w:r>
      <w:r>
        <w:rPr>
          <w:rFonts w:ascii="Cambria"/>
          <w:spacing w:val="-1"/>
          <w:w w:val="69"/>
          <w:sz w:val="48"/>
        </w:rPr>
        <w:t>t</w:t>
      </w:r>
      <w:r>
        <w:rPr>
          <w:rFonts w:ascii="Cambria"/>
          <w:w w:val="69"/>
          <w:sz w:val="48"/>
        </w:rPr>
        <w:t>e</w:t>
      </w:r>
      <w:r>
        <w:rPr>
          <w:rFonts w:ascii="Cambria"/>
          <w:w w:val="86"/>
          <w:sz w:val="48"/>
        </w:rPr>
        <w:t>s</w:t>
      </w:r>
      <w:r>
        <w:rPr>
          <w:rFonts w:ascii="Cambria"/>
          <w:spacing w:val="4"/>
          <w:sz w:val="48"/>
        </w:rPr>
        <w:t> </w:t>
      </w:r>
      <w:r>
        <w:rPr>
          <w:rFonts w:ascii="Cambria"/>
          <w:w w:val="104"/>
          <w:sz w:val="48"/>
        </w:rPr>
        <w:t>C</w:t>
      </w:r>
      <w:r>
        <w:rPr>
          <w:rFonts w:ascii="Cambria"/>
          <w:w w:val="72"/>
          <w:sz w:val="48"/>
        </w:rPr>
        <w:t>o</w:t>
      </w:r>
      <w:r>
        <w:rPr>
          <w:rFonts w:ascii="Cambria"/>
          <w:w w:val="72"/>
          <w:sz w:val="48"/>
        </w:rPr>
        <w:t>u</w:t>
      </w:r>
      <w:r>
        <w:rPr>
          <w:rFonts w:ascii="Cambria"/>
          <w:w w:val="77"/>
          <w:sz w:val="48"/>
        </w:rPr>
        <w:t>r</w:t>
      </w:r>
      <w:r>
        <w:rPr>
          <w:rFonts w:ascii="Cambria"/>
          <w:w w:val="78"/>
          <w:sz w:val="48"/>
        </w:rPr>
        <w:t>t</w:t>
      </w:r>
      <w:r>
        <w:rPr>
          <w:rFonts w:ascii="Cambria"/>
          <w:spacing w:val="4"/>
          <w:sz w:val="48"/>
        </w:rPr>
        <w:t> </w:t>
      </w:r>
      <w:r>
        <w:rPr>
          <w:rFonts w:ascii="Cambria"/>
          <w:w w:val="72"/>
          <w:sz w:val="48"/>
        </w:rPr>
        <w:t>o</w:t>
      </w:r>
      <w:r>
        <w:rPr>
          <w:rFonts w:ascii="Cambria"/>
          <w:w w:val="94"/>
          <w:sz w:val="48"/>
        </w:rPr>
        <w:t>f</w:t>
      </w:r>
      <w:r>
        <w:rPr>
          <w:rFonts w:ascii="Cambria"/>
          <w:spacing w:val="3"/>
          <w:sz w:val="48"/>
        </w:rPr>
        <w:t> </w:t>
      </w:r>
      <w:r>
        <w:rPr>
          <w:rFonts w:ascii="Cambria"/>
          <w:spacing w:val="-1"/>
          <w:w w:val="96"/>
          <w:sz w:val="48"/>
        </w:rPr>
        <w:t>A</w:t>
      </w:r>
      <w:r>
        <w:rPr>
          <w:rFonts w:ascii="Cambria"/>
          <w:spacing w:val="-1"/>
          <w:w w:val="68"/>
          <w:sz w:val="48"/>
        </w:rPr>
        <w:t>pp</w:t>
      </w:r>
      <w:r>
        <w:rPr>
          <w:rFonts w:ascii="Cambria"/>
          <w:w w:val="68"/>
          <w:sz w:val="48"/>
        </w:rPr>
        <w:t>e</w:t>
      </w:r>
      <w:r>
        <w:rPr>
          <w:rFonts w:ascii="Cambria"/>
          <w:w w:val="76"/>
          <w:sz w:val="48"/>
        </w:rPr>
        <w:t>a</w:t>
      </w:r>
      <w:r>
        <w:rPr>
          <w:rFonts w:ascii="Cambria"/>
          <w:w w:val="103"/>
          <w:sz w:val="48"/>
        </w:rPr>
        <w:t>l</w:t>
      </w:r>
      <w:r>
        <w:rPr>
          <w:rFonts w:ascii="Cambria"/>
          <w:w w:val="86"/>
          <w:sz w:val="48"/>
        </w:rPr>
        <w:t>s </w:t>
      </w:r>
      <w:r>
        <w:rPr>
          <w:rFonts w:ascii="Cambria"/>
          <w:spacing w:val="-2"/>
          <w:w w:val="94"/>
          <w:sz w:val="48"/>
        </w:rPr>
        <w:t>f</w:t>
      </w:r>
      <w:r>
        <w:rPr>
          <w:rFonts w:ascii="Cambria"/>
          <w:w w:val="72"/>
          <w:sz w:val="48"/>
        </w:rPr>
        <w:t>o</w:t>
      </w:r>
      <w:r>
        <w:rPr>
          <w:rFonts w:ascii="Cambria"/>
          <w:w w:val="77"/>
          <w:sz w:val="48"/>
        </w:rPr>
        <w:t>r</w:t>
      </w:r>
      <w:r>
        <w:rPr>
          <w:rFonts w:ascii="Cambria"/>
          <w:spacing w:val="5"/>
          <w:sz w:val="48"/>
        </w:rPr>
        <w:t> </w:t>
      </w:r>
      <w:r>
        <w:rPr>
          <w:rFonts w:ascii="Cambria"/>
          <w:spacing w:val="-1"/>
          <w:w w:val="78"/>
          <w:sz w:val="48"/>
        </w:rPr>
        <w:t>t</w:t>
      </w:r>
      <w:r>
        <w:rPr>
          <w:rFonts w:ascii="Cambria"/>
          <w:spacing w:val="-1"/>
          <w:w w:val="70"/>
          <w:sz w:val="48"/>
        </w:rPr>
        <w:t>h</w:t>
      </w:r>
      <w:r>
        <w:rPr>
          <w:rFonts w:ascii="Cambria"/>
          <w:w w:val="63"/>
          <w:sz w:val="48"/>
        </w:rPr>
        <w:t>e</w:t>
      </w:r>
      <w:r>
        <w:rPr>
          <w:rFonts w:ascii="Cambria"/>
          <w:spacing w:val="5"/>
          <w:sz w:val="48"/>
        </w:rPr>
        <w:t> </w:t>
      </w:r>
      <w:r>
        <w:rPr>
          <w:rFonts w:ascii="Cambria"/>
          <w:spacing w:val="-1"/>
          <w:w w:val="146"/>
          <w:sz w:val="48"/>
        </w:rPr>
        <w:t>S</w:t>
      </w:r>
      <w:r>
        <w:rPr>
          <w:rFonts w:ascii="Cambria"/>
          <w:w w:val="63"/>
          <w:sz w:val="48"/>
        </w:rPr>
        <w:t>e</w:t>
      </w:r>
      <w:r>
        <w:rPr>
          <w:rFonts w:ascii="Cambria"/>
          <w:spacing w:val="-2"/>
          <w:w w:val="63"/>
          <w:sz w:val="48"/>
        </w:rPr>
        <w:t>c</w:t>
      </w:r>
      <w:r>
        <w:rPr>
          <w:rFonts w:ascii="Cambria"/>
          <w:w w:val="72"/>
          <w:sz w:val="48"/>
        </w:rPr>
        <w:t>o</w:t>
      </w:r>
      <w:r>
        <w:rPr>
          <w:rFonts w:ascii="Cambria"/>
          <w:spacing w:val="1"/>
          <w:w w:val="70"/>
          <w:sz w:val="48"/>
        </w:rPr>
        <w:t>n</w:t>
      </w:r>
      <w:r>
        <w:rPr>
          <w:rFonts w:ascii="Cambria"/>
          <w:w w:val="70"/>
          <w:sz w:val="48"/>
        </w:rPr>
        <w:t>d</w:t>
      </w:r>
      <w:r>
        <w:rPr>
          <w:rFonts w:ascii="Cambria"/>
          <w:spacing w:val="7"/>
          <w:sz w:val="48"/>
        </w:rPr>
        <w:t> </w:t>
      </w:r>
      <w:r>
        <w:rPr>
          <w:rFonts w:ascii="Cambria"/>
          <w:w w:val="104"/>
          <w:sz w:val="48"/>
        </w:rPr>
        <w:t>C</w:t>
      </w:r>
      <w:r>
        <w:rPr>
          <w:rFonts w:ascii="Cambria"/>
          <w:w w:val="76"/>
          <w:sz w:val="48"/>
        </w:rPr>
        <w:t>ir</w:t>
      </w:r>
      <w:r>
        <w:rPr>
          <w:rFonts w:ascii="Cambria"/>
          <w:spacing w:val="-2"/>
          <w:w w:val="64"/>
          <w:sz w:val="48"/>
        </w:rPr>
        <w:t>c</w:t>
      </w:r>
      <w:r>
        <w:rPr>
          <w:rFonts w:ascii="Cambria"/>
          <w:w w:val="74"/>
          <w:sz w:val="48"/>
        </w:rPr>
        <w:t>uit</w:t>
      </w:r>
    </w:p>
    <w:p>
      <w:pPr>
        <w:pStyle w:val="BodyText"/>
        <w:rPr>
          <w:rFonts w:ascii="Cambria"/>
          <w:sz w:val="20"/>
        </w:rPr>
      </w:pPr>
    </w:p>
    <w:p>
      <w:pPr>
        <w:pStyle w:val="BodyText"/>
        <w:rPr>
          <w:rFonts w:ascii="Cambria"/>
          <w:sz w:val="16"/>
        </w:rPr>
      </w:pPr>
      <w:r>
        <w:rPr/>
        <w:pict>
          <v:line style="position:absolute;mso-position-horizontal-relative:page;mso-position-vertical-relative:paragraph;z-index:-1024;mso-wrap-distance-left:0;mso-wrap-distance-right:0" from="200.160004pt,11.583321pt" to="411.840004pt,11.583321pt" stroked="true" strokeweight=".48pt" strokecolor="#000000">
            <v:stroke dashstyle="solid"/>
            <w10:wrap type="topAndBottom"/>
          </v:line>
        </w:pict>
      </w:r>
    </w:p>
    <w:p>
      <w:pPr>
        <w:pStyle w:val="BodyText"/>
        <w:spacing w:before="7"/>
        <w:rPr>
          <w:rFonts w:ascii="Cambria"/>
          <w:sz w:val="25"/>
        </w:rPr>
      </w:pPr>
    </w:p>
    <w:p>
      <w:pPr>
        <w:spacing w:before="96"/>
        <w:ind w:left="2894" w:right="2893" w:firstLine="0"/>
        <w:jc w:val="center"/>
        <w:rPr>
          <w:rFonts w:ascii="Century"/>
          <w:sz w:val="24"/>
        </w:rPr>
      </w:pPr>
      <w:r>
        <w:rPr>
          <w:rFonts w:ascii="Century"/>
          <w:sz w:val="24"/>
        </w:rPr>
        <w:t>UNITED STATES OF AMERICA, APPELLEE</w:t>
      </w:r>
    </w:p>
    <w:p>
      <w:pPr>
        <w:pStyle w:val="BodyText"/>
        <w:spacing w:before="8"/>
        <w:rPr>
          <w:rFonts w:ascii="Century"/>
          <w:sz w:val="37"/>
        </w:rPr>
      </w:pPr>
    </w:p>
    <w:p>
      <w:pPr>
        <w:spacing w:before="0"/>
        <w:ind w:left="1570" w:right="1570" w:firstLine="0"/>
        <w:jc w:val="center"/>
        <w:rPr>
          <w:rFonts w:ascii="Georgia"/>
          <w:i/>
          <w:sz w:val="24"/>
        </w:rPr>
      </w:pPr>
      <w:r>
        <w:rPr>
          <w:rFonts w:ascii="Georgia"/>
          <w:i/>
          <w:sz w:val="24"/>
        </w:rPr>
        <w:t>v.</w:t>
      </w:r>
    </w:p>
    <w:p>
      <w:pPr>
        <w:pStyle w:val="BodyText"/>
        <w:spacing w:before="1"/>
        <w:rPr>
          <w:rFonts w:ascii="Georgia"/>
          <w:i/>
          <w:sz w:val="38"/>
        </w:rPr>
      </w:pPr>
    </w:p>
    <w:p>
      <w:pPr>
        <w:spacing w:before="0"/>
        <w:ind w:left="3175" w:right="3176" w:firstLine="2"/>
        <w:jc w:val="center"/>
        <w:rPr>
          <w:rFonts w:ascii="Century"/>
          <w:sz w:val="24"/>
        </w:rPr>
      </w:pPr>
      <w:r>
        <w:rPr>
          <w:rFonts w:ascii="Century"/>
          <w:sz w:val="24"/>
        </w:rPr>
        <w:t>JESSE C. LITVAK, DEFENDANT-APPELLANT</w:t>
      </w:r>
    </w:p>
    <w:p>
      <w:pPr>
        <w:pStyle w:val="BodyText"/>
        <w:rPr>
          <w:rFonts w:ascii="Century"/>
          <w:sz w:val="20"/>
        </w:rPr>
      </w:pPr>
    </w:p>
    <w:p>
      <w:pPr>
        <w:pStyle w:val="BodyText"/>
        <w:spacing w:before="11"/>
        <w:rPr>
          <w:rFonts w:ascii="Century"/>
          <w:sz w:val="14"/>
        </w:rPr>
      </w:pPr>
      <w:r>
        <w:rPr/>
        <w:pict>
          <v:line style="position:absolute;mso-position-horizontal-relative:page;mso-position-vertical-relative:paragraph;z-index:-1000;mso-wrap-distance-left:0;mso-wrap-distance-right:0" from="200.160004pt,11.177959pt" to="411.840004pt,11.177959pt" stroked="true" strokeweight=".48pt" strokecolor="#000000">
            <v:stroke dashstyle="solid"/>
            <w10:wrap type="topAndBottom"/>
          </v:line>
        </w:pict>
      </w:r>
    </w:p>
    <w:p>
      <w:pPr>
        <w:pStyle w:val="BodyText"/>
        <w:spacing w:before="1"/>
        <w:rPr>
          <w:rFonts w:ascii="Century"/>
          <w:sz w:val="25"/>
        </w:rPr>
      </w:pPr>
    </w:p>
    <w:p>
      <w:pPr>
        <w:spacing w:line="254" w:lineRule="auto" w:before="113"/>
        <w:ind w:left="1570" w:right="1570" w:firstLine="0"/>
        <w:jc w:val="center"/>
        <w:rPr>
          <w:rFonts w:ascii="Georgia"/>
          <w:i/>
          <w:sz w:val="22"/>
        </w:rPr>
      </w:pPr>
      <w:r>
        <w:rPr>
          <w:rFonts w:ascii="Georgia"/>
          <w:i/>
          <w:w w:val="105"/>
          <w:sz w:val="22"/>
        </w:rPr>
        <w:t>ON APPEAL FROM THE UNITED STATES DISTRICT COURT </w:t>
      </w:r>
      <w:r>
        <w:rPr>
          <w:rFonts w:ascii="Georgia"/>
          <w:i/>
          <w:w w:val="105"/>
          <w:sz w:val="22"/>
        </w:rPr>
        <w:t>FOR THE DISTRICT OF CONNECTICUT (CRIM. NO. 13-19) (THE HONORABLE JANET C. HALL, C.J.)</w:t>
      </w:r>
    </w:p>
    <w:p>
      <w:pPr>
        <w:pStyle w:val="BodyText"/>
        <w:rPr>
          <w:rFonts w:ascii="Georgia"/>
          <w:i/>
          <w:sz w:val="20"/>
        </w:rPr>
      </w:pPr>
    </w:p>
    <w:p>
      <w:pPr>
        <w:pStyle w:val="BodyText"/>
        <w:spacing w:before="6"/>
        <w:rPr>
          <w:rFonts w:ascii="Georgia"/>
          <w:i/>
          <w:sz w:val="15"/>
        </w:rPr>
      </w:pPr>
      <w:r>
        <w:rPr/>
        <w:pict>
          <v:line style="position:absolute;mso-position-horizontal-relative:page;mso-position-vertical-relative:paragraph;z-index:-976;mso-wrap-distance-left:0;mso-wrap-distance-right:0" from="200.160004pt,11.065498pt" to="411.840004pt,11.065498pt" stroked="true" strokeweight=".48pt" strokecolor="#000000">
            <v:stroke dashstyle="solid"/>
            <w10:wrap type="topAndBottom"/>
          </v:line>
        </w:pict>
      </w:r>
    </w:p>
    <w:p>
      <w:pPr>
        <w:pStyle w:val="BodyText"/>
        <w:spacing w:before="7"/>
        <w:rPr>
          <w:rFonts w:ascii="Georgia"/>
          <w:i/>
          <w:sz w:val="26"/>
        </w:rPr>
      </w:pPr>
    </w:p>
    <w:p>
      <w:pPr>
        <w:spacing w:before="109"/>
        <w:ind w:left="676" w:right="0" w:firstLine="0"/>
        <w:jc w:val="left"/>
        <w:rPr>
          <w:rFonts w:ascii="Bookman Old Style"/>
          <w:b/>
          <w:sz w:val="24"/>
        </w:rPr>
      </w:pPr>
      <w:r>
        <w:rPr>
          <w:rFonts w:ascii="Bookman Old Style"/>
          <w:b/>
          <w:sz w:val="24"/>
        </w:rPr>
        <w:t>REPLY IN SUPPORT OF MOTION FOR RELEASE PENDING APPEAL</w:t>
      </w:r>
    </w:p>
    <w:p>
      <w:pPr>
        <w:pStyle w:val="BodyText"/>
        <w:rPr>
          <w:rFonts w:ascii="Bookman Old Style"/>
          <w:b/>
          <w:sz w:val="20"/>
        </w:rPr>
      </w:pPr>
    </w:p>
    <w:p>
      <w:pPr>
        <w:pStyle w:val="BodyText"/>
        <w:spacing w:before="6"/>
        <w:rPr>
          <w:rFonts w:ascii="Bookman Old Style"/>
          <w:b/>
          <w:sz w:val="15"/>
        </w:rPr>
      </w:pPr>
      <w:r>
        <w:rPr/>
        <w:pict>
          <v:line style="position:absolute;mso-position-horizontal-relative:page;mso-position-vertical-relative:paragraph;z-index:-952;mso-wrap-distance-left:0;mso-wrap-distance-right:0" from="200.160004pt,11.304785pt" to="411.840004pt,11.304785pt" stroked="true" strokeweight=".48pt" strokecolor="#000000">
            <v:stroke dashstyle="solid"/>
            <w10:wrap type="topAndBottom"/>
          </v:line>
        </w:pict>
      </w:r>
    </w:p>
    <w:p>
      <w:pPr>
        <w:pStyle w:val="BodyText"/>
        <w:spacing w:before="11"/>
        <w:rPr>
          <w:rFonts w:ascii="Bookman Old Style"/>
          <w:b/>
          <w:sz w:val="29"/>
        </w:rPr>
      </w:pPr>
    </w:p>
    <w:p>
      <w:pPr>
        <w:spacing w:before="95"/>
        <w:ind w:left="4980" w:right="1918" w:firstLine="0"/>
        <w:jc w:val="left"/>
        <w:rPr>
          <w:rFonts w:ascii="Century"/>
          <w:sz w:val="19"/>
        </w:rPr>
      </w:pPr>
      <w:r>
        <w:rPr>
          <w:rFonts w:ascii="Century"/>
          <w:w w:val="95"/>
          <w:sz w:val="24"/>
        </w:rPr>
        <w:t>K</w:t>
      </w:r>
      <w:r>
        <w:rPr>
          <w:rFonts w:ascii="Century"/>
          <w:w w:val="95"/>
          <w:sz w:val="19"/>
        </w:rPr>
        <w:t>ANNON </w:t>
      </w:r>
      <w:r>
        <w:rPr>
          <w:rFonts w:ascii="Century"/>
          <w:w w:val="95"/>
          <w:sz w:val="24"/>
        </w:rPr>
        <w:t>K. S</w:t>
      </w:r>
      <w:r>
        <w:rPr>
          <w:rFonts w:ascii="Century"/>
          <w:w w:val="95"/>
          <w:sz w:val="19"/>
        </w:rPr>
        <w:t>HANMUGAM </w:t>
      </w:r>
      <w:r>
        <w:rPr>
          <w:rFonts w:ascii="Century"/>
          <w:sz w:val="24"/>
        </w:rPr>
        <w:t>D</w:t>
      </w:r>
      <w:r>
        <w:rPr>
          <w:rFonts w:ascii="Century"/>
          <w:sz w:val="19"/>
        </w:rPr>
        <w:t>ANE </w:t>
      </w:r>
      <w:r>
        <w:rPr>
          <w:rFonts w:ascii="Century"/>
          <w:sz w:val="24"/>
        </w:rPr>
        <w:t>H. B</w:t>
      </w:r>
      <w:r>
        <w:rPr>
          <w:rFonts w:ascii="Century"/>
          <w:sz w:val="19"/>
        </w:rPr>
        <w:t>UTSWINKAS </w:t>
      </w:r>
      <w:r>
        <w:rPr>
          <w:rFonts w:ascii="Century"/>
          <w:sz w:val="24"/>
        </w:rPr>
        <w:t>A</w:t>
      </w:r>
      <w:r>
        <w:rPr>
          <w:rFonts w:ascii="Century"/>
          <w:sz w:val="19"/>
        </w:rPr>
        <w:t>LLISON </w:t>
      </w:r>
      <w:r>
        <w:rPr>
          <w:rFonts w:ascii="Century"/>
          <w:sz w:val="24"/>
        </w:rPr>
        <w:t>B. J</w:t>
      </w:r>
      <w:r>
        <w:rPr>
          <w:rFonts w:ascii="Century"/>
          <w:sz w:val="19"/>
        </w:rPr>
        <w:t>ONES </w:t>
      </w:r>
      <w:r>
        <w:rPr>
          <w:rFonts w:ascii="Century"/>
          <w:sz w:val="24"/>
        </w:rPr>
        <w:t>M</w:t>
      </w:r>
      <w:r>
        <w:rPr>
          <w:rFonts w:ascii="Century"/>
          <w:sz w:val="19"/>
        </w:rPr>
        <w:t>ASHA </w:t>
      </w:r>
      <w:r>
        <w:rPr>
          <w:rFonts w:ascii="Century"/>
          <w:sz w:val="24"/>
        </w:rPr>
        <w:t>G. H</w:t>
      </w:r>
      <w:r>
        <w:rPr>
          <w:rFonts w:ascii="Century"/>
          <w:sz w:val="19"/>
        </w:rPr>
        <w:t>ANSFORD</w:t>
      </w:r>
    </w:p>
    <w:p>
      <w:pPr>
        <w:spacing w:before="1"/>
        <w:ind w:left="4980" w:right="0" w:firstLine="0"/>
        <w:jc w:val="left"/>
        <w:rPr>
          <w:rFonts w:ascii="Century"/>
          <w:sz w:val="24"/>
        </w:rPr>
      </w:pPr>
      <w:r>
        <w:rPr>
          <w:rFonts w:ascii="Century"/>
          <w:sz w:val="24"/>
        </w:rPr>
        <w:t>W</w:t>
      </w:r>
      <w:r>
        <w:rPr>
          <w:rFonts w:ascii="Century"/>
          <w:sz w:val="19"/>
        </w:rPr>
        <w:t>ILLIAMS </w:t>
      </w:r>
      <w:r>
        <w:rPr>
          <w:rFonts w:ascii="Century"/>
          <w:sz w:val="24"/>
        </w:rPr>
        <w:t>&amp; C</w:t>
      </w:r>
      <w:r>
        <w:rPr>
          <w:rFonts w:ascii="Century"/>
          <w:sz w:val="19"/>
        </w:rPr>
        <w:t>ONNOLLY </w:t>
      </w:r>
      <w:r>
        <w:rPr>
          <w:rFonts w:ascii="Century"/>
          <w:sz w:val="24"/>
        </w:rPr>
        <w:t>LLP</w:t>
      </w:r>
    </w:p>
    <w:p>
      <w:pPr>
        <w:spacing w:line="254" w:lineRule="auto" w:before="16"/>
        <w:ind w:left="5123" w:right="1918" w:firstLine="0"/>
        <w:jc w:val="left"/>
        <w:rPr>
          <w:rFonts w:ascii="Georgia"/>
          <w:i/>
          <w:sz w:val="24"/>
        </w:rPr>
      </w:pPr>
      <w:r>
        <w:rPr>
          <w:rFonts w:ascii="Georgia"/>
          <w:i/>
          <w:sz w:val="24"/>
        </w:rPr>
        <w:t>725</w:t>
      </w:r>
      <w:r>
        <w:rPr>
          <w:rFonts w:ascii="Georgia"/>
          <w:i/>
          <w:spacing w:val="-31"/>
          <w:sz w:val="24"/>
        </w:rPr>
        <w:t> </w:t>
      </w:r>
      <w:r>
        <w:rPr>
          <w:rFonts w:ascii="Georgia"/>
          <w:i/>
          <w:sz w:val="24"/>
        </w:rPr>
        <w:t>Twelfth</w:t>
      </w:r>
      <w:r>
        <w:rPr>
          <w:rFonts w:ascii="Georgia"/>
          <w:i/>
          <w:spacing w:val="-30"/>
          <w:sz w:val="24"/>
        </w:rPr>
        <w:t> </w:t>
      </w:r>
      <w:r>
        <w:rPr>
          <w:rFonts w:ascii="Georgia"/>
          <w:i/>
          <w:sz w:val="24"/>
        </w:rPr>
        <w:t>Street,</w:t>
      </w:r>
      <w:r>
        <w:rPr>
          <w:rFonts w:ascii="Georgia"/>
          <w:i/>
          <w:spacing w:val="-30"/>
          <w:sz w:val="24"/>
        </w:rPr>
        <w:t> </w:t>
      </w:r>
      <w:r>
        <w:rPr>
          <w:rFonts w:ascii="Georgia"/>
          <w:i/>
          <w:sz w:val="24"/>
        </w:rPr>
        <w:t>N.W. </w:t>
      </w:r>
      <w:r>
        <w:rPr>
          <w:rFonts w:ascii="Georgia"/>
          <w:i/>
          <w:sz w:val="24"/>
        </w:rPr>
        <w:t>Washington,</w:t>
      </w:r>
      <w:r>
        <w:rPr>
          <w:rFonts w:ascii="Georgia"/>
          <w:i/>
          <w:spacing w:val="-31"/>
          <w:sz w:val="24"/>
        </w:rPr>
        <w:t> </w:t>
      </w:r>
      <w:r>
        <w:rPr>
          <w:rFonts w:ascii="Georgia"/>
          <w:i/>
          <w:sz w:val="24"/>
        </w:rPr>
        <w:t>DC</w:t>
      </w:r>
      <w:r>
        <w:rPr>
          <w:rFonts w:ascii="Georgia"/>
          <w:i/>
          <w:spacing w:val="-31"/>
          <w:sz w:val="24"/>
        </w:rPr>
        <w:t> </w:t>
      </w:r>
      <w:r>
        <w:rPr>
          <w:rFonts w:ascii="Georgia"/>
          <w:i/>
          <w:sz w:val="24"/>
        </w:rPr>
        <w:t>20005</w:t>
      </w:r>
    </w:p>
    <w:p>
      <w:pPr>
        <w:spacing w:before="2"/>
        <w:ind w:left="5123" w:right="0" w:firstLine="0"/>
        <w:jc w:val="left"/>
        <w:rPr>
          <w:rFonts w:ascii="Georgia"/>
          <w:i/>
          <w:sz w:val="24"/>
        </w:rPr>
      </w:pPr>
      <w:r>
        <w:rPr>
          <w:rFonts w:ascii="Georgia"/>
          <w:i/>
          <w:w w:val="95"/>
          <w:sz w:val="24"/>
        </w:rPr>
        <w:t>(202) 434-5000</w:t>
      </w:r>
    </w:p>
    <w:p>
      <w:pPr>
        <w:pStyle w:val="BodyText"/>
        <w:rPr>
          <w:rFonts w:ascii="Georgia"/>
          <w:i/>
          <w:sz w:val="20"/>
        </w:rPr>
      </w:pPr>
    </w:p>
    <w:p>
      <w:pPr>
        <w:pStyle w:val="BodyText"/>
        <w:spacing w:before="9"/>
        <w:rPr>
          <w:rFonts w:ascii="Georgia"/>
          <w:i/>
          <w:sz w:val="29"/>
        </w:rPr>
      </w:pPr>
      <w:r>
        <w:rPr/>
        <w:pict>
          <v:group style="position:absolute;margin-left:70.559998pt;margin-top:18.917812pt;width:470.9pt;height:5.9pt;mso-position-horizontal-relative:page;mso-position-vertical-relative:paragraph;z-index:-928;mso-wrap-distance-left:0;mso-wrap-distance-right:0" coordorigin="1411,378" coordsize="9418,118">
            <v:line style="position:absolute" from="1411,466" to="10829,466" stroked="true" strokeweight="3pt" strokecolor="#000000">
              <v:stroke dashstyle="solid"/>
            </v:line>
            <v:line style="position:absolute" from="1411,393" to="10829,393" stroked="true" strokeweight="1.44pt" strokecolor="#000000">
              <v:stroke dashstyle="solid"/>
            </v:line>
            <w10:wrap type="topAndBottom"/>
          </v:group>
        </w:pict>
      </w:r>
    </w:p>
    <w:p>
      <w:pPr>
        <w:spacing w:after="0"/>
        <w:rPr>
          <w:rFonts w:ascii="Georgia"/>
          <w:sz w:val="29"/>
        </w:rPr>
        <w:sectPr>
          <w:type w:val="continuous"/>
          <w:pgSz w:w="12240" w:h="15840"/>
          <w:pgMar w:top="200" w:bottom="280" w:left="1320" w:right="1320"/>
        </w:sectPr>
      </w:pPr>
    </w:p>
    <w:p>
      <w:pPr>
        <w:tabs>
          <w:tab w:pos="2520" w:val="left" w:leader="none"/>
          <w:tab w:pos="4559" w:val="left" w:leader="none"/>
          <w:tab w:pos="5783" w:val="left" w:leader="none"/>
          <w:tab w:pos="7382" w:val="left" w:leader="none"/>
          <w:tab w:pos="8715" w:val="left" w:leader="none"/>
        </w:tabs>
        <w:spacing w:before="75"/>
        <w:ind w:left="615" w:right="0" w:firstLine="0"/>
        <w:jc w:val="left"/>
        <w:rPr>
          <w:rFonts w:ascii="Arial"/>
          <w:sz w:val="24"/>
        </w:rPr>
      </w:pPr>
      <w:r>
        <w:rPr>
          <w:rFonts w:ascii="Arial"/>
          <w:color w:val="FF3232"/>
          <w:sz w:val="24"/>
        </w:rPr>
        <w:t>Case:</w:t>
      </w:r>
      <w:r>
        <w:rPr>
          <w:rFonts w:ascii="Arial"/>
          <w:color w:val="FF3232"/>
          <w:spacing w:val="-5"/>
          <w:sz w:val="24"/>
        </w:rPr>
        <w:t> </w:t>
      </w:r>
      <w:r>
        <w:rPr>
          <w:rFonts w:ascii="Arial"/>
          <w:color w:val="FF3232"/>
          <w:sz w:val="24"/>
        </w:rPr>
        <w:t>14-2902</w:t>
        <w:tab/>
        <w:t>Document:</w:t>
      </w:r>
      <w:r>
        <w:rPr>
          <w:rFonts w:ascii="Arial"/>
          <w:color w:val="FF3232"/>
          <w:spacing w:val="-4"/>
          <w:sz w:val="24"/>
        </w:rPr>
        <w:t> </w:t>
      </w:r>
      <w:r>
        <w:rPr>
          <w:rFonts w:ascii="Arial"/>
          <w:color w:val="FF3232"/>
          <w:sz w:val="24"/>
        </w:rPr>
        <w:t>37-1</w:t>
        <w:tab/>
        <w:t>Page:</w:t>
      </w:r>
      <w:r>
        <w:rPr>
          <w:rFonts w:ascii="Arial"/>
          <w:color w:val="FF3232"/>
          <w:spacing w:val="-3"/>
          <w:sz w:val="24"/>
        </w:rPr>
        <w:t> </w:t>
      </w:r>
      <w:r>
        <w:rPr>
          <w:rFonts w:ascii="Arial"/>
          <w:color w:val="FF3232"/>
          <w:sz w:val="24"/>
        </w:rPr>
        <w:t>2</w:t>
        <w:tab/>
        <w:t>09/22/2014</w:t>
        <w:tab/>
        <w:t>1325730</w:t>
        <w:tab/>
        <w:t>14</w:t>
      </w:r>
    </w:p>
    <w:p>
      <w:pPr>
        <w:pStyle w:val="BodyText"/>
        <w:rPr>
          <w:rFonts w:ascii="Arial"/>
          <w:sz w:val="20"/>
        </w:rPr>
      </w:pPr>
    </w:p>
    <w:p>
      <w:pPr>
        <w:pStyle w:val="BodyText"/>
        <w:rPr>
          <w:rFonts w:ascii="Arial"/>
          <w:sz w:val="20"/>
        </w:rPr>
      </w:pPr>
    </w:p>
    <w:p>
      <w:pPr>
        <w:pStyle w:val="BodyText"/>
        <w:spacing w:before="4"/>
        <w:rPr>
          <w:rFonts w:ascii="Arial"/>
          <w:sz w:val="29"/>
        </w:rPr>
      </w:pPr>
    </w:p>
    <w:p>
      <w:pPr>
        <w:pStyle w:val="Heading1"/>
        <w:ind w:left="1570" w:right="1569"/>
        <w:jc w:val="center"/>
      </w:pPr>
      <w:r>
        <w:rPr/>
        <w:t>TABLE OF CONTENTS</w:t>
      </w:r>
    </w:p>
    <w:sdt>
      <w:sdtPr>
        <w:docPartObj>
          <w:docPartGallery w:val="Table of Contents"/>
          <w:docPartUnique/>
        </w:docPartObj>
      </w:sdtPr>
      <w:sdtEndPr/>
      <w:sdtContent>
        <w:p>
          <w:pPr>
            <w:pStyle w:val="TOC7"/>
            <w:tabs>
              <w:tab w:pos="9340" w:val="left" w:leader="dot"/>
            </w:tabs>
            <w:spacing w:line="328" w:lineRule="auto"/>
          </w:pPr>
          <w:r>
            <w:rPr/>
            <w:t>Page</w:t>
          </w:r>
          <w:hyperlink w:history="true" w:anchor="_bookmark0">
            <w:r>
              <w:rPr/>
              <w:t> Introduction</w:t>
              <w:tab/>
            </w:r>
            <w:r>
              <w:rPr>
                <w:spacing w:val="-17"/>
              </w:rPr>
              <w:t>1</w:t>
            </w:r>
          </w:hyperlink>
        </w:p>
        <w:p>
          <w:pPr>
            <w:pStyle w:val="TOC1"/>
            <w:tabs>
              <w:tab w:pos="9340" w:val="left" w:leader="dot"/>
            </w:tabs>
          </w:pPr>
          <w:hyperlink w:history="true" w:anchor="_bookmark1">
            <w:r>
              <w:rPr/>
              <w:t>Argument</w:t>
              <w:tab/>
              <w:t>2</w:t>
            </w:r>
          </w:hyperlink>
        </w:p>
        <w:p>
          <w:pPr>
            <w:pStyle w:val="TOC5"/>
            <w:numPr>
              <w:ilvl w:val="0"/>
              <w:numId w:val="1"/>
            </w:numPr>
            <w:tabs>
              <w:tab w:pos="1560" w:val="left" w:leader="none"/>
              <w:tab w:pos="1561" w:val="left" w:leader="none"/>
              <w:tab w:pos="9340" w:val="left" w:leader="dot"/>
            </w:tabs>
            <w:spacing w:line="240" w:lineRule="auto" w:before="120" w:after="0"/>
            <w:ind w:left="1560" w:right="0" w:hanging="720"/>
            <w:jc w:val="left"/>
          </w:pPr>
          <w:hyperlink w:history="true" w:anchor="_bookmark2">
            <w:r>
              <w:rPr/>
              <w:t>Materiality</w:t>
              <w:tab/>
              <w:t>3</w:t>
            </w:r>
          </w:hyperlink>
        </w:p>
        <w:p>
          <w:pPr>
            <w:pStyle w:val="TOC5"/>
            <w:numPr>
              <w:ilvl w:val="0"/>
              <w:numId w:val="1"/>
            </w:numPr>
            <w:tabs>
              <w:tab w:pos="1560" w:val="left" w:leader="none"/>
              <w:tab w:pos="1561" w:val="left" w:leader="none"/>
              <w:tab w:pos="9340" w:val="left" w:leader="dot"/>
            </w:tabs>
            <w:spacing w:line="240" w:lineRule="auto" w:before="119" w:after="0"/>
            <w:ind w:left="1560" w:right="0" w:hanging="720"/>
            <w:jc w:val="left"/>
          </w:pPr>
          <w:hyperlink w:history="true" w:anchor="_bookmark3">
            <w:r>
              <w:rPr/>
              <w:t>Evidentiary</w:t>
            </w:r>
            <w:r>
              <w:rPr>
                <w:spacing w:val="-4"/>
              </w:rPr>
              <w:t> </w:t>
            </w:r>
            <w:r>
              <w:rPr/>
              <w:t>rulings</w:t>
              <w:tab/>
              <w:t>6</w:t>
            </w:r>
          </w:hyperlink>
        </w:p>
        <w:p>
          <w:pPr>
            <w:pStyle w:val="TOC5"/>
            <w:numPr>
              <w:ilvl w:val="0"/>
              <w:numId w:val="1"/>
            </w:numPr>
            <w:tabs>
              <w:tab w:pos="1560" w:val="left" w:leader="none"/>
              <w:tab w:pos="1561" w:val="left" w:leader="none"/>
              <w:tab w:pos="9341" w:val="left" w:leader="dot"/>
            </w:tabs>
            <w:spacing w:line="240" w:lineRule="auto" w:before="120" w:after="0"/>
            <w:ind w:left="1560" w:right="0" w:hanging="720"/>
            <w:jc w:val="left"/>
          </w:pPr>
          <w:hyperlink w:history="true" w:anchor="_bookmark6">
            <w:r>
              <w:rPr/>
              <w:t>Scienter</w:t>
              <w:tab/>
              <w:t>8</w:t>
            </w:r>
          </w:hyperlink>
        </w:p>
        <w:p>
          <w:pPr>
            <w:pStyle w:val="TOC1"/>
            <w:tabs>
              <w:tab w:pos="9199" w:val="left" w:leader="dot"/>
            </w:tabs>
            <w:spacing w:before="120"/>
            <w:ind w:left="120"/>
          </w:pPr>
          <w:hyperlink w:history="true" w:anchor="_bookmark8">
            <w:r>
              <w:rPr/>
              <w:t>Conclusion</w:t>
              <w:tab/>
              <w:t>10</w:t>
            </w:r>
          </w:hyperlink>
        </w:p>
        <w:p>
          <w:pPr>
            <w:pStyle w:val="TOC6"/>
            <w:spacing w:line="456" w:lineRule="auto"/>
          </w:pPr>
          <w:r>
            <w:rPr/>
            <w:t>TABLE OF AUTHORITIES CASES</w:t>
          </w:r>
        </w:p>
        <w:p>
          <w:pPr>
            <w:pStyle w:val="TOC3"/>
            <w:tabs>
              <w:tab w:pos="8779" w:val="left" w:leader="dot"/>
            </w:tabs>
            <w:spacing w:line="267" w:lineRule="exact" w:before="0"/>
            <w:ind w:left="120"/>
            <w:rPr>
              <w:b w:val="0"/>
              <w:i w:val="0"/>
              <w:sz w:val="28"/>
            </w:rPr>
          </w:pPr>
          <w:r>
            <w:rPr>
              <w:b w:val="0"/>
              <w:i/>
              <w:sz w:val="28"/>
            </w:rPr>
            <w:t>Feinman </w:t>
          </w:r>
          <w:r>
            <w:rPr>
              <w:b w:val="0"/>
              <w:i w:val="0"/>
              <w:sz w:val="28"/>
            </w:rPr>
            <w:t>v. </w:t>
          </w:r>
          <w:r>
            <w:rPr>
              <w:b w:val="0"/>
              <w:i/>
              <w:sz w:val="28"/>
            </w:rPr>
            <w:t>Dean Witter Reynolds, Inc.</w:t>
          </w:r>
          <w:r>
            <w:rPr>
              <w:b w:val="0"/>
              <w:i w:val="0"/>
              <w:sz w:val="28"/>
            </w:rPr>
            <w:t>, 84 F.3d 539 (2d</w:t>
          </w:r>
          <w:r>
            <w:rPr>
              <w:b w:val="0"/>
              <w:i w:val="0"/>
              <w:spacing w:val="-13"/>
              <w:sz w:val="28"/>
            </w:rPr>
            <w:t> </w:t>
          </w:r>
          <w:r>
            <w:rPr>
              <w:b w:val="0"/>
              <w:i w:val="0"/>
              <w:sz w:val="28"/>
            </w:rPr>
            <w:t>Cir.</w:t>
          </w:r>
          <w:r>
            <w:rPr>
              <w:b w:val="0"/>
              <w:i w:val="0"/>
              <w:spacing w:val="-1"/>
              <w:sz w:val="28"/>
            </w:rPr>
            <w:t> </w:t>
          </w:r>
          <w:r>
            <w:rPr>
              <w:b w:val="0"/>
              <w:i w:val="0"/>
              <w:sz w:val="28"/>
            </w:rPr>
            <w:t>1996)</w:t>
            <w:tab/>
            <w:t>3, 4,</w:t>
          </w:r>
          <w:r>
            <w:rPr>
              <w:b w:val="0"/>
              <w:i w:val="0"/>
              <w:spacing w:val="1"/>
              <w:sz w:val="28"/>
            </w:rPr>
            <w:t> </w:t>
          </w:r>
          <w:r>
            <w:rPr>
              <w:b w:val="0"/>
              <w:i w:val="0"/>
              <w:sz w:val="28"/>
            </w:rPr>
            <w:t>6</w:t>
          </w:r>
        </w:p>
        <w:p>
          <w:pPr>
            <w:pStyle w:val="TOC3"/>
            <w:tabs>
              <w:tab w:pos="9341" w:val="left" w:leader="dot"/>
            </w:tabs>
            <w:ind w:left="120"/>
            <w:rPr>
              <w:b w:val="0"/>
              <w:i w:val="0"/>
              <w:sz w:val="28"/>
            </w:rPr>
          </w:pPr>
          <w:r>
            <w:rPr>
              <w:b w:val="0"/>
              <w:i/>
              <w:sz w:val="28"/>
            </w:rPr>
            <w:t>Field </w:t>
          </w:r>
          <w:r>
            <w:rPr>
              <w:b w:val="0"/>
              <w:i w:val="0"/>
              <w:sz w:val="28"/>
            </w:rPr>
            <w:t>v. </w:t>
          </w:r>
          <w:r>
            <w:rPr>
              <w:b w:val="0"/>
              <w:i/>
              <w:sz w:val="28"/>
            </w:rPr>
            <w:t>Mans</w:t>
          </w:r>
          <w:r>
            <w:rPr>
              <w:b w:val="0"/>
              <w:i w:val="0"/>
              <w:sz w:val="28"/>
            </w:rPr>
            <w:t>, 516 U.S.</w:t>
          </w:r>
          <w:r>
            <w:rPr>
              <w:b w:val="0"/>
              <w:i w:val="0"/>
              <w:spacing w:val="-7"/>
              <w:sz w:val="28"/>
            </w:rPr>
            <w:t> </w:t>
          </w:r>
          <w:r>
            <w:rPr>
              <w:b w:val="0"/>
              <w:i w:val="0"/>
              <w:sz w:val="28"/>
            </w:rPr>
            <w:t>59</w:t>
          </w:r>
          <w:r>
            <w:rPr>
              <w:b w:val="0"/>
              <w:i w:val="0"/>
              <w:spacing w:val="-1"/>
              <w:sz w:val="28"/>
            </w:rPr>
            <w:t> </w:t>
          </w:r>
          <w:r>
            <w:rPr>
              <w:b w:val="0"/>
              <w:i w:val="0"/>
              <w:sz w:val="28"/>
            </w:rPr>
            <w:t>(1995)</w:t>
            <w:tab/>
            <w:t>6</w:t>
          </w:r>
        </w:p>
        <w:p>
          <w:pPr>
            <w:pStyle w:val="TOC3"/>
            <w:tabs>
              <w:tab w:pos="9341" w:val="left" w:leader="dot"/>
            </w:tabs>
            <w:spacing w:before="119"/>
            <w:ind w:left="120"/>
            <w:rPr>
              <w:b w:val="0"/>
              <w:i w:val="0"/>
              <w:sz w:val="28"/>
            </w:rPr>
          </w:pPr>
          <w:r>
            <w:rPr>
              <w:b w:val="0"/>
              <w:i/>
              <w:sz w:val="28"/>
            </w:rPr>
            <w:t>SEC </w:t>
          </w:r>
          <w:r>
            <w:rPr>
              <w:b w:val="0"/>
              <w:i w:val="0"/>
              <w:sz w:val="28"/>
            </w:rPr>
            <w:t>v. </w:t>
          </w:r>
          <w:r>
            <w:rPr>
              <w:b w:val="0"/>
              <w:i/>
              <w:sz w:val="28"/>
            </w:rPr>
            <w:t>DiBella</w:t>
          </w:r>
          <w:r>
            <w:rPr>
              <w:b w:val="0"/>
              <w:i w:val="0"/>
              <w:sz w:val="28"/>
            </w:rPr>
            <w:t>, 587 F.3d 553 (2d</w:t>
          </w:r>
          <w:r>
            <w:rPr>
              <w:b w:val="0"/>
              <w:i w:val="0"/>
              <w:spacing w:val="-10"/>
              <w:sz w:val="28"/>
            </w:rPr>
            <w:t> </w:t>
          </w:r>
          <w:r>
            <w:rPr>
              <w:b w:val="0"/>
              <w:i w:val="0"/>
              <w:sz w:val="28"/>
            </w:rPr>
            <w:t>Cir.</w:t>
          </w:r>
          <w:r>
            <w:rPr>
              <w:b w:val="0"/>
              <w:i w:val="0"/>
              <w:spacing w:val="-2"/>
              <w:sz w:val="28"/>
            </w:rPr>
            <w:t> </w:t>
          </w:r>
          <w:r>
            <w:rPr>
              <w:b w:val="0"/>
              <w:i w:val="0"/>
              <w:sz w:val="28"/>
            </w:rPr>
            <w:t>2009)</w:t>
            <w:tab/>
            <w:t>5</w:t>
          </w:r>
        </w:p>
        <w:p>
          <w:pPr>
            <w:pStyle w:val="TOC3"/>
            <w:tabs>
              <w:tab w:pos="9061" w:val="left" w:leader="dot"/>
            </w:tabs>
            <w:rPr>
              <w:b w:val="0"/>
              <w:i w:val="0"/>
              <w:sz w:val="28"/>
            </w:rPr>
          </w:pPr>
          <w:r>
            <w:rPr>
              <w:b w:val="0"/>
              <w:i/>
              <w:sz w:val="28"/>
            </w:rPr>
            <w:t>SEC </w:t>
          </w:r>
          <w:r>
            <w:rPr>
              <w:b w:val="0"/>
              <w:i w:val="0"/>
              <w:sz w:val="28"/>
            </w:rPr>
            <w:t>v. </w:t>
          </w:r>
          <w:r>
            <w:rPr>
              <w:b w:val="0"/>
              <w:i/>
              <w:sz w:val="28"/>
            </w:rPr>
            <w:t>Holschuh</w:t>
          </w:r>
          <w:r>
            <w:rPr>
              <w:b w:val="0"/>
              <w:i w:val="0"/>
              <w:sz w:val="28"/>
            </w:rPr>
            <w:t>, 694 F.2d 130 (7th</w:t>
          </w:r>
          <w:r>
            <w:rPr>
              <w:b w:val="0"/>
              <w:i w:val="0"/>
              <w:spacing w:val="-9"/>
              <w:sz w:val="28"/>
            </w:rPr>
            <w:t> </w:t>
          </w:r>
          <w:r>
            <w:rPr>
              <w:b w:val="0"/>
              <w:i w:val="0"/>
              <w:sz w:val="28"/>
            </w:rPr>
            <w:t>Cir.</w:t>
          </w:r>
          <w:r>
            <w:rPr>
              <w:b w:val="0"/>
              <w:i w:val="0"/>
              <w:spacing w:val="-5"/>
              <w:sz w:val="28"/>
            </w:rPr>
            <w:t> </w:t>
          </w:r>
          <w:r>
            <w:rPr>
              <w:b w:val="0"/>
              <w:i w:val="0"/>
              <w:sz w:val="28"/>
            </w:rPr>
            <w:t>1982)</w:t>
            <w:tab/>
            <w:t>8,</w:t>
          </w:r>
          <w:r>
            <w:rPr>
              <w:b w:val="0"/>
              <w:i w:val="0"/>
              <w:spacing w:val="1"/>
              <w:sz w:val="28"/>
            </w:rPr>
            <w:t> </w:t>
          </w:r>
          <w:r>
            <w:rPr>
              <w:b w:val="0"/>
              <w:i w:val="0"/>
              <w:sz w:val="28"/>
            </w:rPr>
            <w:t>9</w:t>
          </w:r>
        </w:p>
        <w:p>
          <w:pPr>
            <w:pStyle w:val="TOC2"/>
            <w:rPr>
              <w:i w:val="0"/>
            </w:rPr>
          </w:pPr>
          <w:r>
            <w:rPr>
              <w:i/>
            </w:rPr>
            <w:t>United States </w:t>
          </w:r>
          <w:r>
            <w:rPr>
              <w:i w:val="0"/>
            </w:rPr>
            <w:t>v. </w:t>
          </w:r>
          <w:r>
            <w:rPr>
              <w:i/>
            </w:rPr>
            <w:t>Certified Environmental Services, Inc.</w:t>
          </w:r>
          <w:r>
            <w:rPr>
              <w:i w:val="0"/>
            </w:rPr>
            <w:t>,</w:t>
          </w:r>
        </w:p>
        <w:p>
          <w:pPr>
            <w:pStyle w:val="TOC4"/>
            <w:tabs>
              <w:tab w:pos="9341" w:val="left" w:leader="dot"/>
            </w:tabs>
          </w:pPr>
          <w:r>
            <w:rPr/>
            <w:t>753 F.3d 72 (2d</w:t>
          </w:r>
          <w:r>
            <w:rPr>
              <w:spacing w:val="-3"/>
            </w:rPr>
            <w:t> </w:t>
          </w:r>
          <w:r>
            <w:rPr/>
            <w:t>Cir.</w:t>
          </w:r>
          <w:r>
            <w:rPr>
              <w:spacing w:val="-4"/>
            </w:rPr>
            <w:t> </w:t>
          </w:r>
          <w:r>
            <w:rPr/>
            <w:t>2014)</w:t>
            <w:tab/>
            <w:t>7</w:t>
          </w:r>
        </w:p>
        <w:p>
          <w:pPr>
            <w:pStyle w:val="TOC3"/>
            <w:tabs>
              <w:tab w:pos="9342" w:val="left" w:leader="dot"/>
            </w:tabs>
            <w:rPr>
              <w:b w:val="0"/>
              <w:i w:val="0"/>
              <w:sz w:val="28"/>
            </w:rPr>
          </w:pPr>
          <w:r>
            <w:rPr>
              <w:b w:val="0"/>
              <w:i/>
              <w:sz w:val="28"/>
            </w:rPr>
            <w:t>United States </w:t>
          </w:r>
          <w:r>
            <w:rPr>
              <w:b w:val="0"/>
              <w:i w:val="0"/>
              <w:sz w:val="28"/>
            </w:rPr>
            <w:t>v. </w:t>
          </w:r>
          <w:r>
            <w:rPr>
              <w:b w:val="0"/>
              <w:i/>
              <w:sz w:val="28"/>
            </w:rPr>
            <w:t>Gupta</w:t>
          </w:r>
          <w:r>
            <w:rPr>
              <w:b w:val="0"/>
              <w:i w:val="0"/>
              <w:sz w:val="28"/>
            </w:rPr>
            <w:t>, No. 12-4448</w:t>
          </w:r>
          <w:r>
            <w:rPr>
              <w:b w:val="0"/>
              <w:i w:val="0"/>
              <w:spacing w:val="-12"/>
              <w:sz w:val="28"/>
            </w:rPr>
            <w:t> </w:t>
          </w:r>
          <w:r>
            <w:rPr>
              <w:b w:val="0"/>
              <w:i w:val="0"/>
              <w:sz w:val="28"/>
            </w:rPr>
            <w:t>(2d</w:t>
          </w:r>
          <w:r>
            <w:rPr>
              <w:b w:val="0"/>
              <w:i w:val="0"/>
              <w:spacing w:val="-1"/>
              <w:sz w:val="28"/>
            </w:rPr>
            <w:t> </w:t>
          </w:r>
          <w:r>
            <w:rPr>
              <w:b w:val="0"/>
              <w:i w:val="0"/>
              <w:sz w:val="28"/>
            </w:rPr>
            <w:t>Cir.)</w:t>
            <w:tab/>
            <w:t>6</w:t>
          </w:r>
        </w:p>
        <w:p>
          <w:pPr>
            <w:pStyle w:val="TOC3"/>
            <w:tabs>
              <w:tab w:pos="9341" w:val="left" w:leader="dot"/>
            </w:tabs>
            <w:spacing w:before="119"/>
            <w:rPr>
              <w:b w:val="0"/>
              <w:i w:val="0"/>
              <w:sz w:val="28"/>
            </w:rPr>
          </w:pPr>
          <w:r>
            <w:rPr>
              <w:b w:val="0"/>
              <w:i/>
              <w:sz w:val="28"/>
            </w:rPr>
            <w:t>United States </w:t>
          </w:r>
          <w:r>
            <w:rPr>
              <w:b w:val="0"/>
              <w:i w:val="0"/>
              <w:sz w:val="28"/>
            </w:rPr>
            <w:t>v. </w:t>
          </w:r>
          <w:r>
            <w:rPr>
              <w:b w:val="0"/>
              <w:i/>
              <w:sz w:val="28"/>
            </w:rPr>
            <w:t>Kaiser</w:t>
          </w:r>
          <w:r>
            <w:rPr>
              <w:b w:val="0"/>
              <w:i w:val="0"/>
              <w:sz w:val="28"/>
            </w:rPr>
            <w:t>, 609 F.3d 556 (2d</w:t>
          </w:r>
          <w:r>
            <w:rPr>
              <w:b w:val="0"/>
              <w:i w:val="0"/>
              <w:spacing w:val="-14"/>
              <w:sz w:val="28"/>
            </w:rPr>
            <w:t> </w:t>
          </w:r>
          <w:r>
            <w:rPr>
              <w:b w:val="0"/>
              <w:i w:val="0"/>
              <w:sz w:val="28"/>
            </w:rPr>
            <w:t>Cir.</w:t>
          </w:r>
          <w:r>
            <w:rPr>
              <w:b w:val="0"/>
              <w:i w:val="0"/>
              <w:spacing w:val="-1"/>
              <w:sz w:val="28"/>
            </w:rPr>
            <w:t> </w:t>
          </w:r>
          <w:r>
            <w:rPr>
              <w:b w:val="0"/>
              <w:i w:val="0"/>
              <w:sz w:val="28"/>
            </w:rPr>
            <w:t>2010)</w:t>
            <w:tab/>
            <w:t>8</w:t>
          </w:r>
        </w:p>
        <w:p>
          <w:pPr>
            <w:pStyle w:val="TOC3"/>
            <w:tabs>
              <w:tab w:pos="9342" w:val="left" w:leader="dot"/>
            </w:tabs>
            <w:rPr>
              <w:b w:val="0"/>
              <w:i w:val="0"/>
              <w:sz w:val="28"/>
            </w:rPr>
          </w:pPr>
          <w:r>
            <w:rPr>
              <w:b w:val="0"/>
              <w:i/>
              <w:sz w:val="28"/>
            </w:rPr>
            <w:t>United States </w:t>
          </w:r>
          <w:r>
            <w:rPr>
              <w:b w:val="0"/>
              <w:i w:val="0"/>
              <w:sz w:val="28"/>
            </w:rPr>
            <w:t>v. </w:t>
          </w:r>
          <w:r>
            <w:rPr>
              <w:b w:val="0"/>
              <w:i/>
              <w:sz w:val="28"/>
            </w:rPr>
            <w:t>Leonard</w:t>
          </w:r>
          <w:r>
            <w:rPr>
              <w:b w:val="0"/>
              <w:i w:val="0"/>
              <w:sz w:val="28"/>
            </w:rPr>
            <w:t>, 529 F.3d 83 (2d</w:t>
          </w:r>
          <w:r>
            <w:rPr>
              <w:b w:val="0"/>
              <w:i w:val="0"/>
              <w:spacing w:val="-13"/>
              <w:sz w:val="28"/>
            </w:rPr>
            <w:t> </w:t>
          </w:r>
          <w:r>
            <w:rPr>
              <w:b w:val="0"/>
              <w:i w:val="0"/>
              <w:sz w:val="28"/>
            </w:rPr>
            <w:t>Cir.</w:t>
          </w:r>
          <w:r>
            <w:rPr>
              <w:b w:val="0"/>
              <w:i w:val="0"/>
              <w:spacing w:val="-1"/>
              <w:sz w:val="28"/>
            </w:rPr>
            <w:t> </w:t>
          </w:r>
          <w:r>
            <w:rPr>
              <w:b w:val="0"/>
              <w:i w:val="0"/>
              <w:sz w:val="28"/>
            </w:rPr>
            <w:t>2008)</w:t>
            <w:tab/>
            <w:t>5</w:t>
          </w:r>
        </w:p>
        <w:p>
          <w:pPr>
            <w:pStyle w:val="TOC3"/>
            <w:tabs>
              <w:tab w:pos="9342" w:val="left" w:leader="dot"/>
            </w:tabs>
            <w:rPr>
              <w:b w:val="0"/>
              <w:i w:val="0"/>
              <w:sz w:val="28"/>
            </w:rPr>
          </w:pPr>
          <w:r>
            <w:rPr>
              <w:b w:val="0"/>
              <w:i/>
              <w:sz w:val="28"/>
            </w:rPr>
            <w:t>United States </w:t>
          </w:r>
          <w:r>
            <w:rPr>
              <w:b w:val="0"/>
              <w:i w:val="0"/>
              <w:sz w:val="28"/>
            </w:rPr>
            <w:t>v. </w:t>
          </w:r>
          <w:r>
            <w:rPr>
              <w:b w:val="0"/>
              <w:i/>
              <w:sz w:val="28"/>
            </w:rPr>
            <w:t>O’Hagan</w:t>
          </w:r>
          <w:r>
            <w:rPr>
              <w:b w:val="0"/>
              <w:i w:val="0"/>
              <w:sz w:val="28"/>
            </w:rPr>
            <w:t>, 521 U.S.</w:t>
          </w:r>
          <w:r>
            <w:rPr>
              <w:b w:val="0"/>
              <w:i w:val="0"/>
              <w:spacing w:val="-11"/>
              <w:sz w:val="28"/>
            </w:rPr>
            <w:t> </w:t>
          </w:r>
          <w:r>
            <w:rPr>
              <w:b w:val="0"/>
              <w:i w:val="0"/>
              <w:sz w:val="28"/>
            </w:rPr>
            <w:t>642</w:t>
          </w:r>
          <w:r>
            <w:rPr>
              <w:b w:val="0"/>
              <w:i w:val="0"/>
              <w:spacing w:val="-1"/>
              <w:sz w:val="28"/>
            </w:rPr>
            <w:t> </w:t>
          </w:r>
          <w:r>
            <w:rPr>
              <w:b w:val="0"/>
              <w:i w:val="0"/>
              <w:sz w:val="28"/>
            </w:rPr>
            <w:t>(1997)</w:t>
            <w:tab/>
            <w:t>8</w:t>
          </w:r>
        </w:p>
        <w:p>
          <w:pPr>
            <w:pStyle w:val="TOC3"/>
            <w:tabs>
              <w:tab w:pos="8922" w:val="left" w:leader="dot"/>
            </w:tabs>
            <w:rPr>
              <w:b w:val="0"/>
              <w:i w:val="0"/>
              <w:sz w:val="28"/>
            </w:rPr>
          </w:pPr>
          <w:r>
            <w:rPr>
              <w:b w:val="0"/>
              <w:i/>
              <w:sz w:val="28"/>
            </w:rPr>
            <w:t>United States </w:t>
          </w:r>
          <w:r>
            <w:rPr>
              <w:b w:val="0"/>
              <w:i w:val="0"/>
              <w:sz w:val="28"/>
            </w:rPr>
            <w:t>v. </w:t>
          </w:r>
          <w:r>
            <w:rPr>
              <w:b w:val="0"/>
              <w:i/>
              <w:sz w:val="28"/>
            </w:rPr>
            <w:t>Randell</w:t>
          </w:r>
          <w:r>
            <w:rPr>
              <w:b w:val="0"/>
              <w:i w:val="0"/>
              <w:sz w:val="28"/>
            </w:rPr>
            <w:t>, 761 F.2d 122 (2d</w:t>
          </w:r>
          <w:r>
            <w:rPr>
              <w:b w:val="0"/>
              <w:i w:val="0"/>
              <w:spacing w:val="-13"/>
              <w:sz w:val="28"/>
            </w:rPr>
            <w:t> </w:t>
          </w:r>
          <w:r>
            <w:rPr>
              <w:b w:val="0"/>
              <w:i w:val="0"/>
              <w:sz w:val="28"/>
            </w:rPr>
            <w:t>Cir.</w:t>
          </w:r>
          <w:r>
            <w:rPr>
              <w:b w:val="0"/>
              <w:i w:val="0"/>
              <w:spacing w:val="-1"/>
              <w:sz w:val="28"/>
            </w:rPr>
            <w:t> </w:t>
          </w:r>
          <w:r>
            <w:rPr>
              <w:b w:val="0"/>
              <w:i w:val="0"/>
              <w:sz w:val="28"/>
            </w:rPr>
            <w:t>1985)</w:t>
            <w:tab/>
            <w:t>1,</w:t>
          </w:r>
          <w:r>
            <w:rPr>
              <w:b w:val="0"/>
              <w:i w:val="0"/>
              <w:spacing w:val="-2"/>
              <w:sz w:val="28"/>
            </w:rPr>
            <w:t> </w:t>
          </w:r>
          <w:r>
            <w:rPr>
              <w:b w:val="0"/>
              <w:i w:val="0"/>
              <w:sz w:val="28"/>
            </w:rPr>
            <w:t>10</w:t>
          </w:r>
        </w:p>
        <w:p>
          <w:pPr>
            <w:pStyle w:val="TOC2"/>
            <w:rPr>
              <w:i w:val="0"/>
            </w:rPr>
          </w:pPr>
          <w:r>
            <w:rPr>
              <w:i/>
            </w:rPr>
            <w:t>United States </w:t>
          </w:r>
          <w:r>
            <w:rPr>
              <w:i w:val="0"/>
            </w:rPr>
            <w:t>v. </w:t>
          </w:r>
          <w:r>
            <w:rPr>
              <w:i/>
            </w:rPr>
            <w:t>Regent Office Supply Co.</w:t>
          </w:r>
          <w:r>
            <w:rPr>
              <w:i w:val="0"/>
            </w:rPr>
            <w:t>,</w:t>
          </w:r>
        </w:p>
        <w:p>
          <w:pPr>
            <w:pStyle w:val="TOC4"/>
            <w:tabs>
              <w:tab w:pos="9341" w:val="left" w:leader="dot"/>
            </w:tabs>
          </w:pPr>
          <w:r>
            <w:rPr/>
            <w:t>421 F.2d 1174 (2d</w:t>
          </w:r>
          <w:r>
            <w:rPr>
              <w:spacing w:val="-7"/>
            </w:rPr>
            <w:t> </w:t>
          </w:r>
          <w:r>
            <w:rPr/>
            <w:t>Cir.</w:t>
          </w:r>
          <w:r>
            <w:rPr>
              <w:spacing w:val="-2"/>
            </w:rPr>
            <w:t> </w:t>
          </w:r>
          <w:r>
            <w:rPr/>
            <w:t>1970)</w:t>
            <w:tab/>
            <w:t>9</w:t>
          </w:r>
        </w:p>
        <w:p>
          <w:pPr>
            <w:pStyle w:val="TOC3"/>
            <w:tabs>
              <w:tab w:pos="9342" w:val="left" w:leader="dot"/>
            </w:tabs>
            <w:spacing w:before="119"/>
            <w:rPr>
              <w:b w:val="0"/>
              <w:i w:val="0"/>
              <w:sz w:val="28"/>
            </w:rPr>
          </w:pPr>
          <w:r>
            <w:rPr>
              <w:b w:val="0"/>
              <w:i/>
              <w:sz w:val="28"/>
            </w:rPr>
            <w:t>United States </w:t>
          </w:r>
          <w:r>
            <w:rPr>
              <w:b w:val="0"/>
              <w:i w:val="0"/>
              <w:sz w:val="28"/>
            </w:rPr>
            <w:t>v. </w:t>
          </w:r>
          <w:r>
            <w:rPr>
              <w:b w:val="0"/>
              <w:i/>
              <w:sz w:val="28"/>
            </w:rPr>
            <w:t>Starr</w:t>
          </w:r>
          <w:r>
            <w:rPr>
              <w:b w:val="0"/>
              <w:i w:val="0"/>
              <w:sz w:val="28"/>
            </w:rPr>
            <w:t>, 816 F.2d 94 (2d</w:t>
          </w:r>
          <w:r>
            <w:rPr>
              <w:b w:val="0"/>
              <w:i w:val="0"/>
              <w:spacing w:val="-13"/>
              <w:sz w:val="28"/>
            </w:rPr>
            <w:t> </w:t>
          </w:r>
          <w:r>
            <w:rPr>
              <w:b w:val="0"/>
              <w:i w:val="0"/>
              <w:sz w:val="28"/>
            </w:rPr>
            <w:t>Cir.</w:t>
          </w:r>
          <w:r>
            <w:rPr>
              <w:b w:val="0"/>
              <w:i w:val="0"/>
              <w:spacing w:val="-5"/>
              <w:sz w:val="28"/>
            </w:rPr>
            <w:t> </w:t>
          </w:r>
          <w:r>
            <w:rPr>
              <w:b w:val="0"/>
              <w:i w:val="0"/>
              <w:sz w:val="28"/>
            </w:rPr>
            <w:t>1987)</w:t>
            <w:tab/>
            <w:t>9</w:t>
          </w:r>
        </w:p>
        <w:p>
          <w:pPr>
            <w:pStyle w:val="TOC3"/>
            <w:tabs>
              <w:tab w:pos="9342" w:val="left" w:leader="dot"/>
            </w:tabs>
            <w:rPr>
              <w:b w:val="0"/>
              <w:i w:val="0"/>
              <w:sz w:val="28"/>
            </w:rPr>
          </w:pPr>
          <w:r>
            <w:rPr>
              <w:b w:val="0"/>
              <w:i/>
              <w:sz w:val="28"/>
            </w:rPr>
            <w:t>United States </w:t>
          </w:r>
          <w:r>
            <w:rPr>
              <w:b w:val="0"/>
              <w:i w:val="0"/>
              <w:sz w:val="28"/>
            </w:rPr>
            <w:t>v. </w:t>
          </w:r>
          <w:r>
            <w:rPr>
              <w:b w:val="0"/>
              <w:i/>
              <w:sz w:val="28"/>
            </w:rPr>
            <w:t>Vilar</w:t>
          </w:r>
          <w:r>
            <w:rPr>
              <w:b w:val="0"/>
              <w:i w:val="0"/>
              <w:sz w:val="28"/>
            </w:rPr>
            <w:t>, 729 F.3d 62 (2d</w:t>
          </w:r>
          <w:r>
            <w:rPr>
              <w:b w:val="0"/>
              <w:i w:val="0"/>
              <w:spacing w:val="-13"/>
              <w:sz w:val="28"/>
            </w:rPr>
            <w:t> </w:t>
          </w:r>
          <w:r>
            <w:rPr>
              <w:b w:val="0"/>
              <w:i w:val="0"/>
              <w:sz w:val="28"/>
            </w:rPr>
            <w:t>Cir.</w:t>
          </w:r>
          <w:r>
            <w:rPr>
              <w:b w:val="0"/>
              <w:i w:val="0"/>
              <w:spacing w:val="-5"/>
              <w:sz w:val="28"/>
            </w:rPr>
            <w:t> </w:t>
          </w:r>
          <w:r>
            <w:rPr>
              <w:b w:val="0"/>
              <w:i w:val="0"/>
              <w:sz w:val="28"/>
            </w:rPr>
            <w:t>2013)</w:t>
            <w:tab/>
            <w:t>8</w:t>
          </w:r>
        </w:p>
      </w:sdtContent>
    </w:sdt>
    <w:p>
      <w:pPr>
        <w:spacing w:after="0"/>
        <w:rPr>
          <w:sz w:val="28"/>
        </w:rPr>
        <w:sectPr>
          <w:footerReference w:type="default" r:id="rId5"/>
          <w:pgSz w:w="12240" w:h="15840"/>
          <w:pgMar w:footer="837" w:header="0" w:top="200" w:bottom="1020" w:left="1320" w:right="1320"/>
        </w:sectPr>
      </w:pPr>
    </w:p>
    <w:p>
      <w:pPr>
        <w:tabs>
          <w:tab w:pos="2520" w:val="left" w:leader="none"/>
          <w:tab w:pos="4559" w:val="left" w:leader="none"/>
          <w:tab w:pos="5783" w:val="left" w:leader="none"/>
          <w:tab w:pos="7382" w:val="left" w:leader="none"/>
          <w:tab w:pos="8715" w:val="left" w:leader="none"/>
        </w:tabs>
        <w:spacing w:before="75"/>
        <w:ind w:left="615" w:right="0" w:firstLine="0"/>
        <w:jc w:val="left"/>
        <w:rPr>
          <w:rFonts w:ascii="Arial"/>
          <w:sz w:val="24"/>
        </w:rPr>
      </w:pPr>
      <w:r>
        <w:rPr>
          <w:rFonts w:ascii="Arial"/>
          <w:color w:val="FF3232"/>
          <w:sz w:val="24"/>
        </w:rPr>
        <w:t>Case:</w:t>
      </w:r>
      <w:r>
        <w:rPr>
          <w:rFonts w:ascii="Arial"/>
          <w:color w:val="FF3232"/>
          <w:spacing w:val="-5"/>
          <w:sz w:val="24"/>
        </w:rPr>
        <w:t> </w:t>
      </w:r>
      <w:r>
        <w:rPr>
          <w:rFonts w:ascii="Arial"/>
          <w:color w:val="FF3232"/>
          <w:sz w:val="24"/>
        </w:rPr>
        <w:t>14-2902</w:t>
        <w:tab/>
        <w:t>Document:</w:t>
      </w:r>
      <w:r>
        <w:rPr>
          <w:rFonts w:ascii="Arial"/>
          <w:color w:val="FF3232"/>
          <w:spacing w:val="-4"/>
          <w:sz w:val="24"/>
        </w:rPr>
        <w:t> </w:t>
      </w:r>
      <w:r>
        <w:rPr>
          <w:rFonts w:ascii="Arial"/>
          <w:color w:val="FF3232"/>
          <w:sz w:val="24"/>
        </w:rPr>
        <w:t>37-1</w:t>
        <w:tab/>
        <w:t>Page:</w:t>
      </w:r>
      <w:r>
        <w:rPr>
          <w:rFonts w:ascii="Arial"/>
          <w:color w:val="FF3232"/>
          <w:spacing w:val="-3"/>
          <w:sz w:val="24"/>
        </w:rPr>
        <w:t> </w:t>
      </w:r>
      <w:r>
        <w:rPr>
          <w:rFonts w:ascii="Arial"/>
          <w:color w:val="FF3232"/>
          <w:sz w:val="24"/>
        </w:rPr>
        <w:t>3</w:t>
        <w:tab/>
        <w:t>09/22/2014</w:t>
        <w:tab/>
        <w:t>1325730</w:t>
        <w:tab/>
        <w:t>14</w:t>
      </w:r>
    </w:p>
    <w:p>
      <w:pPr>
        <w:pStyle w:val="BodyText"/>
        <w:rPr>
          <w:rFonts w:ascii="Arial"/>
          <w:sz w:val="30"/>
        </w:rPr>
      </w:pPr>
    </w:p>
    <w:p>
      <w:pPr>
        <w:pStyle w:val="BodyText"/>
        <w:rPr>
          <w:rFonts w:ascii="Arial"/>
          <w:sz w:val="30"/>
        </w:rPr>
      </w:pPr>
    </w:p>
    <w:p>
      <w:pPr>
        <w:pStyle w:val="Heading1"/>
        <w:spacing w:before="196"/>
        <w:ind w:left="3679"/>
      </w:pPr>
      <w:bookmarkStart w:name="_bookmark0" w:id="1"/>
      <w:bookmarkEnd w:id="1"/>
      <w:r>
        <w:rPr>
          <w:b w:val="0"/>
        </w:rPr>
      </w:r>
      <w:r>
        <w:rPr/>
        <w:t>INTRODUCTION</w:t>
      </w:r>
    </w:p>
    <w:p>
      <w:pPr>
        <w:pStyle w:val="BodyText"/>
        <w:spacing w:before="6"/>
        <w:rPr>
          <w:b/>
          <w:sz w:val="27"/>
        </w:rPr>
      </w:pPr>
    </w:p>
    <w:p>
      <w:pPr>
        <w:pStyle w:val="BodyText"/>
        <w:spacing w:line="480" w:lineRule="auto"/>
        <w:ind w:left="120" w:right="111" w:firstLine="719"/>
        <w:jc w:val="both"/>
      </w:pPr>
      <w:r>
        <w:rPr/>
        <w:t>The government does not contest three of the four statutory factors for de- termining whether Mr. Litvak is entitled to continued release pending appeal. Spe- cifically, the government does not contest (1) that there is clear and convincing ev- idence that Mr. Litvak is not likely to flee or pose a danger; (2) that the appeal is not for the purpose of delay; or (3) that, if the appeal is decided in Mr. Litvak’s fa- vor, it is likely to result in reversal or a new trial on all counts. Nor does the gov- ernment dispute that, unless this motion is granted, Mr. Litvak will have served much of his sentence by the time the Court decides his appeal.</w:t>
      </w:r>
    </w:p>
    <w:p>
      <w:pPr>
        <w:pStyle w:val="BodyText"/>
        <w:spacing w:line="480" w:lineRule="auto" w:before="2"/>
        <w:ind w:left="119" w:right="112" w:firstLine="720"/>
        <w:jc w:val="both"/>
      </w:pPr>
      <w:r>
        <w:rPr/>
        <w:t>The only point the government contests is whether the appeal raises a sub- stantial question. On that point, the government’s response reads like a preview of its merits brief. But the only issue at this juncture is whether the appeal raises a substantial question—one that is “close” or “fairly debatable” or “has not been de- cided by controlling precedent.” </w:t>
      </w:r>
      <w:r>
        <w:rPr>
          <w:i/>
        </w:rPr>
        <w:t>United States </w:t>
      </w:r>
      <w:r>
        <w:rPr/>
        <w:t>v. </w:t>
      </w:r>
      <w:r>
        <w:rPr>
          <w:i/>
        </w:rPr>
        <w:t>Randell</w:t>
      </w:r>
      <w:r>
        <w:rPr/>
        <w:t>, 761 F.2d 122, 125 (2d Cir. 1985) (internal quotation marks and citations omitted). Nowhere does the government identify any precedent that squarely forecloses Mr. Litvak’s argu- ments, nor does it deny that this case raises legal questions of first impression. Be- cause there can be no serious doubt that each of the questions Mr. Litvak intends to raise is substantial, and because the other requirements for continued release pend- ing appeal are indisputably satisfied, Mr. Litvak’s motion should be granted.</w:t>
      </w:r>
    </w:p>
    <w:p>
      <w:pPr>
        <w:spacing w:after="0" w:line="480" w:lineRule="auto"/>
        <w:jc w:val="both"/>
        <w:sectPr>
          <w:footerReference w:type="default" r:id="rId6"/>
          <w:pgSz w:w="12240" w:h="15840"/>
          <w:pgMar w:footer="837" w:header="0" w:top="200" w:bottom="1020" w:left="1320" w:right="1320"/>
        </w:sectPr>
      </w:pPr>
    </w:p>
    <w:p>
      <w:pPr>
        <w:tabs>
          <w:tab w:pos="2520" w:val="left" w:leader="none"/>
          <w:tab w:pos="4559" w:val="left" w:leader="none"/>
          <w:tab w:pos="5783" w:val="left" w:leader="none"/>
          <w:tab w:pos="7382" w:val="left" w:leader="none"/>
          <w:tab w:pos="8715" w:val="left" w:leader="none"/>
        </w:tabs>
        <w:spacing w:before="75"/>
        <w:ind w:left="615" w:right="0" w:firstLine="0"/>
        <w:jc w:val="left"/>
        <w:rPr>
          <w:rFonts w:ascii="Arial"/>
          <w:sz w:val="24"/>
        </w:rPr>
      </w:pPr>
      <w:r>
        <w:rPr>
          <w:rFonts w:ascii="Arial"/>
          <w:color w:val="FF3232"/>
          <w:sz w:val="24"/>
        </w:rPr>
        <w:t>Case:</w:t>
      </w:r>
      <w:r>
        <w:rPr>
          <w:rFonts w:ascii="Arial"/>
          <w:color w:val="FF3232"/>
          <w:spacing w:val="-5"/>
          <w:sz w:val="24"/>
        </w:rPr>
        <w:t> </w:t>
      </w:r>
      <w:r>
        <w:rPr>
          <w:rFonts w:ascii="Arial"/>
          <w:color w:val="FF3232"/>
          <w:sz w:val="24"/>
        </w:rPr>
        <w:t>14-2902</w:t>
        <w:tab/>
        <w:t>Document:</w:t>
      </w:r>
      <w:r>
        <w:rPr>
          <w:rFonts w:ascii="Arial"/>
          <w:color w:val="FF3232"/>
          <w:spacing w:val="-4"/>
          <w:sz w:val="24"/>
        </w:rPr>
        <w:t> </w:t>
      </w:r>
      <w:r>
        <w:rPr>
          <w:rFonts w:ascii="Arial"/>
          <w:color w:val="FF3232"/>
          <w:sz w:val="24"/>
        </w:rPr>
        <w:t>37-1</w:t>
        <w:tab/>
        <w:t>Page:</w:t>
      </w:r>
      <w:r>
        <w:rPr>
          <w:rFonts w:ascii="Arial"/>
          <w:color w:val="FF3232"/>
          <w:spacing w:val="-3"/>
          <w:sz w:val="24"/>
        </w:rPr>
        <w:t> </w:t>
      </w:r>
      <w:r>
        <w:rPr>
          <w:rFonts w:ascii="Arial"/>
          <w:color w:val="FF3232"/>
          <w:sz w:val="24"/>
        </w:rPr>
        <w:t>4</w:t>
        <w:tab/>
        <w:t>09/22/2014</w:t>
        <w:tab/>
        <w:t>1325730</w:t>
        <w:tab/>
        <w:t>14</w:t>
      </w:r>
    </w:p>
    <w:p>
      <w:pPr>
        <w:pStyle w:val="BodyText"/>
        <w:rPr>
          <w:rFonts w:ascii="Arial"/>
          <w:sz w:val="20"/>
        </w:rPr>
      </w:pPr>
    </w:p>
    <w:p>
      <w:pPr>
        <w:pStyle w:val="BodyText"/>
        <w:rPr>
          <w:rFonts w:ascii="Arial"/>
          <w:sz w:val="20"/>
        </w:rPr>
      </w:pPr>
    </w:p>
    <w:p>
      <w:pPr>
        <w:pStyle w:val="BodyText"/>
        <w:spacing w:before="4"/>
        <w:rPr>
          <w:rFonts w:ascii="Arial"/>
          <w:sz w:val="29"/>
        </w:rPr>
      </w:pPr>
    </w:p>
    <w:p>
      <w:pPr>
        <w:pStyle w:val="Heading1"/>
        <w:ind w:left="3967"/>
      </w:pPr>
      <w:bookmarkStart w:name="_bookmark1" w:id="2"/>
      <w:bookmarkEnd w:id="2"/>
      <w:r>
        <w:rPr>
          <w:b w:val="0"/>
        </w:rPr>
      </w:r>
      <w:r>
        <w:rPr/>
        <w:t>ARGUMENT</w:t>
      </w:r>
    </w:p>
    <w:p>
      <w:pPr>
        <w:pStyle w:val="BodyText"/>
        <w:spacing w:before="6"/>
        <w:rPr>
          <w:b/>
          <w:sz w:val="27"/>
        </w:rPr>
      </w:pPr>
    </w:p>
    <w:p>
      <w:pPr>
        <w:pStyle w:val="BodyText"/>
        <w:spacing w:line="480" w:lineRule="auto"/>
        <w:ind w:left="120" w:right="111" w:firstLine="719"/>
        <w:jc w:val="both"/>
      </w:pPr>
      <w:r>
        <w:rPr/>
        <w:t>In its opposition to Mr. Litvak’s motion, the government offers its own spin on the facts—a spin that is unsupported by any citations to the actual record at tri- al. But the accuracy of the government’s rendition aside, the factual core of this case is simple and undisputed: Mr. Litvak made misrepresentations about his </w:t>
      </w:r>
      <w:r>
        <w:rPr>
          <w:spacing w:val="-3"/>
        </w:rPr>
        <w:t>em- </w:t>
      </w:r>
      <w:r>
        <w:rPr/>
        <w:t>ployer’s profit margin on certain transactions, either by misstating Jefferies’ acqui- sition or resale price for a security or by misrepresenting whether the security was in Jefferies’ inventory. </w:t>
      </w:r>
      <w:r>
        <w:rPr>
          <w:i/>
        </w:rPr>
        <w:t>See </w:t>
      </w:r>
      <w:r>
        <w:rPr/>
        <w:t>Mot. 2-3. In those two ways, Mr. Litvak misstated his reservation price for the transaction—a figure that he was under no obligation to disclose (and that the counterparties testified they accordingly took with a grain of salt).  </w:t>
      </w:r>
      <w:r>
        <w:rPr>
          <w:i/>
        </w:rPr>
        <w:t>See </w:t>
      </w:r>
      <w:r>
        <w:rPr/>
        <w:t>Mot. 5-6.  None of the misrepresentations had any bearing on the value of the securities transacted, </w:t>
      </w:r>
      <w:r>
        <w:rPr>
          <w:i/>
        </w:rPr>
        <w:t>see </w:t>
      </w:r>
      <w:r>
        <w:rPr/>
        <w:t>Mot. 4-5, and in none of the cases did Jefferies earn a higher profit than it was permitted to charge, </w:t>
      </w:r>
      <w:r>
        <w:rPr>
          <w:i/>
        </w:rPr>
        <w:t>see </w:t>
      </w:r>
      <w:r>
        <w:rPr/>
        <w:t>SA7</w:t>
      </w:r>
      <w:r>
        <w:rPr>
          <w:spacing w:val="-10"/>
        </w:rPr>
        <w:t> </w:t>
      </w:r>
      <w:r>
        <w:rPr/>
        <w:t>(Eveland).</w:t>
      </w:r>
    </w:p>
    <w:p>
      <w:pPr>
        <w:pStyle w:val="BodyText"/>
        <w:spacing w:line="480" w:lineRule="auto" w:before="1"/>
        <w:ind w:left="121" w:right="112" w:firstLine="720"/>
        <w:jc w:val="both"/>
      </w:pPr>
      <w:r>
        <w:rPr/>
        <w:t>Notably, the government fails to mention that, in each trade, the counterpar- ty knew the total price and agreed to transact at that price. </w:t>
      </w:r>
      <w:r>
        <w:rPr>
          <w:i/>
        </w:rPr>
        <w:t>See</w:t>
      </w:r>
      <w:r>
        <w:rPr/>
        <w:t>, </w:t>
      </w:r>
      <w:r>
        <w:rPr>
          <w:i/>
        </w:rPr>
        <w:t>e.g.</w:t>
      </w:r>
      <w:r>
        <w:rPr/>
        <w:t>, A106 (Norris) (testifying that he “knew how much [he was] paying” and he “knew what [he was] getting”). This was therefore not a case where a counterparty agreed to one price but the broker charged another, or where a counterparty bargained for a fixed commission on top of an unknown best-available price—as, say, the seller of a house may do with his real-estate agent. In each of the charged trades, the coun-</w:t>
      </w:r>
    </w:p>
    <w:p>
      <w:pPr>
        <w:spacing w:after="0" w:line="480" w:lineRule="auto"/>
        <w:jc w:val="both"/>
        <w:sectPr>
          <w:footerReference w:type="default" r:id="rId7"/>
          <w:pgSz w:w="12240" w:h="15840"/>
          <w:pgMar w:footer="837" w:header="0" w:top="200" w:bottom="1020" w:left="1320" w:right="1320"/>
          <w:pgNumType w:start="2"/>
        </w:sectPr>
      </w:pPr>
    </w:p>
    <w:p>
      <w:pPr>
        <w:tabs>
          <w:tab w:pos="2520" w:val="left" w:leader="none"/>
          <w:tab w:pos="4559" w:val="left" w:leader="none"/>
          <w:tab w:pos="5783" w:val="left" w:leader="none"/>
          <w:tab w:pos="7382" w:val="left" w:leader="none"/>
          <w:tab w:pos="8715" w:val="left" w:leader="none"/>
        </w:tabs>
        <w:spacing w:before="75"/>
        <w:ind w:left="615" w:right="0" w:firstLine="0"/>
        <w:jc w:val="left"/>
        <w:rPr>
          <w:rFonts w:ascii="Arial"/>
          <w:sz w:val="24"/>
        </w:rPr>
      </w:pPr>
      <w:r>
        <w:rPr>
          <w:rFonts w:ascii="Arial"/>
          <w:color w:val="FF3232"/>
          <w:sz w:val="24"/>
        </w:rPr>
        <w:t>Case:</w:t>
      </w:r>
      <w:r>
        <w:rPr>
          <w:rFonts w:ascii="Arial"/>
          <w:color w:val="FF3232"/>
          <w:spacing w:val="-5"/>
          <w:sz w:val="24"/>
        </w:rPr>
        <w:t> </w:t>
      </w:r>
      <w:r>
        <w:rPr>
          <w:rFonts w:ascii="Arial"/>
          <w:color w:val="FF3232"/>
          <w:sz w:val="24"/>
        </w:rPr>
        <w:t>14-2902</w:t>
        <w:tab/>
        <w:t>Document:</w:t>
      </w:r>
      <w:r>
        <w:rPr>
          <w:rFonts w:ascii="Arial"/>
          <w:color w:val="FF3232"/>
          <w:spacing w:val="-4"/>
          <w:sz w:val="24"/>
        </w:rPr>
        <w:t> </w:t>
      </w:r>
      <w:r>
        <w:rPr>
          <w:rFonts w:ascii="Arial"/>
          <w:color w:val="FF3232"/>
          <w:sz w:val="24"/>
        </w:rPr>
        <w:t>37-1</w:t>
        <w:tab/>
        <w:t>Page:</w:t>
      </w:r>
      <w:r>
        <w:rPr>
          <w:rFonts w:ascii="Arial"/>
          <w:color w:val="FF3232"/>
          <w:spacing w:val="-3"/>
          <w:sz w:val="24"/>
        </w:rPr>
        <w:t> </w:t>
      </w:r>
      <w:r>
        <w:rPr>
          <w:rFonts w:ascii="Arial"/>
          <w:color w:val="FF3232"/>
          <w:sz w:val="24"/>
        </w:rPr>
        <w:t>5</w:t>
        <w:tab/>
        <w:t>09/22/2014</w:t>
        <w:tab/>
        <w:t>1325730</w:t>
        <w:tab/>
        <w:t>14</w:t>
      </w:r>
    </w:p>
    <w:p>
      <w:pPr>
        <w:pStyle w:val="BodyText"/>
        <w:rPr>
          <w:rFonts w:ascii="Arial"/>
          <w:sz w:val="20"/>
        </w:rPr>
      </w:pPr>
    </w:p>
    <w:p>
      <w:pPr>
        <w:pStyle w:val="BodyText"/>
        <w:rPr>
          <w:rFonts w:ascii="Arial"/>
          <w:sz w:val="20"/>
        </w:rPr>
      </w:pPr>
    </w:p>
    <w:p>
      <w:pPr>
        <w:pStyle w:val="BodyText"/>
        <w:spacing w:before="11"/>
        <w:rPr>
          <w:rFonts w:ascii="Arial"/>
        </w:rPr>
      </w:pPr>
    </w:p>
    <w:p>
      <w:pPr>
        <w:pStyle w:val="BodyText"/>
        <w:spacing w:line="480" w:lineRule="auto" w:before="89"/>
        <w:ind w:left="119" w:right="115"/>
        <w:jc w:val="both"/>
      </w:pPr>
      <w:r>
        <w:rPr/>
        <w:t>terparty knew the total price and could compare it against others available in the market. Each counterparty transacted because a transaction at the total price was viewed as profitable when compared to all the other options available in the mar- ket. </w:t>
      </w:r>
      <w:r>
        <w:rPr>
          <w:i/>
        </w:rPr>
        <w:t>See</w:t>
      </w:r>
      <w:r>
        <w:rPr/>
        <w:t>, </w:t>
      </w:r>
      <w:r>
        <w:rPr>
          <w:i/>
        </w:rPr>
        <w:t>e.g.</w:t>
      </w:r>
      <w:r>
        <w:rPr/>
        <w:t>, A97 (Vlajinac) (testifying that he “achieved best execution” at the total price); SA5 (Lemin) (explaining that he “mak[es] investment decisions[] based upon the full price to the fund when agreeing to buy a bond,” and that “[w]hat’s important” is the total price). It is against that factual backdrop that the questions Mr. Litvak intends to raise on appeal must be understood. And by any standard, those questions are substantial</w:t>
      </w:r>
      <w:r>
        <w:rPr>
          <w:spacing w:val="-10"/>
        </w:rPr>
        <w:t> </w:t>
      </w:r>
      <w:r>
        <w:rPr/>
        <w:t>ones.</w:t>
      </w:r>
    </w:p>
    <w:p>
      <w:pPr>
        <w:pStyle w:val="Heading1"/>
        <w:numPr>
          <w:ilvl w:val="0"/>
          <w:numId w:val="2"/>
        </w:numPr>
        <w:tabs>
          <w:tab w:pos="1558" w:val="left" w:leader="none"/>
          <w:tab w:pos="1560" w:val="left" w:leader="none"/>
        </w:tabs>
        <w:spacing w:line="240" w:lineRule="auto" w:before="6" w:after="0"/>
        <w:ind w:left="1559" w:right="0" w:hanging="720"/>
        <w:jc w:val="left"/>
      </w:pPr>
      <w:bookmarkStart w:name="A. Materiality" w:id="3"/>
      <w:bookmarkEnd w:id="3"/>
      <w:r>
        <w:rPr>
          <w:b w:val="0"/>
        </w:rPr>
      </w:r>
      <w:bookmarkStart w:name="_bookmark2" w:id="4"/>
      <w:bookmarkEnd w:id="4"/>
      <w:r>
        <w:rPr>
          <w:b w:val="0"/>
        </w:rPr>
      </w:r>
      <w:bookmarkStart w:name="_bookmark2" w:id="5"/>
      <w:bookmarkEnd w:id="5"/>
      <w:r>
        <w:rPr/>
        <w:t>M</w:t>
      </w:r>
      <w:r>
        <w:rPr/>
        <w:t>ateriality</w:t>
      </w:r>
    </w:p>
    <w:p>
      <w:pPr>
        <w:pStyle w:val="BodyText"/>
        <w:spacing w:line="480" w:lineRule="auto" w:before="234"/>
        <w:ind w:left="118" w:right="115" w:firstLine="720"/>
        <w:jc w:val="both"/>
      </w:pPr>
      <w:r>
        <w:rPr/>
        <w:t>This Court has already held that misstatements relevant to a counterparty’s ability to negotiate but unrelated to the value of a security are immaterial as a mat- ter of law. </w:t>
      </w:r>
      <w:r>
        <w:rPr>
          <w:i/>
        </w:rPr>
        <w:t>See Feinman </w:t>
      </w:r>
      <w:r>
        <w:rPr/>
        <w:t>v. </w:t>
      </w:r>
      <w:r>
        <w:rPr>
          <w:i/>
        </w:rPr>
        <w:t>Dean Witter Reynolds, Inc.</w:t>
      </w:r>
      <w:r>
        <w:rPr/>
        <w:t>, 84 F.3d 539, 541 (2d Cir. 1996). Unable to distinguish </w:t>
      </w:r>
      <w:r>
        <w:rPr>
          <w:i/>
        </w:rPr>
        <w:t>Feinman</w:t>
      </w:r>
      <w:r>
        <w:rPr/>
        <w:t>, the government resorts to mischaracteriz- ing the facts both of this case and of that one. As to this case: the government ar- gues that the charged misrepresentations were relevant to more than the parties’ negotiations.  Not so.  In fact, the government does not, and cannot, dispute that  the misrepresentations were irrelevant to the value of the securities. In each trade, the price proposed by Mr. Litvak was acceptable to the counterparty. As the coun- terparties testified, all that was left was to determine the final price in the range</w:t>
      </w:r>
      <w:r>
        <w:rPr>
          <w:spacing w:val="51"/>
        </w:rPr>
        <w:t> </w:t>
      </w:r>
      <w:r>
        <w:rPr/>
        <w:t>ac-</w:t>
      </w:r>
    </w:p>
    <w:p>
      <w:pPr>
        <w:spacing w:after="0" w:line="480" w:lineRule="auto"/>
        <w:jc w:val="both"/>
        <w:sectPr>
          <w:pgSz w:w="12240" w:h="15840"/>
          <w:pgMar w:header="0" w:footer="837" w:top="200" w:bottom="1020" w:left="1320" w:right="1320"/>
        </w:sectPr>
      </w:pPr>
    </w:p>
    <w:p>
      <w:pPr>
        <w:tabs>
          <w:tab w:pos="2520" w:val="left" w:leader="none"/>
          <w:tab w:pos="4559" w:val="left" w:leader="none"/>
          <w:tab w:pos="5783" w:val="left" w:leader="none"/>
          <w:tab w:pos="7382" w:val="left" w:leader="none"/>
          <w:tab w:pos="8715" w:val="left" w:leader="none"/>
        </w:tabs>
        <w:spacing w:before="75"/>
        <w:ind w:left="615" w:right="0" w:firstLine="0"/>
        <w:jc w:val="left"/>
        <w:rPr>
          <w:rFonts w:ascii="Arial"/>
          <w:sz w:val="24"/>
        </w:rPr>
      </w:pPr>
      <w:r>
        <w:rPr>
          <w:rFonts w:ascii="Arial"/>
          <w:color w:val="FF3232"/>
          <w:sz w:val="24"/>
        </w:rPr>
        <w:t>Case:</w:t>
      </w:r>
      <w:r>
        <w:rPr>
          <w:rFonts w:ascii="Arial"/>
          <w:color w:val="FF3232"/>
          <w:spacing w:val="-5"/>
          <w:sz w:val="24"/>
        </w:rPr>
        <w:t> </w:t>
      </w:r>
      <w:r>
        <w:rPr>
          <w:rFonts w:ascii="Arial"/>
          <w:color w:val="FF3232"/>
          <w:sz w:val="24"/>
        </w:rPr>
        <w:t>14-2902</w:t>
        <w:tab/>
        <w:t>Document:</w:t>
      </w:r>
      <w:r>
        <w:rPr>
          <w:rFonts w:ascii="Arial"/>
          <w:color w:val="FF3232"/>
          <w:spacing w:val="-4"/>
          <w:sz w:val="24"/>
        </w:rPr>
        <w:t> </w:t>
      </w:r>
      <w:r>
        <w:rPr>
          <w:rFonts w:ascii="Arial"/>
          <w:color w:val="FF3232"/>
          <w:sz w:val="24"/>
        </w:rPr>
        <w:t>37-1</w:t>
        <w:tab/>
        <w:t>Page:</w:t>
      </w:r>
      <w:r>
        <w:rPr>
          <w:rFonts w:ascii="Arial"/>
          <w:color w:val="FF3232"/>
          <w:spacing w:val="-3"/>
          <w:sz w:val="24"/>
        </w:rPr>
        <w:t> </w:t>
      </w:r>
      <w:r>
        <w:rPr>
          <w:rFonts w:ascii="Arial"/>
          <w:color w:val="FF3232"/>
          <w:sz w:val="24"/>
        </w:rPr>
        <w:t>6</w:t>
        <w:tab/>
        <w:t>09/22/2014</w:t>
        <w:tab/>
        <w:t>1325730</w:t>
        <w:tab/>
        <w:t>14</w:t>
      </w:r>
    </w:p>
    <w:p>
      <w:pPr>
        <w:pStyle w:val="BodyText"/>
        <w:rPr>
          <w:rFonts w:ascii="Arial"/>
          <w:sz w:val="20"/>
        </w:rPr>
      </w:pPr>
    </w:p>
    <w:p>
      <w:pPr>
        <w:pStyle w:val="BodyText"/>
        <w:rPr>
          <w:rFonts w:ascii="Arial"/>
          <w:sz w:val="20"/>
        </w:rPr>
      </w:pPr>
    </w:p>
    <w:p>
      <w:pPr>
        <w:pStyle w:val="BodyText"/>
        <w:spacing w:before="11"/>
        <w:rPr>
          <w:rFonts w:ascii="Arial"/>
        </w:rPr>
      </w:pPr>
    </w:p>
    <w:p>
      <w:pPr>
        <w:pStyle w:val="BodyText"/>
        <w:spacing w:line="480" w:lineRule="auto" w:before="89"/>
        <w:ind w:left="119" w:right="116"/>
        <w:jc w:val="both"/>
      </w:pPr>
      <w:r>
        <w:rPr/>
        <w:t>ceptable to both parties—</w:t>
      </w:r>
      <w:r>
        <w:rPr>
          <w:i/>
        </w:rPr>
        <w:t>i.e.</w:t>
      </w:r>
      <w:r>
        <w:rPr/>
        <w:t>, the negotiation. </w:t>
      </w:r>
      <w:r>
        <w:rPr>
          <w:i/>
        </w:rPr>
        <w:t>See</w:t>
      </w:r>
      <w:r>
        <w:rPr/>
        <w:t>, </w:t>
      </w:r>
      <w:r>
        <w:rPr>
          <w:i/>
        </w:rPr>
        <w:t>e.g.</w:t>
      </w:r>
      <w:r>
        <w:rPr/>
        <w:t>, A94-95 (Vlajinac) (testify- ing that misrepresentations “did not affect my thinking about the bond itself” be- cause “[the information] sets the parameters of the negotiations, but did not influ- ence the valuation of the securities”); SA2-3 (Canter) (stating that he “made a deci- sion that [he] should transact with Jefferies because of the price levels” and then moved “on to negotiating, hopefully, a still better price with Jefferies”).</w:t>
      </w:r>
    </w:p>
    <w:p>
      <w:pPr>
        <w:pStyle w:val="BodyText"/>
        <w:tabs>
          <w:tab w:pos="2870" w:val="left" w:leader="none"/>
        </w:tabs>
        <w:spacing w:line="480" w:lineRule="auto"/>
        <w:ind w:left="119" w:right="115" w:firstLine="719"/>
      </w:pPr>
      <w:r>
        <w:rPr/>
        <w:t>As</w:t>
      </w:r>
      <w:r>
        <w:rPr>
          <w:spacing w:val="37"/>
        </w:rPr>
        <w:t> </w:t>
      </w:r>
      <w:r>
        <w:rPr/>
        <w:t>to</w:t>
      </w:r>
      <w:r>
        <w:rPr>
          <w:spacing w:val="34"/>
        </w:rPr>
        <w:t> </w:t>
      </w:r>
      <w:r>
        <w:rPr>
          <w:i/>
        </w:rPr>
        <w:t>Feinman</w:t>
      </w:r>
      <w:r>
        <w:rPr/>
        <w:t>:</w:t>
        <w:tab/>
        <w:t>the government asserts that the plaintiffs there “admitted that</w:t>
      </w:r>
      <w:r>
        <w:rPr>
          <w:spacing w:val="23"/>
        </w:rPr>
        <w:t> </w:t>
      </w:r>
      <w:r>
        <w:rPr/>
        <w:t>the</w:t>
      </w:r>
      <w:r>
        <w:rPr>
          <w:spacing w:val="22"/>
        </w:rPr>
        <w:t> </w:t>
      </w:r>
      <w:r>
        <w:rPr/>
        <w:t>alleged</w:t>
      </w:r>
      <w:r>
        <w:rPr>
          <w:spacing w:val="24"/>
        </w:rPr>
        <w:t> </w:t>
      </w:r>
      <w:r>
        <w:rPr/>
        <w:t>misrepresentations</w:t>
      </w:r>
      <w:r>
        <w:rPr>
          <w:spacing w:val="23"/>
        </w:rPr>
        <w:t> </w:t>
      </w:r>
      <w:r>
        <w:rPr/>
        <w:t>were</w:t>
      </w:r>
      <w:r>
        <w:rPr>
          <w:spacing w:val="23"/>
        </w:rPr>
        <w:t> </w:t>
      </w:r>
      <w:r>
        <w:rPr/>
        <w:t>irrelevant</w:t>
      </w:r>
      <w:r>
        <w:rPr>
          <w:spacing w:val="21"/>
        </w:rPr>
        <w:t> </w:t>
      </w:r>
      <w:r>
        <w:rPr/>
        <w:t>to</w:t>
      </w:r>
      <w:r>
        <w:rPr>
          <w:spacing w:val="24"/>
        </w:rPr>
        <w:t> </w:t>
      </w:r>
      <w:r>
        <w:rPr/>
        <w:t>the</w:t>
      </w:r>
      <w:r>
        <w:rPr>
          <w:spacing w:val="20"/>
        </w:rPr>
        <w:t> </w:t>
      </w:r>
      <w:r>
        <w:rPr/>
        <w:t>prices</w:t>
      </w:r>
      <w:r>
        <w:rPr>
          <w:spacing w:val="24"/>
        </w:rPr>
        <w:t> </w:t>
      </w:r>
      <w:r>
        <w:rPr/>
        <w:t>they</w:t>
      </w:r>
      <w:r>
        <w:rPr>
          <w:spacing w:val="18"/>
        </w:rPr>
        <w:t> </w:t>
      </w:r>
      <w:r>
        <w:rPr/>
        <w:t>paid.”</w:t>
      </w:r>
      <w:r>
        <w:rPr>
          <w:spacing w:val="50"/>
        </w:rPr>
        <w:t> </w:t>
      </w:r>
      <w:r>
        <w:rPr/>
        <w:t>Opp.</w:t>
      </w:r>
    </w:p>
    <w:p>
      <w:pPr>
        <w:pStyle w:val="BodyText"/>
        <w:spacing w:line="480" w:lineRule="auto"/>
        <w:ind w:left="119" w:right="113"/>
        <w:jc w:val="both"/>
      </w:pPr>
      <w:r>
        <w:rPr/>
        <w:t>11. That is incorrect. The plaintiffs in </w:t>
      </w:r>
      <w:r>
        <w:rPr>
          <w:i/>
        </w:rPr>
        <w:t>Feinman </w:t>
      </w:r>
      <w:r>
        <w:rPr/>
        <w:t>argued that the misrepresentations mattered to the price they paid because they hampered plaintiffs’ “efforts to nego- tiate [fees].” </w:t>
      </w:r>
      <w:r>
        <w:rPr>
          <w:i/>
        </w:rPr>
        <w:t>See </w:t>
      </w:r>
      <w:r>
        <w:rPr/>
        <w:t>Br. of Appellants at 3, </w:t>
      </w:r>
      <w:r>
        <w:rPr>
          <w:i/>
        </w:rPr>
        <w:t>Feinman</w:t>
      </w:r>
      <w:r>
        <w:rPr/>
        <w:t>, </w:t>
      </w:r>
      <w:r>
        <w:rPr>
          <w:i/>
        </w:rPr>
        <w:t>supra </w:t>
      </w:r>
      <w:r>
        <w:rPr/>
        <w:t>(No. 95-9081), </w:t>
      </w:r>
      <w:r>
        <w:rPr>
          <w:i/>
        </w:rPr>
        <w:t>available </w:t>
      </w:r>
      <w:r>
        <w:rPr>
          <w:i/>
        </w:rPr>
        <w:t>at </w:t>
      </w:r>
      <w:r>
        <w:rPr/>
        <w:t>1995 WL 17207220; </w:t>
      </w:r>
      <w:r>
        <w:rPr>
          <w:i/>
        </w:rPr>
        <w:t>see also id. </w:t>
      </w:r>
      <w:r>
        <w:rPr/>
        <w:t>at 2, 11, 26-27. And the Court decided </w:t>
      </w:r>
      <w:r>
        <w:rPr>
          <w:i/>
        </w:rPr>
        <w:t>Feinman </w:t>
      </w:r>
      <w:r>
        <w:rPr/>
        <w:t>on that premise. </w:t>
      </w:r>
      <w:r>
        <w:rPr>
          <w:i/>
        </w:rPr>
        <w:t>See </w:t>
      </w:r>
      <w:r>
        <w:rPr/>
        <w:t>84 F.3d at 540 (explaining the plaintiffs’ allegation that the misrepresentation “prevent[ed] customers from negotiating the fees”). In </w:t>
      </w:r>
      <w:r>
        <w:rPr>
          <w:i/>
        </w:rPr>
        <w:t>Feinman</w:t>
      </w:r>
      <w:r>
        <w:rPr/>
        <w:t>, just as in this case, the counterparties knew and agreed to the final price. The misrepresentation in both cases went only to the makeup of that price: name- ly, what portion of it reflected actual “cost to the firm[]” and what portion repre- sented a profit. </w:t>
      </w:r>
      <w:r>
        <w:rPr>
          <w:i/>
        </w:rPr>
        <w:t>Id. </w:t>
      </w:r>
      <w:r>
        <w:rPr/>
        <w:t>Knowing that a certain component represented pure profit  might have spurred further negotiation, but that was insufficient to establish mate- riality in </w:t>
      </w:r>
      <w:r>
        <w:rPr>
          <w:i/>
        </w:rPr>
        <w:t>Feinman</w:t>
      </w:r>
      <w:r>
        <w:rPr/>
        <w:t>, and it is similarly insufficient</w:t>
      </w:r>
      <w:r>
        <w:rPr>
          <w:spacing w:val="-9"/>
        </w:rPr>
        <w:t> </w:t>
      </w:r>
      <w:r>
        <w:rPr/>
        <w:t>here.</w:t>
      </w:r>
    </w:p>
    <w:p>
      <w:pPr>
        <w:spacing w:after="0" w:line="480" w:lineRule="auto"/>
        <w:jc w:val="both"/>
        <w:sectPr>
          <w:pgSz w:w="12240" w:h="15840"/>
          <w:pgMar w:header="0" w:footer="837" w:top="200" w:bottom="1020" w:left="1320" w:right="1320"/>
        </w:sectPr>
      </w:pPr>
    </w:p>
    <w:p>
      <w:pPr>
        <w:tabs>
          <w:tab w:pos="2520" w:val="left" w:leader="none"/>
          <w:tab w:pos="4559" w:val="left" w:leader="none"/>
          <w:tab w:pos="5783" w:val="left" w:leader="none"/>
          <w:tab w:pos="7382" w:val="left" w:leader="none"/>
          <w:tab w:pos="8715" w:val="left" w:leader="none"/>
        </w:tabs>
        <w:spacing w:before="75"/>
        <w:ind w:left="615" w:right="0" w:firstLine="0"/>
        <w:jc w:val="left"/>
        <w:rPr>
          <w:rFonts w:ascii="Arial"/>
          <w:sz w:val="24"/>
        </w:rPr>
      </w:pPr>
      <w:r>
        <w:rPr>
          <w:rFonts w:ascii="Arial"/>
          <w:color w:val="FF3232"/>
          <w:sz w:val="24"/>
        </w:rPr>
        <w:t>Case:</w:t>
      </w:r>
      <w:r>
        <w:rPr>
          <w:rFonts w:ascii="Arial"/>
          <w:color w:val="FF3232"/>
          <w:spacing w:val="-5"/>
          <w:sz w:val="24"/>
        </w:rPr>
        <w:t> </w:t>
      </w:r>
      <w:r>
        <w:rPr>
          <w:rFonts w:ascii="Arial"/>
          <w:color w:val="FF3232"/>
          <w:sz w:val="24"/>
        </w:rPr>
        <w:t>14-2902</w:t>
        <w:tab/>
        <w:t>Document:</w:t>
      </w:r>
      <w:r>
        <w:rPr>
          <w:rFonts w:ascii="Arial"/>
          <w:color w:val="FF3232"/>
          <w:spacing w:val="-4"/>
          <w:sz w:val="24"/>
        </w:rPr>
        <w:t> </w:t>
      </w:r>
      <w:r>
        <w:rPr>
          <w:rFonts w:ascii="Arial"/>
          <w:color w:val="FF3232"/>
          <w:sz w:val="24"/>
        </w:rPr>
        <w:t>37-1</w:t>
        <w:tab/>
        <w:t>Page:</w:t>
      </w:r>
      <w:r>
        <w:rPr>
          <w:rFonts w:ascii="Arial"/>
          <w:color w:val="FF3232"/>
          <w:spacing w:val="-3"/>
          <w:sz w:val="24"/>
        </w:rPr>
        <w:t> </w:t>
      </w:r>
      <w:r>
        <w:rPr>
          <w:rFonts w:ascii="Arial"/>
          <w:color w:val="FF3232"/>
          <w:sz w:val="24"/>
        </w:rPr>
        <w:t>7</w:t>
        <w:tab/>
        <w:t>09/22/2014</w:t>
        <w:tab/>
        <w:t>1325730</w:t>
        <w:tab/>
        <w:t>14</w:t>
      </w:r>
    </w:p>
    <w:p>
      <w:pPr>
        <w:pStyle w:val="BodyText"/>
        <w:rPr>
          <w:rFonts w:ascii="Arial"/>
          <w:sz w:val="20"/>
        </w:rPr>
      </w:pPr>
    </w:p>
    <w:p>
      <w:pPr>
        <w:pStyle w:val="BodyText"/>
        <w:rPr>
          <w:rFonts w:ascii="Arial"/>
          <w:sz w:val="20"/>
        </w:rPr>
      </w:pPr>
    </w:p>
    <w:p>
      <w:pPr>
        <w:pStyle w:val="BodyText"/>
        <w:spacing w:before="11"/>
        <w:rPr>
          <w:rFonts w:ascii="Arial"/>
        </w:rPr>
      </w:pPr>
    </w:p>
    <w:p>
      <w:pPr>
        <w:pStyle w:val="BodyText"/>
        <w:spacing w:line="480" w:lineRule="auto" w:before="89"/>
        <w:ind w:left="119" w:right="113" w:firstLine="719"/>
        <w:jc w:val="both"/>
      </w:pPr>
      <w:r>
        <w:rPr/>
        <w:t>As to the other cases the government cites, </w:t>
      </w:r>
      <w:r>
        <w:rPr>
          <w:i/>
        </w:rPr>
        <w:t>see </w:t>
      </w:r>
      <w:r>
        <w:rPr/>
        <w:t>Opp. 11-12, those cases are readily distinguishable because the misrepresentation at issue in each of those cas- es actually affected the value of the security. </w:t>
      </w:r>
      <w:r>
        <w:rPr>
          <w:i/>
        </w:rPr>
        <w:t>See</w:t>
      </w:r>
      <w:r>
        <w:rPr/>
        <w:t>, </w:t>
      </w:r>
      <w:r>
        <w:rPr>
          <w:i/>
        </w:rPr>
        <w:t>e.g.</w:t>
      </w:r>
      <w:r>
        <w:rPr/>
        <w:t>, </w:t>
      </w:r>
      <w:r>
        <w:rPr>
          <w:i/>
        </w:rPr>
        <w:t>SEC </w:t>
      </w:r>
      <w:r>
        <w:rPr/>
        <w:t>v. </w:t>
      </w:r>
      <w:r>
        <w:rPr>
          <w:i/>
        </w:rPr>
        <w:t>DiBella</w:t>
      </w:r>
      <w:r>
        <w:rPr/>
        <w:t>, 587 F.3d 553, 562, 565-566 (2d Cir. 2009) (holding material a fee arrangement that gave a pension fund treasurer a personal stake in making a certain investment, because the investment decision could have been made for reasons other than the fund’s best interest); </w:t>
      </w:r>
      <w:r>
        <w:rPr>
          <w:i/>
        </w:rPr>
        <w:t>United States </w:t>
      </w:r>
      <w:r>
        <w:rPr/>
        <w:t>v. </w:t>
      </w:r>
      <w:r>
        <w:rPr>
          <w:i/>
        </w:rPr>
        <w:t>Leonard</w:t>
      </w:r>
      <w:r>
        <w:rPr/>
        <w:t>, 529 F.3d 83, 86 (2d Cir. 2008) (describing a scheme in which the offering memoranda for a security—an interest in a compa- ny—substantially understated the company’s liability for sales commissions). Of course there are circumstances in which fee structures or commissions could affect the value of a security: for example, the profits that Jefferies makes would be rele- vant to an investor considering a purchase of </w:t>
      </w:r>
      <w:r>
        <w:rPr>
          <w:i/>
        </w:rPr>
        <w:t>Jefferies’ </w:t>
      </w:r>
      <w:r>
        <w:rPr/>
        <w:t>stock. Critically, however, the government is unable to identify any case—from this Court or from any oth- er—in which a misstatement irrelevant to the value of the security was deemed ma- terial.</w:t>
      </w:r>
    </w:p>
    <w:p>
      <w:pPr>
        <w:pStyle w:val="BodyText"/>
        <w:spacing w:line="480" w:lineRule="auto" w:before="1"/>
        <w:ind w:left="119" w:right="115" w:firstLine="719"/>
        <w:jc w:val="both"/>
      </w:pPr>
      <w:r>
        <w:rPr/>
        <w:t>Furthermore, the government has no answer to the argument that the charged misrepresentations could not constitute fraud at common law. As the Supreme Court has explained, “where Congress uses terms that have accumulated settled meaning under the common law, a court must infer, unless the statute otherwise dictates, that Congress means to incorporate the established meaning of</w:t>
      </w:r>
      <w:r>
        <w:rPr>
          <w:spacing w:val="51"/>
        </w:rPr>
        <w:t> </w:t>
      </w:r>
      <w:r>
        <w:rPr/>
        <w:t>these</w:t>
      </w:r>
    </w:p>
    <w:p>
      <w:pPr>
        <w:spacing w:after="0" w:line="480" w:lineRule="auto"/>
        <w:jc w:val="both"/>
        <w:sectPr>
          <w:pgSz w:w="12240" w:h="15840"/>
          <w:pgMar w:header="0" w:footer="837" w:top="200" w:bottom="1020" w:left="1320" w:right="1320"/>
        </w:sectPr>
      </w:pPr>
    </w:p>
    <w:p>
      <w:pPr>
        <w:tabs>
          <w:tab w:pos="2520" w:val="left" w:leader="none"/>
          <w:tab w:pos="4559" w:val="left" w:leader="none"/>
          <w:tab w:pos="5783" w:val="left" w:leader="none"/>
          <w:tab w:pos="7382" w:val="left" w:leader="none"/>
          <w:tab w:pos="8715" w:val="left" w:leader="none"/>
        </w:tabs>
        <w:spacing w:before="75"/>
        <w:ind w:left="615" w:right="0" w:firstLine="0"/>
        <w:jc w:val="left"/>
        <w:rPr>
          <w:rFonts w:ascii="Arial"/>
          <w:sz w:val="24"/>
        </w:rPr>
      </w:pPr>
      <w:r>
        <w:rPr>
          <w:rFonts w:ascii="Arial"/>
          <w:color w:val="FF3232"/>
          <w:sz w:val="24"/>
        </w:rPr>
        <w:t>Case:</w:t>
      </w:r>
      <w:r>
        <w:rPr>
          <w:rFonts w:ascii="Arial"/>
          <w:color w:val="FF3232"/>
          <w:spacing w:val="-5"/>
          <w:sz w:val="24"/>
        </w:rPr>
        <w:t> </w:t>
      </w:r>
      <w:r>
        <w:rPr>
          <w:rFonts w:ascii="Arial"/>
          <w:color w:val="FF3232"/>
          <w:sz w:val="24"/>
        </w:rPr>
        <w:t>14-2902</w:t>
        <w:tab/>
        <w:t>Document:</w:t>
      </w:r>
      <w:r>
        <w:rPr>
          <w:rFonts w:ascii="Arial"/>
          <w:color w:val="FF3232"/>
          <w:spacing w:val="-4"/>
          <w:sz w:val="24"/>
        </w:rPr>
        <w:t> </w:t>
      </w:r>
      <w:r>
        <w:rPr>
          <w:rFonts w:ascii="Arial"/>
          <w:color w:val="FF3232"/>
          <w:sz w:val="24"/>
        </w:rPr>
        <w:t>37-1</w:t>
        <w:tab/>
        <w:t>Page:</w:t>
      </w:r>
      <w:r>
        <w:rPr>
          <w:rFonts w:ascii="Arial"/>
          <w:color w:val="FF3232"/>
          <w:spacing w:val="-3"/>
          <w:sz w:val="24"/>
        </w:rPr>
        <w:t> </w:t>
      </w:r>
      <w:r>
        <w:rPr>
          <w:rFonts w:ascii="Arial"/>
          <w:color w:val="FF3232"/>
          <w:sz w:val="24"/>
        </w:rPr>
        <w:t>8</w:t>
        <w:tab/>
        <w:t>09/22/2014</w:t>
        <w:tab/>
        <w:t>1325730</w:t>
        <w:tab/>
        <w:t>14</w:t>
      </w:r>
    </w:p>
    <w:p>
      <w:pPr>
        <w:pStyle w:val="BodyText"/>
        <w:rPr>
          <w:rFonts w:ascii="Arial"/>
          <w:sz w:val="20"/>
        </w:rPr>
      </w:pPr>
    </w:p>
    <w:p>
      <w:pPr>
        <w:pStyle w:val="BodyText"/>
        <w:rPr>
          <w:rFonts w:ascii="Arial"/>
          <w:sz w:val="20"/>
        </w:rPr>
      </w:pPr>
    </w:p>
    <w:p>
      <w:pPr>
        <w:pStyle w:val="BodyText"/>
        <w:spacing w:before="11"/>
        <w:rPr>
          <w:rFonts w:ascii="Arial"/>
        </w:rPr>
      </w:pPr>
    </w:p>
    <w:p>
      <w:pPr>
        <w:pStyle w:val="BodyText"/>
        <w:spacing w:line="480" w:lineRule="auto" w:before="89"/>
        <w:ind w:left="120" w:right="115" w:hanging="1"/>
        <w:jc w:val="both"/>
      </w:pPr>
      <w:r>
        <w:rPr/>
        <w:t>terms.” </w:t>
      </w:r>
      <w:r>
        <w:rPr>
          <w:i/>
        </w:rPr>
        <w:t>Field </w:t>
      </w:r>
      <w:r>
        <w:rPr/>
        <w:t>v. </w:t>
      </w:r>
      <w:r>
        <w:rPr>
          <w:i/>
        </w:rPr>
        <w:t>Mans</w:t>
      </w:r>
      <w:r>
        <w:rPr/>
        <w:t>, 516 U.S. 59, 69 (1995) (internal quotation marks and alter- ations omitted). As Mr. Litvak has explained, it is well established at common law that misrepresentations of this type are immaterial. </w:t>
      </w:r>
      <w:r>
        <w:rPr>
          <w:i/>
        </w:rPr>
        <w:t>See </w:t>
      </w:r>
      <w:r>
        <w:rPr/>
        <w:t>Mot. 10.</w:t>
      </w:r>
    </w:p>
    <w:p>
      <w:pPr>
        <w:pStyle w:val="BodyText"/>
        <w:spacing w:line="480" w:lineRule="auto"/>
        <w:ind w:left="120" w:right="114" w:firstLine="720"/>
        <w:jc w:val="both"/>
      </w:pPr>
      <w:r>
        <w:rPr/>
        <w:t>Given this Court’s decision in </w:t>
      </w:r>
      <w:r>
        <w:rPr>
          <w:i/>
        </w:rPr>
        <w:t>Feinman </w:t>
      </w:r>
      <w:r>
        <w:rPr/>
        <w:t>and the common-law principles sup- porting it—and the government’s failure to identify even a single case to the con- trary—the question whether Mr. Litvak’s misrepresentations were material is plainly a substantial one. The government errs in contending otherwise.</w:t>
      </w:r>
    </w:p>
    <w:p>
      <w:pPr>
        <w:pStyle w:val="Heading1"/>
        <w:numPr>
          <w:ilvl w:val="0"/>
          <w:numId w:val="2"/>
        </w:numPr>
        <w:tabs>
          <w:tab w:pos="1560" w:val="left" w:leader="none"/>
          <w:tab w:pos="1561" w:val="left" w:leader="none"/>
        </w:tabs>
        <w:spacing w:line="240" w:lineRule="auto" w:before="5" w:after="0"/>
        <w:ind w:left="1560" w:right="0" w:hanging="720"/>
        <w:jc w:val="left"/>
      </w:pPr>
      <w:bookmarkStart w:name="B. Evidentiary Rulings" w:id="6"/>
      <w:bookmarkEnd w:id="6"/>
      <w:r>
        <w:rPr>
          <w:b w:val="0"/>
        </w:rPr>
      </w:r>
      <w:bookmarkStart w:name="_bookmark3" w:id="7"/>
      <w:bookmarkEnd w:id="7"/>
      <w:r>
        <w:rPr>
          <w:b w:val="0"/>
        </w:rPr>
      </w:r>
      <w:bookmarkStart w:name="_bookmark3" w:id="8"/>
      <w:bookmarkEnd w:id="8"/>
      <w:r>
        <w:rPr/>
        <w:t>E</w:t>
      </w:r>
      <w:r>
        <w:rPr/>
        <w:t>videntiary</w:t>
      </w:r>
      <w:r>
        <w:rPr>
          <w:spacing w:val="-1"/>
        </w:rPr>
        <w:t> </w:t>
      </w:r>
      <w:r>
        <w:rPr/>
        <w:t>Rulings</w:t>
      </w:r>
    </w:p>
    <w:p>
      <w:pPr>
        <w:pStyle w:val="BodyText"/>
        <w:spacing w:line="480" w:lineRule="auto" w:before="234"/>
        <w:ind w:left="120" w:right="115" w:firstLine="720"/>
        <w:jc w:val="both"/>
      </w:pPr>
      <w:r>
        <w:rPr/>
        <w:t>The government does not assert that the district court’s evidentiary rulings excluding Mr. Litvak’s evidence were harmless, nor does it cite any cases in which exclusions of this type were upheld. Instead, in defense of the evidentiary rulings, the government merely asserts, without elaboration, that the district court was “in the best position to assess” the evidence. Opp. 14.</w:t>
      </w:r>
    </w:p>
    <w:p>
      <w:pPr>
        <w:pStyle w:val="BodyText"/>
        <w:spacing w:line="480" w:lineRule="auto" w:before="2"/>
        <w:ind w:left="120" w:right="114" w:firstLine="720"/>
        <w:jc w:val="both"/>
      </w:pPr>
      <w:r>
        <w:rPr/>
        <w:pict>
          <v:line style="position:absolute;mso-position-horizontal-relative:page;mso-position-vertical-relative:paragraph;z-index:-8224" from="72pt,157.678284pt" to="216pt,157.678284pt" stroked="true" strokeweight=".6pt" strokecolor="#000000">
            <v:stroke dashstyle="solid"/>
            <w10:wrap type="none"/>
          </v:line>
        </w:pict>
      </w:r>
      <w:r>
        <w:rPr/>
        <w:t>In some sense, of course, that is true. But it hardly follows that the district court’s evidentiary rulings do not present substantial questions.</w:t>
      </w:r>
      <w:hyperlink w:history="true" w:anchor="_bookmark4">
        <w:r>
          <w:rPr>
            <w:vertAlign w:val="superscript"/>
          </w:rPr>
          <w:t>1</w:t>
        </w:r>
      </w:hyperlink>
      <w:r>
        <w:rPr>
          <w:vertAlign w:val="baseline"/>
        </w:rPr>
        <w:t> Based on nothing more than its conclusory view that the evidence was irrelevant, the district court excluded evidence that goes to the heart of the materiality inquiry—including evi- dence of the fair market value of the securities at issue, the arm’s-length nature of</w:t>
      </w:r>
    </w:p>
    <w:p>
      <w:pPr>
        <w:pStyle w:val="BodyText"/>
        <w:spacing w:before="4"/>
        <w:ind w:left="120" w:right="113" w:firstLine="359"/>
        <w:jc w:val="both"/>
      </w:pPr>
      <w:bookmarkStart w:name="_bookmark4" w:id="9"/>
      <w:bookmarkEnd w:id="9"/>
      <w:r>
        <w:rPr/>
      </w:r>
      <w:r>
        <w:rPr>
          <w:position w:val="13"/>
          <w:sz w:val="18"/>
        </w:rPr>
        <w:t>1 </w:t>
      </w:r>
      <w:r>
        <w:rPr/>
        <w:t>It is beyond dispute that evidentiary rulings can create a substantial issue for the purposes of release pending appeal. Indeed, this Court recently granted a bail motion based </w:t>
      </w:r>
      <w:r>
        <w:rPr>
          <w:i/>
        </w:rPr>
        <w:t>entirely </w:t>
      </w:r>
      <w:r>
        <w:rPr/>
        <w:t>on alleged errors in evidentiary rulings. </w:t>
      </w:r>
      <w:r>
        <w:rPr>
          <w:i/>
        </w:rPr>
        <w:t>See United States </w:t>
      </w:r>
      <w:r>
        <w:rPr/>
        <w:t>v. </w:t>
      </w:r>
      <w:r>
        <w:rPr>
          <w:i/>
        </w:rPr>
        <w:t>Gupta</w:t>
      </w:r>
      <w:r>
        <w:rPr/>
        <w:t>, No. 12-4448, ECF No. 47 (2d Cir. Dec. 6, 2012).</w:t>
      </w:r>
    </w:p>
    <w:p>
      <w:pPr>
        <w:spacing w:after="0"/>
        <w:jc w:val="both"/>
        <w:sectPr>
          <w:pgSz w:w="12240" w:h="15840"/>
          <w:pgMar w:header="0" w:footer="837" w:top="200" w:bottom="1020" w:left="1320" w:right="1320"/>
        </w:sectPr>
      </w:pPr>
    </w:p>
    <w:p>
      <w:pPr>
        <w:tabs>
          <w:tab w:pos="2520" w:val="left" w:leader="none"/>
          <w:tab w:pos="4559" w:val="left" w:leader="none"/>
          <w:tab w:pos="5783" w:val="left" w:leader="none"/>
          <w:tab w:pos="7382" w:val="left" w:leader="none"/>
          <w:tab w:pos="8715" w:val="left" w:leader="none"/>
        </w:tabs>
        <w:spacing w:before="75"/>
        <w:ind w:left="615" w:right="0" w:firstLine="0"/>
        <w:jc w:val="left"/>
        <w:rPr>
          <w:rFonts w:ascii="Arial"/>
          <w:sz w:val="24"/>
        </w:rPr>
      </w:pPr>
      <w:r>
        <w:rPr>
          <w:rFonts w:ascii="Arial"/>
          <w:color w:val="FF3232"/>
          <w:sz w:val="24"/>
        </w:rPr>
        <w:t>Case:</w:t>
      </w:r>
      <w:r>
        <w:rPr>
          <w:rFonts w:ascii="Arial"/>
          <w:color w:val="FF3232"/>
          <w:spacing w:val="-5"/>
          <w:sz w:val="24"/>
        </w:rPr>
        <w:t> </w:t>
      </w:r>
      <w:r>
        <w:rPr>
          <w:rFonts w:ascii="Arial"/>
          <w:color w:val="FF3232"/>
          <w:sz w:val="24"/>
        </w:rPr>
        <w:t>14-2902</w:t>
        <w:tab/>
        <w:t>Document:</w:t>
      </w:r>
      <w:r>
        <w:rPr>
          <w:rFonts w:ascii="Arial"/>
          <w:color w:val="FF3232"/>
          <w:spacing w:val="-4"/>
          <w:sz w:val="24"/>
        </w:rPr>
        <w:t> </w:t>
      </w:r>
      <w:r>
        <w:rPr>
          <w:rFonts w:ascii="Arial"/>
          <w:color w:val="FF3232"/>
          <w:sz w:val="24"/>
        </w:rPr>
        <w:t>37-1</w:t>
        <w:tab/>
        <w:t>Page:</w:t>
      </w:r>
      <w:r>
        <w:rPr>
          <w:rFonts w:ascii="Arial"/>
          <w:color w:val="FF3232"/>
          <w:spacing w:val="-3"/>
          <w:sz w:val="24"/>
        </w:rPr>
        <w:t> </w:t>
      </w:r>
      <w:r>
        <w:rPr>
          <w:rFonts w:ascii="Arial"/>
          <w:color w:val="FF3232"/>
          <w:sz w:val="24"/>
        </w:rPr>
        <w:t>9</w:t>
        <w:tab/>
        <w:t>09/22/2014</w:t>
        <w:tab/>
        <w:t>1325730</w:t>
        <w:tab/>
        <w:t>14</w:t>
      </w:r>
    </w:p>
    <w:p>
      <w:pPr>
        <w:pStyle w:val="BodyText"/>
        <w:rPr>
          <w:rFonts w:ascii="Arial"/>
          <w:sz w:val="20"/>
        </w:rPr>
      </w:pPr>
    </w:p>
    <w:p>
      <w:pPr>
        <w:pStyle w:val="BodyText"/>
        <w:rPr>
          <w:rFonts w:ascii="Arial"/>
          <w:sz w:val="20"/>
        </w:rPr>
      </w:pPr>
    </w:p>
    <w:p>
      <w:pPr>
        <w:pStyle w:val="BodyText"/>
        <w:spacing w:before="11"/>
        <w:rPr>
          <w:rFonts w:ascii="Arial"/>
        </w:rPr>
      </w:pPr>
    </w:p>
    <w:p>
      <w:pPr>
        <w:pStyle w:val="BodyText"/>
        <w:tabs>
          <w:tab w:pos="7444" w:val="left" w:leader="none"/>
        </w:tabs>
        <w:spacing w:line="480" w:lineRule="auto" w:before="89"/>
        <w:ind w:left="120" w:right="115" w:hanging="1"/>
      </w:pPr>
      <w:r>
        <w:rPr/>
        <w:t>the transactions, and features  of  the  market  for</w:t>
      </w:r>
      <w:r>
        <w:rPr>
          <w:spacing w:val="-29"/>
        </w:rPr>
        <w:t> </w:t>
      </w:r>
      <w:r>
        <w:rPr/>
        <w:t>the</w:t>
      </w:r>
      <w:r>
        <w:rPr>
          <w:spacing w:val="28"/>
        </w:rPr>
        <w:t> </w:t>
      </w:r>
      <w:r>
        <w:rPr/>
        <w:t>securities.</w:t>
        <w:tab/>
      </w:r>
      <w:r>
        <w:rPr>
          <w:i/>
        </w:rPr>
        <w:t>See </w:t>
      </w:r>
      <w:r>
        <w:rPr/>
        <w:t>Mot 11-12 </w:t>
      </w:r>
      <w:r>
        <w:rPr>
          <w:spacing w:val="-12"/>
        </w:rPr>
        <w:t>&amp; </w:t>
      </w:r>
      <w:r>
        <w:rPr/>
        <w:t>n.5.</w:t>
      </w:r>
      <w:hyperlink w:history="true" w:anchor="_bookmark5">
        <w:r>
          <w:rPr>
            <w:vertAlign w:val="superscript"/>
          </w:rPr>
          <w:t>2</w:t>
        </w:r>
      </w:hyperlink>
    </w:p>
    <w:p>
      <w:pPr>
        <w:pStyle w:val="BodyText"/>
        <w:spacing w:line="480" w:lineRule="auto" w:before="1"/>
        <w:ind w:left="118" w:right="116" w:firstLine="721"/>
        <w:jc w:val="both"/>
      </w:pPr>
      <w:r>
        <w:rPr/>
        <w:t>Similarly, the district court excluded testimony about the widespread nature of this conduct, highly relevant to the question of good faith, because it “does not [directly] involve . . . Mr. Litvak.” A143. To be sure, the evidence did not </w:t>
      </w:r>
      <w:r>
        <w:rPr>
          <w:i/>
        </w:rPr>
        <w:t>guarantee </w:t>
      </w:r>
      <w:r>
        <w:rPr/>
        <w:t>Mr. Litvak’s good faith: he could somehow have been unaware of the widespread norms in his industry. By excluding the evidence on this basis, how- ever, the district court required the evidence to be conclusive before Mr. Litvak could introduce it. That was error. </w:t>
      </w:r>
      <w:r>
        <w:rPr>
          <w:i/>
        </w:rPr>
        <w:t>See</w:t>
      </w:r>
      <w:r>
        <w:rPr/>
        <w:t>, </w:t>
      </w:r>
      <w:r>
        <w:rPr>
          <w:i/>
        </w:rPr>
        <w:t>e.g.</w:t>
      </w:r>
      <w:r>
        <w:rPr/>
        <w:t>, </w:t>
      </w:r>
      <w:r>
        <w:rPr>
          <w:i/>
        </w:rPr>
        <w:t>United States </w:t>
      </w:r>
      <w:r>
        <w:rPr/>
        <w:t>v. </w:t>
      </w:r>
      <w:r>
        <w:rPr>
          <w:i/>
        </w:rPr>
        <w:t>Certified Environ- </w:t>
      </w:r>
      <w:r>
        <w:rPr>
          <w:i/>
        </w:rPr>
        <w:t>mental Services, Inc.</w:t>
      </w:r>
      <w:r>
        <w:rPr/>
        <w:t>, 753 F.3d 72, 90 (2d Cir. 2014) (stating that “evidence need not be conclusive in order to be relevant” (internal quotation marks and alteration omitted)).</w:t>
      </w:r>
    </w:p>
    <w:p>
      <w:pPr>
        <w:pStyle w:val="BodyText"/>
        <w:spacing w:line="480" w:lineRule="auto"/>
        <w:ind w:left="118" w:right="117" w:firstLine="720"/>
        <w:jc w:val="both"/>
      </w:pPr>
      <w:r>
        <w:rPr/>
        <w:t>Misconstruing the relevance standard, the district court dismissed crucial de- fense evidence on core disputed issues and substituted its own assessment of the evidence for that of the jury. The district court’s evidentiary rulings constituted a clear abuse of discretion and thus present a substantial question for appeal.</w:t>
      </w:r>
    </w:p>
    <w:p>
      <w:pPr>
        <w:pStyle w:val="BodyText"/>
        <w:rPr>
          <w:sz w:val="20"/>
        </w:rPr>
      </w:pPr>
    </w:p>
    <w:p>
      <w:pPr>
        <w:pStyle w:val="BodyText"/>
        <w:spacing w:before="1"/>
        <w:rPr>
          <w:sz w:val="19"/>
        </w:rPr>
      </w:pPr>
      <w:r>
        <w:rPr/>
        <w:pict>
          <v:line style="position:absolute;mso-position-horizontal-relative:page;mso-position-vertical-relative:paragraph;z-index:-856;mso-wrap-distance-left:0;mso-wrap-distance-right:0" from="72pt,13.229218pt" to="216pt,13.229218pt" stroked="true" strokeweight=".6pt" strokecolor="#000000">
            <v:stroke dashstyle="solid"/>
            <w10:wrap type="topAndBottom"/>
          </v:line>
        </w:pict>
      </w:r>
    </w:p>
    <w:p>
      <w:pPr>
        <w:pStyle w:val="BodyText"/>
        <w:spacing w:before="37"/>
        <w:ind w:left="119" w:right="112" w:firstLine="360"/>
        <w:jc w:val="both"/>
      </w:pPr>
      <w:bookmarkStart w:name="_bookmark5" w:id="10"/>
      <w:bookmarkEnd w:id="10"/>
      <w:r>
        <w:rPr/>
      </w:r>
      <w:r>
        <w:rPr>
          <w:position w:val="13"/>
          <w:sz w:val="18"/>
        </w:rPr>
        <w:t>2 </w:t>
      </w:r>
      <w:r>
        <w:rPr/>
        <w:t>The government implies that the district court excluded evidence of fair mar- ket value on the independent ground that it would be “prejudicial and confusing” to the jury. Opp. 14.  But the district court ultimately based that ruling on relevance:  it explained that, because the opinions “are </w:t>
      </w:r>
      <w:r>
        <w:rPr>
          <w:i/>
        </w:rPr>
        <w:t>irrelevant</w:t>
      </w:r>
      <w:r>
        <w:rPr/>
        <w:t>[,] their ability to confuse the jury about </w:t>
      </w:r>
      <w:r>
        <w:rPr>
          <w:i/>
        </w:rPr>
        <w:t>what the issue really is in this case </w:t>
      </w:r>
      <w:r>
        <w:rPr/>
        <w:t>greatly outweighs any probative val- ue which I don’t think it has any.” A63-64 (emphases</w:t>
      </w:r>
      <w:r>
        <w:rPr>
          <w:spacing w:val="-8"/>
        </w:rPr>
        <w:t> </w:t>
      </w:r>
      <w:r>
        <w:rPr/>
        <w:t>added).</w:t>
      </w:r>
    </w:p>
    <w:p>
      <w:pPr>
        <w:spacing w:after="0"/>
        <w:jc w:val="both"/>
        <w:sectPr>
          <w:pgSz w:w="12240" w:h="15840"/>
          <w:pgMar w:header="0" w:footer="837" w:top="200" w:bottom="1020" w:left="1320" w:right="1320"/>
        </w:sectPr>
      </w:pPr>
    </w:p>
    <w:p>
      <w:pPr>
        <w:tabs>
          <w:tab w:pos="2454" w:val="left" w:leader="none"/>
          <w:tab w:pos="4492" w:val="left" w:leader="none"/>
          <w:tab w:pos="5849" w:val="left" w:leader="none"/>
          <w:tab w:pos="7449" w:val="left" w:leader="none"/>
          <w:tab w:pos="8781" w:val="left" w:leader="none"/>
        </w:tabs>
        <w:spacing w:before="75"/>
        <w:ind w:left="548" w:right="0" w:firstLine="0"/>
        <w:jc w:val="left"/>
        <w:rPr>
          <w:rFonts w:ascii="Arial"/>
          <w:sz w:val="24"/>
        </w:rPr>
      </w:pPr>
      <w:r>
        <w:rPr>
          <w:rFonts w:ascii="Arial"/>
          <w:color w:val="FF3232"/>
          <w:sz w:val="24"/>
        </w:rPr>
        <w:t>Case:</w:t>
      </w:r>
      <w:r>
        <w:rPr>
          <w:rFonts w:ascii="Arial"/>
          <w:color w:val="FF3232"/>
          <w:spacing w:val="-5"/>
          <w:sz w:val="24"/>
        </w:rPr>
        <w:t> </w:t>
      </w:r>
      <w:r>
        <w:rPr>
          <w:rFonts w:ascii="Arial"/>
          <w:color w:val="FF3232"/>
          <w:sz w:val="24"/>
        </w:rPr>
        <w:t>14-2902</w:t>
        <w:tab/>
        <w:t>Document:</w:t>
      </w:r>
      <w:r>
        <w:rPr>
          <w:rFonts w:ascii="Arial"/>
          <w:color w:val="FF3232"/>
          <w:spacing w:val="-4"/>
          <w:sz w:val="24"/>
        </w:rPr>
        <w:t> </w:t>
      </w:r>
      <w:r>
        <w:rPr>
          <w:rFonts w:ascii="Arial"/>
          <w:color w:val="FF3232"/>
          <w:sz w:val="24"/>
        </w:rPr>
        <w:t>37-1</w:t>
        <w:tab/>
        <w:t>Page:</w:t>
      </w:r>
      <w:r>
        <w:rPr>
          <w:rFonts w:ascii="Arial"/>
          <w:color w:val="FF3232"/>
          <w:spacing w:val="-3"/>
          <w:sz w:val="24"/>
        </w:rPr>
        <w:t> </w:t>
      </w:r>
      <w:r>
        <w:rPr>
          <w:rFonts w:ascii="Arial"/>
          <w:color w:val="FF3232"/>
          <w:sz w:val="24"/>
        </w:rPr>
        <w:t>10</w:t>
        <w:tab/>
        <w:t>09/22/2014</w:t>
        <w:tab/>
        <w:t>1325730</w:t>
        <w:tab/>
        <w:t>14</w:t>
      </w:r>
    </w:p>
    <w:p>
      <w:pPr>
        <w:pStyle w:val="BodyText"/>
        <w:rPr>
          <w:rFonts w:ascii="Arial"/>
          <w:sz w:val="20"/>
        </w:rPr>
      </w:pPr>
    </w:p>
    <w:p>
      <w:pPr>
        <w:pStyle w:val="BodyText"/>
        <w:rPr>
          <w:rFonts w:ascii="Arial"/>
          <w:sz w:val="20"/>
        </w:rPr>
      </w:pPr>
    </w:p>
    <w:p>
      <w:pPr>
        <w:pStyle w:val="BodyText"/>
        <w:spacing w:before="4"/>
        <w:rPr>
          <w:rFonts w:ascii="Arial"/>
          <w:sz w:val="29"/>
        </w:rPr>
      </w:pPr>
    </w:p>
    <w:p>
      <w:pPr>
        <w:pStyle w:val="Heading1"/>
        <w:numPr>
          <w:ilvl w:val="0"/>
          <w:numId w:val="2"/>
        </w:numPr>
        <w:tabs>
          <w:tab w:pos="1560" w:val="left" w:leader="none"/>
          <w:tab w:pos="1561" w:val="left" w:leader="none"/>
        </w:tabs>
        <w:spacing w:line="240" w:lineRule="auto" w:before="89" w:after="0"/>
        <w:ind w:left="1560" w:right="0" w:hanging="720"/>
        <w:jc w:val="left"/>
      </w:pPr>
      <w:bookmarkStart w:name="C. Scienter" w:id="11"/>
      <w:bookmarkEnd w:id="11"/>
      <w:r>
        <w:rPr>
          <w:b w:val="0"/>
        </w:rPr>
      </w:r>
      <w:bookmarkStart w:name="_bookmark6" w:id="12"/>
      <w:bookmarkEnd w:id="12"/>
      <w:r>
        <w:rPr>
          <w:b w:val="0"/>
        </w:rPr>
      </w:r>
      <w:bookmarkStart w:name="_bookmark6" w:id="13"/>
      <w:bookmarkEnd w:id="13"/>
      <w:r>
        <w:rPr/>
        <w:t>S</w:t>
      </w:r>
      <w:r>
        <w:rPr/>
        <w:t>cienter</w:t>
      </w:r>
    </w:p>
    <w:p>
      <w:pPr>
        <w:pStyle w:val="BodyText"/>
        <w:spacing w:line="480" w:lineRule="auto" w:before="235"/>
        <w:ind w:left="120" w:right="109" w:firstLine="719"/>
        <w:jc w:val="both"/>
      </w:pPr>
      <w:r>
        <w:rPr/>
        <w:t>Struggling to justify its failure of proof as to scienter, the government simply ignores this Court’s statement that the government must prove that a defendant “in- tended to defraud [the victim] in connection with his sale of the [security].” </w:t>
      </w:r>
      <w:r>
        <w:rPr>
          <w:i/>
        </w:rPr>
        <w:t>See </w:t>
      </w:r>
      <w:r>
        <w:rPr>
          <w:i/>
        </w:rPr>
        <w:t>United States </w:t>
      </w:r>
      <w:r>
        <w:rPr/>
        <w:t>v. </w:t>
      </w:r>
      <w:r>
        <w:rPr>
          <w:i/>
        </w:rPr>
        <w:t>Vilar</w:t>
      </w:r>
      <w:r>
        <w:rPr/>
        <w:t>, 729 F.3d 62, 93 (2d Cir. 2013). Failing even to cite </w:t>
      </w:r>
      <w:r>
        <w:rPr>
          <w:i/>
        </w:rPr>
        <w:t>Vilar </w:t>
      </w:r>
      <w:r>
        <w:rPr/>
        <w:t>in this connection, the government instead points to general descriptions of the scien- ter standard in two </w:t>
      </w:r>
      <w:r>
        <w:rPr>
          <w:i/>
        </w:rPr>
        <w:t>civil </w:t>
      </w:r>
      <w:r>
        <w:rPr/>
        <w:t>cases. </w:t>
      </w:r>
      <w:r>
        <w:rPr>
          <w:i/>
        </w:rPr>
        <w:t>See </w:t>
      </w:r>
      <w:r>
        <w:rPr/>
        <w:t>Opp. 16. And it argues that, in a case that pre- dated </w:t>
      </w:r>
      <w:r>
        <w:rPr>
          <w:i/>
        </w:rPr>
        <w:t>Vilar</w:t>
      </w:r>
      <w:r>
        <w:rPr/>
        <w:t>, this Court approved an instruction that required only deceit. Opp. 16 (citing </w:t>
      </w:r>
      <w:r>
        <w:rPr>
          <w:i/>
        </w:rPr>
        <w:t>United States </w:t>
      </w:r>
      <w:r>
        <w:rPr/>
        <w:t>v. </w:t>
      </w:r>
      <w:r>
        <w:rPr>
          <w:i/>
        </w:rPr>
        <w:t>Kaiser</w:t>
      </w:r>
      <w:r>
        <w:rPr/>
        <w:t>, 609 F.3d 556 (2d Cir. 2010)). The government  fails to mention, however, that intent to defraud was not at issue in </w:t>
      </w:r>
      <w:r>
        <w:rPr>
          <w:i/>
        </w:rPr>
        <w:t>Kaiser</w:t>
      </w:r>
      <w:r>
        <w:rPr/>
        <w:t>: the de- fendant challenged the scienter instruction in that case only on the ground that “‘willfulness’ required knowledge of illegality.” </w:t>
      </w:r>
      <w:r>
        <w:rPr>
          <w:i/>
        </w:rPr>
        <w:t>Kaiser</w:t>
      </w:r>
      <w:r>
        <w:rPr/>
        <w:t>, 609 F.3d at 568. This Court’s failure to address an error that the defendant did not raise hardly consti- tutes support for the government’s</w:t>
      </w:r>
      <w:r>
        <w:rPr>
          <w:spacing w:val="-5"/>
        </w:rPr>
        <w:t> </w:t>
      </w:r>
      <w:r>
        <w:rPr/>
        <w:t>view.</w:t>
      </w:r>
    </w:p>
    <w:p>
      <w:pPr>
        <w:pStyle w:val="BodyText"/>
        <w:spacing w:line="480" w:lineRule="auto" w:before="1"/>
        <w:ind w:left="122" w:right="111" w:firstLine="719"/>
        <w:jc w:val="both"/>
      </w:pPr>
      <w:r>
        <w:rPr/>
        <w:t>Nor does the government explain why this Court’s holdings about intent to defraud would apply any differently to securities fraud than to mail and wire fraud. Far from disregarding precedent from the mail- and wire-fraud context, the Su- preme Court has described it as </w:t>
      </w:r>
      <w:r>
        <w:rPr>
          <w:spacing w:val="-3"/>
        </w:rPr>
        <w:t>“a </w:t>
      </w:r>
      <w:r>
        <w:rPr/>
        <w:t>particularly apt source of guidance” for inter- preting securities fraud under Rule 10b-5. </w:t>
      </w:r>
      <w:r>
        <w:rPr>
          <w:i/>
        </w:rPr>
        <w:t>United States </w:t>
      </w:r>
      <w:r>
        <w:rPr/>
        <w:t>v. </w:t>
      </w:r>
      <w:r>
        <w:rPr>
          <w:i/>
        </w:rPr>
        <w:t>O’Hagan</w:t>
      </w:r>
      <w:r>
        <w:rPr/>
        <w:t>, 521 U.S.  642,</w:t>
      </w:r>
      <w:r>
        <w:rPr>
          <w:spacing w:val="31"/>
        </w:rPr>
        <w:t> </w:t>
      </w:r>
      <w:r>
        <w:rPr/>
        <w:t>654</w:t>
      </w:r>
      <w:r>
        <w:rPr>
          <w:spacing w:val="32"/>
        </w:rPr>
        <w:t> </w:t>
      </w:r>
      <w:r>
        <w:rPr/>
        <w:t>(1997)</w:t>
      </w:r>
      <w:r>
        <w:rPr>
          <w:spacing w:val="31"/>
        </w:rPr>
        <w:t> </w:t>
      </w:r>
      <w:r>
        <w:rPr/>
        <w:t>(internal</w:t>
      </w:r>
      <w:r>
        <w:rPr>
          <w:spacing w:val="33"/>
        </w:rPr>
        <w:t> </w:t>
      </w:r>
      <w:r>
        <w:rPr/>
        <w:t>quotation</w:t>
      </w:r>
      <w:r>
        <w:rPr>
          <w:spacing w:val="32"/>
        </w:rPr>
        <w:t> </w:t>
      </w:r>
      <w:r>
        <w:rPr/>
        <w:t>marks</w:t>
      </w:r>
      <w:r>
        <w:rPr>
          <w:spacing w:val="32"/>
        </w:rPr>
        <w:t> </w:t>
      </w:r>
      <w:r>
        <w:rPr/>
        <w:t>omitted);</w:t>
      </w:r>
      <w:r>
        <w:rPr>
          <w:spacing w:val="33"/>
        </w:rPr>
        <w:t> </w:t>
      </w:r>
      <w:r>
        <w:rPr>
          <w:i/>
        </w:rPr>
        <w:t>see</w:t>
      </w:r>
      <w:r>
        <w:rPr>
          <w:i/>
          <w:spacing w:val="29"/>
        </w:rPr>
        <w:t> </w:t>
      </w:r>
      <w:r>
        <w:rPr>
          <w:i/>
        </w:rPr>
        <w:t>also</w:t>
      </w:r>
      <w:r>
        <w:rPr/>
        <w:t>,</w:t>
      </w:r>
      <w:r>
        <w:rPr>
          <w:spacing w:val="31"/>
        </w:rPr>
        <w:t> </w:t>
      </w:r>
      <w:r>
        <w:rPr>
          <w:i/>
        </w:rPr>
        <w:t>e.g.</w:t>
      </w:r>
      <w:r>
        <w:rPr/>
        <w:t>,</w:t>
      </w:r>
      <w:r>
        <w:rPr>
          <w:spacing w:val="32"/>
        </w:rPr>
        <w:t> </w:t>
      </w:r>
      <w:r>
        <w:rPr>
          <w:i/>
        </w:rPr>
        <w:t>SEC</w:t>
      </w:r>
      <w:r>
        <w:rPr>
          <w:i/>
          <w:spacing w:val="31"/>
        </w:rPr>
        <w:t> </w:t>
      </w:r>
      <w:r>
        <w:rPr/>
        <w:t>v.</w:t>
      </w:r>
    </w:p>
    <w:p>
      <w:pPr>
        <w:spacing w:after="0" w:line="480" w:lineRule="auto"/>
        <w:jc w:val="both"/>
        <w:sectPr>
          <w:pgSz w:w="12240" w:h="15840"/>
          <w:pgMar w:header="0" w:footer="837" w:top="200" w:bottom="1020" w:left="1320" w:right="1320"/>
        </w:sectPr>
      </w:pPr>
    </w:p>
    <w:p>
      <w:pPr>
        <w:tabs>
          <w:tab w:pos="2454" w:val="left" w:leader="none"/>
          <w:tab w:pos="4492" w:val="left" w:leader="none"/>
          <w:tab w:pos="5849" w:val="left" w:leader="none"/>
          <w:tab w:pos="7449" w:val="left" w:leader="none"/>
          <w:tab w:pos="8781" w:val="left" w:leader="none"/>
        </w:tabs>
        <w:spacing w:before="75"/>
        <w:ind w:left="548" w:right="0" w:firstLine="0"/>
        <w:jc w:val="left"/>
        <w:rPr>
          <w:rFonts w:ascii="Arial"/>
          <w:sz w:val="24"/>
        </w:rPr>
      </w:pPr>
      <w:r>
        <w:rPr>
          <w:rFonts w:ascii="Arial"/>
          <w:color w:val="FF3232"/>
          <w:sz w:val="24"/>
        </w:rPr>
        <w:t>Case:</w:t>
      </w:r>
      <w:r>
        <w:rPr>
          <w:rFonts w:ascii="Arial"/>
          <w:color w:val="FF3232"/>
          <w:spacing w:val="-5"/>
          <w:sz w:val="24"/>
        </w:rPr>
        <w:t> </w:t>
      </w:r>
      <w:r>
        <w:rPr>
          <w:rFonts w:ascii="Arial"/>
          <w:color w:val="FF3232"/>
          <w:sz w:val="24"/>
        </w:rPr>
        <w:t>14-2902</w:t>
        <w:tab/>
        <w:t>Document:</w:t>
      </w:r>
      <w:r>
        <w:rPr>
          <w:rFonts w:ascii="Arial"/>
          <w:color w:val="FF3232"/>
          <w:spacing w:val="-4"/>
          <w:sz w:val="24"/>
        </w:rPr>
        <w:t> </w:t>
      </w:r>
      <w:r>
        <w:rPr>
          <w:rFonts w:ascii="Arial"/>
          <w:color w:val="FF3232"/>
          <w:sz w:val="24"/>
        </w:rPr>
        <w:t>37-1</w:t>
        <w:tab/>
        <w:t>Page:</w:t>
      </w:r>
      <w:r>
        <w:rPr>
          <w:rFonts w:ascii="Arial"/>
          <w:color w:val="FF3232"/>
          <w:spacing w:val="-3"/>
          <w:sz w:val="24"/>
        </w:rPr>
        <w:t> </w:t>
      </w:r>
      <w:r>
        <w:rPr>
          <w:rFonts w:ascii="Arial"/>
          <w:color w:val="FF3232"/>
          <w:sz w:val="24"/>
        </w:rPr>
        <w:t>11</w:t>
        <w:tab/>
        <w:t>09/22/2014</w:t>
        <w:tab/>
        <w:t>1325730</w:t>
        <w:tab/>
        <w:t>14</w:t>
      </w:r>
    </w:p>
    <w:p>
      <w:pPr>
        <w:pStyle w:val="BodyText"/>
        <w:rPr>
          <w:rFonts w:ascii="Arial"/>
          <w:sz w:val="20"/>
        </w:rPr>
      </w:pPr>
    </w:p>
    <w:p>
      <w:pPr>
        <w:pStyle w:val="BodyText"/>
        <w:rPr>
          <w:rFonts w:ascii="Arial"/>
          <w:sz w:val="20"/>
        </w:rPr>
      </w:pPr>
    </w:p>
    <w:p>
      <w:pPr>
        <w:pStyle w:val="BodyText"/>
        <w:spacing w:before="11"/>
        <w:rPr>
          <w:rFonts w:ascii="Arial"/>
        </w:rPr>
      </w:pPr>
    </w:p>
    <w:p>
      <w:pPr>
        <w:pStyle w:val="BodyText"/>
        <w:spacing w:line="480" w:lineRule="auto" w:before="89"/>
        <w:ind w:left="119" w:right="118"/>
        <w:jc w:val="both"/>
      </w:pPr>
      <w:r>
        <w:rPr>
          <w:i/>
        </w:rPr>
        <w:t>Holschuh</w:t>
      </w:r>
      <w:r>
        <w:rPr/>
        <w:t>, 694 F.2d 130, 144 n.24 (7th Cir. 1982) (describing a statement about a scheme to defraud “written in reference to a mail fraud scheme” to be “fully appli- cable to a scheme to defraud under the securities laws”).</w:t>
      </w:r>
    </w:p>
    <w:p>
      <w:pPr>
        <w:pStyle w:val="BodyText"/>
        <w:spacing w:line="480" w:lineRule="auto"/>
        <w:ind w:left="119" w:right="116" w:firstLine="719"/>
        <w:jc w:val="both"/>
      </w:pPr>
      <w:r>
        <w:rPr/>
        <w:t>The government is thus left to argue that “even if securities fraud required an intent to cause harm  .  .  .  the government has met that burden.”  Opp. 18.  But Mr. Litvak transacted securities that were worth exactly what the counterparties expected and that the counterparties testified they would transact again at the same price. Mr. Litvak did not “intend[] to get,” nor did he in fact get, “more for [his] merchandise than it was worth to the average customer.” </w:t>
      </w:r>
      <w:r>
        <w:rPr>
          <w:i/>
        </w:rPr>
        <w:t>United States </w:t>
      </w:r>
      <w:r>
        <w:rPr/>
        <w:t>v. </w:t>
      </w:r>
      <w:r>
        <w:rPr>
          <w:i/>
        </w:rPr>
        <w:t>Regent </w:t>
      </w:r>
      <w:r>
        <w:rPr>
          <w:i/>
        </w:rPr>
        <w:t>Office Supply Co.</w:t>
      </w:r>
      <w:r>
        <w:rPr/>
        <w:t>, 421 F.2d 1174, 1181 (2d Cir. 1970). As a result, there could </w:t>
      </w:r>
      <w:r>
        <w:rPr>
          <w:spacing w:val="-2"/>
        </w:rPr>
        <w:t>not </w:t>
      </w:r>
      <w:r>
        <w:rPr/>
        <w:t>have been any harm “affect[ing] the very nature of the bargain itself.” </w:t>
      </w:r>
      <w:r>
        <w:rPr>
          <w:i/>
        </w:rPr>
        <w:t>United </w:t>
      </w:r>
      <w:r>
        <w:rPr>
          <w:i/>
        </w:rPr>
        <w:t>States </w:t>
      </w:r>
      <w:r>
        <w:rPr/>
        <w:t>v. </w:t>
      </w:r>
      <w:r>
        <w:rPr>
          <w:i/>
        </w:rPr>
        <w:t>Starr</w:t>
      </w:r>
      <w:r>
        <w:rPr/>
        <w:t>, 816 F.2d 94, 98 (2d Cir.</w:t>
      </w:r>
      <w:r>
        <w:rPr>
          <w:spacing w:val="-12"/>
        </w:rPr>
        <w:t> </w:t>
      </w:r>
      <w:r>
        <w:rPr/>
        <w:t>1987).</w:t>
      </w:r>
    </w:p>
    <w:p>
      <w:pPr>
        <w:pStyle w:val="BodyText"/>
        <w:spacing w:line="480" w:lineRule="auto" w:before="1"/>
        <w:ind w:left="119" w:right="117" w:firstLine="719"/>
        <w:jc w:val="both"/>
      </w:pPr>
      <w:r>
        <w:rPr/>
        <w:t>The government’s contrary arguments run afoul of </w:t>
      </w:r>
      <w:r>
        <w:rPr>
          <w:i/>
        </w:rPr>
        <w:t>Regent Office Supply </w:t>
      </w:r>
      <w:r>
        <w:rPr>
          <w:spacing w:val="-3"/>
        </w:rPr>
        <w:t>and </w:t>
      </w:r>
      <w:r>
        <w:rPr>
          <w:i/>
        </w:rPr>
        <w:t>Starr</w:t>
      </w:r>
      <w:r>
        <w:rPr/>
        <w:t>. In both of those cases, the defendants made “misrepresentations in order to reap a pecuniary benefit.”  Opp. 18.  And in both, the misrepresentations sought  “to induce [the] victims to agree” to transact at a certain price. Opp. 19. But that intent was insufficient in those cases, and it is similarly insufficient</w:t>
      </w:r>
      <w:r>
        <w:rPr>
          <w:spacing w:val="-12"/>
        </w:rPr>
        <w:t> </w:t>
      </w:r>
      <w:r>
        <w:rPr/>
        <w:t>here.</w:t>
      </w:r>
      <w:hyperlink w:history="true" w:anchor="_bookmark7">
        <w:r>
          <w:rPr>
            <w:vertAlign w:val="superscript"/>
          </w:rPr>
          <w:t>3</w:t>
        </w:r>
      </w:hyperlink>
    </w:p>
    <w:p>
      <w:pPr>
        <w:pStyle w:val="BodyText"/>
        <w:rPr>
          <w:sz w:val="20"/>
        </w:rPr>
      </w:pPr>
    </w:p>
    <w:p>
      <w:pPr>
        <w:pStyle w:val="BodyText"/>
        <w:rPr>
          <w:sz w:val="19"/>
        </w:rPr>
      </w:pPr>
      <w:r>
        <w:rPr/>
        <w:pict>
          <v:line style="position:absolute;mso-position-horizontal-relative:page;mso-position-vertical-relative:paragraph;z-index:-832;mso-wrap-distance-left:0;mso-wrap-distance-right:0" from="72pt,13.191953pt" to="216pt,13.191953pt" stroked="true" strokeweight=".6pt" strokecolor="#000000">
            <v:stroke dashstyle="solid"/>
            <w10:wrap type="topAndBottom"/>
          </v:line>
        </w:pict>
      </w:r>
    </w:p>
    <w:p>
      <w:pPr>
        <w:pStyle w:val="BodyText"/>
        <w:spacing w:before="37"/>
        <w:ind w:left="119" w:right="112" w:firstLine="360"/>
        <w:jc w:val="both"/>
      </w:pPr>
      <w:bookmarkStart w:name="_bookmark7" w:id="14"/>
      <w:bookmarkEnd w:id="14"/>
      <w:r>
        <w:rPr/>
      </w:r>
      <w:r>
        <w:rPr>
          <w:position w:val="13"/>
          <w:sz w:val="18"/>
        </w:rPr>
        <w:t>3 </w:t>
      </w:r>
      <w:r>
        <w:rPr/>
        <w:t>The government does not dispute that Mr. Litvak’s appeal will pose substan- tial questions as to the TARP-fraud and false-statements counts; accordingly, a substantial question as to scienter on the securities-fraud counts would entitle Mr. Litvak to release. </w:t>
      </w:r>
      <w:r>
        <w:rPr>
          <w:i/>
        </w:rPr>
        <w:t>See </w:t>
      </w:r>
      <w:r>
        <w:rPr/>
        <w:t>Mot. 17 n.8.</w:t>
      </w:r>
    </w:p>
    <w:p>
      <w:pPr>
        <w:spacing w:after="0"/>
        <w:jc w:val="both"/>
        <w:sectPr>
          <w:pgSz w:w="12240" w:h="15840"/>
          <w:pgMar w:header="0" w:footer="837" w:top="200" w:bottom="1020" w:left="1320" w:right="1320"/>
        </w:sectPr>
      </w:pPr>
    </w:p>
    <w:p>
      <w:pPr>
        <w:tabs>
          <w:tab w:pos="2454" w:val="left" w:leader="none"/>
          <w:tab w:pos="4492" w:val="left" w:leader="none"/>
          <w:tab w:pos="5849" w:val="left" w:leader="none"/>
          <w:tab w:pos="7449" w:val="left" w:leader="none"/>
          <w:tab w:pos="8781" w:val="left" w:leader="none"/>
        </w:tabs>
        <w:spacing w:before="75"/>
        <w:ind w:left="548" w:right="0" w:firstLine="0"/>
        <w:jc w:val="left"/>
        <w:rPr>
          <w:rFonts w:ascii="Arial"/>
          <w:sz w:val="24"/>
        </w:rPr>
      </w:pPr>
      <w:r>
        <w:rPr>
          <w:rFonts w:ascii="Arial"/>
          <w:color w:val="FF3232"/>
          <w:sz w:val="24"/>
        </w:rPr>
        <w:t>Case:</w:t>
      </w:r>
      <w:r>
        <w:rPr>
          <w:rFonts w:ascii="Arial"/>
          <w:color w:val="FF3232"/>
          <w:spacing w:val="-5"/>
          <w:sz w:val="24"/>
        </w:rPr>
        <w:t> </w:t>
      </w:r>
      <w:r>
        <w:rPr>
          <w:rFonts w:ascii="Arial"/>
          <w:color w:val="FF3232"/>
          <w:sz w:val="24"/>
        </w:rPr>
        <w:t>14-2902</w:t>
        <w:tab/>
        <w:t>Document:</w:t>
      </w:r>
      <w:r>
        <w:rPr>
          <w:rFonts w:ascii="Arial"/>
          <w:color w:val="FF3232"/>
          <w:spacing w:val="-4"/>
          <w:sz w:val="24"/>
        </w:rPr>
        <w:t> </w:t>
      </w:r>
      <w:r>
        <w:rPr>
          <w:rFonts w:ascii="Arial"/>
          <w:color w:val="FF3232"/>
          <w:sz w:val="24"/>
        </w:rPr>
        <w:t>37-1</w:t>
        <w:tab/>
        <w:t>Page:</w:t>
      </w:r>
      <w:r>
        <w:rPr>
          <w:rFonts w:ascii="Arial"/>
          <w:color w:val="FF3232"/>
          <w:spacing w:val="-3"/>
          <w:sz w:val="24"/>
        </w:rPr>
        <w:t> </w:t>
      </w:r>
      <w:r>
        <w:rPr>
          <w:rFonts w:ascii="Arial"/>
          <w:color w:val="FF3232"/>
          <w:sz w:val="24"/>
        </w:rPr>
        <w:t>12</w:t>
        <w:tab/>
        <w:t>09/22/2014</w:t>
        <w:tab/>
        <w:t>1325730</w:t>
        <w:tab/>
        <w:t>14</w:t>
      </w:r>
    </w:p>
    <w:p>
      <w:pPr>
        <w:pStyle w:val="BodyText"/>
        <w:rPr>
          <w:rFonts w:ascii="Arial"/>
          <w:sz w:val="20"/>
        </w:rPr>
      </w:pPr>
    </w:p>
    <w:p>
      <w:pPr>
        <w:pStyle w:val="BodyText"/>
        <w:rPr>
          <w:rFonts w:ascii="Arial"/>
          <w:sz w:val="20"/>
        </w:rPr>
      </w:pPr>
    </w:p>
    <w:p>
      <w:pPr>
        <w:pStyle w:val="BodyText"/>
        <w:spacing w:before="11"/>
        <w:rPr>
          <w:rFonts w:ascii="Arial"/>
        </w:rPr>
      </w:pPr>
    </w:p>
    <w:p>
      <w:pPr>
        <w:pStyle w:val="BodyText"/>
        <w:tabs>
          <w:tab w:pos="559" w:val="left" w:leader="none"/>
          <w:tab w:pos="1118" w:val="left" w:leader="none"/>
          <w:tab w:pos="1608" w:val="left" w:leader="none"/>
          <w:tab w:pos="2167" w:val="left" w:leader="none"/>
        </w:tabs>
        <w:spacing w:before="89"/>
        <w:ind w:right="3"/>
        <w:jc w:val="center"/>
      </w:pPr>
      <w:r>
        <w:rPr/>
        <w:t>*</w:t>
        <w:tab/>
        <w:t>*</w:t>
        <w:tab/>
        <w:t>*</w:t>
        <w:tab/>
        <w:t>*</w:t>
        <w:tab/>
        <w:t>*</w:t>
      </w:r>
    </w:p>
    <w:p>
      <w:pPr>
        <w:pStyle w:val="BodyText"/>
        <w:spacing w:before="10"/>
        <w:rPr>
          <w:sz w:val="27"/>
        </w:rPr>
      </w:pPr>
    </w:p>
    <w:p>
      <w:pPr>
        <w:pStyle w:val="BodyText"/>
        <w:spacing w:line="480" w:lineRule="auto" w:before="1"/>
        <w:ind w:left="120" w:right="112" w:firstLine="719"/>
        <w:jc w:val="both"/>
      </w:pPr>
      <w:r>
        <w:rPr/>
        <w:t>Mr. Litvak need only show that his appeal will present one substantial ques- tion, but his appeal will in fact present three. Each of the foregoing questions is “close” and “fairly debatable” and “very well could be decided the other way.” </w:t>
      </w:r>
      <w:r>
        <w:rPr>
          <w:i/>
        </w:rPr>
        <w:t>Randell</w:t>
      </w:r>
      <w:r>
        <w:rPr/>
        <w:t>, 761 F.2d at 125 (internal quotation marks and citations omitted). If this Court were ultimately to reject all of Mr. Litvak’s arguments on the merits, his continued release would have no impact on his ability to serve the full term of im- prisonment imposed by the district court. But if Mr. Litvak surrenders in Novem- ber and this Court accepts even one of his arguments, he will have served most, if not all, of the term of imprisonment by the time this Court rules. Mr. Litvak’s con- tinued release is necessary to ensure he has a meaningful opportunity to raise his substantial arguments before this Court.</w:t>
      </w:r>
      <w:hyperlink w:history="true" w:anchor="_bookmark9">
        <w:r>
          <w:rPr>
            <w:vertAlign w:val="superscript"/>
          </w:rPr>
          <w:t>4</w:t>
        </w:r>
      </w:hyperlink>
    </w:p>
    <w:p>
      <w:pPr>
        <w:pStyle w:val="Heading1"/>
        <w:spacing w:before="6"/>
        <w:ind w:left="1569" w:right="1570"/>
        <w:jc w:val="center"/>
      </w:pPr>
      <w:bookmarkStart w:name="_bookmark8" w:id="15"/>
      <w:bookmarkEnd w:id="15"/>
      <w:r>
        <w:rPr>
          <w:b w:val="0"/>
        </w:rPr>
      </w:r>
      <w:r>
        <w:rPr/>
        <w:t>CONCLUSION</w:t>
      </w:r>
    </w:p>
    <w:p>
      <w:pPr>
        <w:pStyle w:val="BodyText"/>
        <w:spacing w:before="6"/>
        <w:rPr>
          <w:b/>
          <w:sz w:val="27"/>
        </w:rPr>
      </w:pPr>
    </w:p>
    <w:p>
      <w:pPr>
        <w:pStyle w:val="BodyText"/>
        <w:ind w:left="839"/>
      </w:pPr>
      <w:r>
        <w:rPr/>
        <w:t>The motion for release pending appeal should be granted.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1"/>
        </w:rPr>
      </w:pPr>
      <w:r>
        <w:rPr/>
        <w:pict>
          <v:line style="position:absolute;mso-position-horizontal-relative:page;mso-position-vertical-relative:paragraph;z-index:-808;mso-wrap-distance-left:0;mso-wrap-distance-right:0" from="72pt,8.72498pt" to="216pt,8.72498pt" stroked="true" strokeweight=".6pt" strokecolor="#000000">
            <v:stroke dashstyle="solid"/>
            <w10:wrap type="topAndBottom"/>
          </v:line>
        </w:pict>
      </w:r>
    </w:p>
    <w:p>
      <w:pPr>
        <w:pStyle w:val="BodyText"/>
        <w:spacing w:before="37"/>
        <w:ind w:left="119" w:right="115" w:firstLine="360"/>
      </w:pPr>
      <w:bookmarkStart w:name="_bookmark9" w:id="16"/>
      <w:bookmarkEnd w:id="16"/>
      <w:r>
        <w:rPr/>
      </w:r>
      <w:r>
        <w:rPr>
          <w:position w:val="13"/>
          <w:sz w:val="18"/>
        </w:rPr>
        <w:t>4 </w:t>
      </w:r>
      <w:r>
        <w:rPr/>
        <w:t>The government has not opposed Mr. Litvak’s request that his surrender date be stayed if this motion cannot be decided before November 5. </w:t>
      </w:r>
      <w:r>
        <w:rPr>
          <w:i/>
        </w:rPr>
        <w:t>See </w:t>
      </w:r>
      <w:r>
        <w:rPr/>
        <w:t>Mot. 1 n.1.</w:t>
      </w:r>
    </w:p>
    <w:p>
      <w:pPr>
        <w:spacing w:after="0"/>
        <w:sectPr>
          <w:pgSz w:w="12240" w:h="15840"/>
          <w:pgMar w:header="0" w:footer="837" w:top="200" w:bottom="1020" w:left="1320" w:right="1320"/>
        </w:sectPr>
      </w:pPr>
    </w:p>
    <w:p>
      <w:pPr>
        <w:tabs>
          <w:tab w:pos="2454" w:val="left" w:leader="none"/>
          <w:tab w:pos="4492" w:val="left" w:leader="none"/>
          <w:tab w:pos="5849" w:val="left" w:leader="none"/>
          <w:tab w:pos="7449" w:val="left" w:leader="none"/>
          <w:tab w:pos="8781" w:val="left" w:leader="none"/>
        </w:tabs>
        <w:spacing w:before="75"/>
        <w:ind w:left="548" w:right="0" w:firstLine="0"/>
        <w:jc w:val="left"/>
        <w:rPr>
          <w:rFonts w:ascii="Arial"/>
          <w:sz w:val="24"/>
        </w:rPr>
      </w:pPr>
      <w:r>
        <w:rPr>
          <w:rFonts w:ascii="Arial"/>
          <w:color w:val="FF3232"/>
          <w:sz w:val="24"/>
        </w:rPr>
        <w:t>Case:</w:t>
      </w:r>
      <w:r>
        <w:rPr>
          <w:rFonts w:ascii="Arial"/>
          <w:color w:val="FF3232"/>
          <w:spacing w:val="-5"/>
          <w:sz w:val="24"/>
        </w:rPr>
        <w:t> </w:t>
      </w:r>
      <w:r>
        <w:rPr>
          <w:rFonts w:ascii="Arial"/>
          <w:color w:val="FF3232"/>
          <w:sz w:val="24"/>
        </w:rPr>
        <w:t>14-2902</w:t>
        <w:tab/>
        <w:t>Document:</w:t>
      </w:r>
      <w:r>
        <w:rPr>
          <w:rFonts w:ascii="Arial"/>
          <w:color w:val="FF3232"/>
          <w:spacing w:val="-4"/>
          <w:sz w:val="24"/>
        </w:rPr>
        <w:t> </w:t>
      </w:r>
      <w:r>
        <w:rPr>
          <w:rFonts w:ascii="Arial"/>
          <w:color w:val="FF3232"/>
          <w:sz w:val="24"/>
        </w:rPr>
        <w:t>37-1</w:t>
        <w:tab/>
        <w:t>Page:</w:t>
      </w:r>
      <w:r>
        <w:rPr>
          <w:rFonts w:ascii="Arial"/>
          <w:color w:val="FF3232"/>
          <w:spacing w:val="-3"/>
          <w:sz w:val="24"/>
        </w:rPr>
        <w:t> </w:t>
      </w:r>
      <w:r>
        <w:rPr>
          <w:rFonts w:ascii="Arial"/>
          <w:color w:val="FF3232"/>
          <w:sz w:val="24"/>
        </w:rPr>
        <w:t>13</w:t>
        <w:tab/>
        <w:t>09/22/2014</w:t>
        <w:tab/>
        <w:t>1325730</w:t>
        <w:tab/>
        <w:t>14</w:t>
      </w:r>
    </w:p>
    <w:p>
      <w:pPr>
        <w:pStyle w:val="BodyText"/>
        <w:rPr>
          <w:rFonts w:ascii="Arial"/>
          <w:sz w:val="20"/>
        </w:rPr>
      </w:pPr>
    </w:p>
    <w:p>
      <w:pPr>
        <w:pStyle w:val="BodyText"/>
        <w:rPr>
          <w:rFonts w:ascii="Arial"/>
          <w:sz w:val="20"/>
        </w:rPr>
      </w:pPr>
    </w:p>
    <w:p>
      <w:pPr>
        <w:pStyle w:val="BodyText"/>
        <w:spacing w:before="11"/>
        <w:rPr>
          <w:rFonts w:ascii="Arial"/>
        </w:rPr>
      </w:pPr>
    </w:p>
    <w:p>
      <w:pPr>
        <w:pStyle w:val="BodyText"/>
        <w:spacing w:before="89"/>
        <w:ind w:left="5159"/>
      </w:pPr>
      <w:r>
        <w:rPr/>
        <w:t>Respectfully submitted,</w:t>
      </w:r>
    </w:p>
    <w:p>
      <w:pPr>
        <w:pStyle w:val="BodyText"/>
        <w:spacing w:before="10"/>
        <w:rPr>
          <w:sz w:val="27"/>
        </w:rPr>
      </w:pPr>
    </w:p>
    <w:p>
      <w:pPr>
        <w:spacing w:line="240" w:lineRule="auto" w:before="1"/>
        <w:ind w:left="5160" w:right="1386" w:firstLine="0"/>
        <w:jc w:val="left"/>
        <w:rPr>
          <w:sz w:val="22"/>
        </w:rPr>
      </w:pPr>
      <w:r>
        <w:rPr>
          <w:sz w:val="28"/>
          <w:u w:val="single"/>
        </w:rPr>
        <w:t>/s/ Kannon K. Shanmugam</w:t>
      </w:r>
      <w:r>
        <w:rPr>
          <w:sz w:val="28"/>
        </w:rPr>
        <w:t> K</w:t>
      </w:r>
      <w:r>
        <w:rPr>
          <w:sz w:val="22"/>
        </w:rPr>
        <w:t>ANNON </w:t>
      </w:r>
      <w:r>
        <w:rPr>
          <w:sz w:val="28"/>
        </w:rPr>
        <w:t>K. S</w:t>
      </w:r>
      <w:r>
        <w:rPr>
          <w:sz w:val="22"/>
        </w:rPr>
        <w:t>HANMUGAM </w:t>
      </w:r>
      <w:r>
        <w:rPr>
          <w:sz w:val="28"/>
        </w:rPr>
        <w:t>D</w:t>
      </w:r>
      <w:r>
        <w:rPr>
          <w:sz w:val="22"/>
        </w:rPr>
        <w:t>ANE </w:t>
      </w:r>
      <w:r>
        <w:rPr>
          <w:sz w:val="28"/>
        </w:rPr>
        <w:t>H. B</w:t>
      </w:r>
      <w:r>
        <w:rPr>
          <w:sz w:val="22"/>
        </w:rPr>
        <w:t>UTSWINKAS </w:t>
      </w:r>
      <w:r>
        <w:rPr>
          <w:sz w:val="28"/>
        </w:rPr>
        <w:t>A</w:t>
      </w:r>
      <w:r>
        <w:rPr>
          <w:sz w:val="22"/>
        </w:rPr>
        <w:t>LLISON </w:t>
      </w:r>
      <w:r>
        <w:rPr>
          <w:sz w:val="28"/>
        </w:rPr>
        <w:t>B. J</w:t>
      </w:r>
      <w:r>
        <w:rPr>
          <w:sz w:val="22"/>
        </w:rPr>
        <w:t>ONES</w:t>
      </w:r>
    </w:p>
    <w:p>
      <w:pPr>
        <w:spacing w:before="0"/>
        <w:ind w:left="5159" w:right="830" w:firstLine="0"/>
        <w:jc w:val="left"/>
        <w:rPr>
          <w:sz w:val="28"/>
        </w:rPr>
      </w:pPr>
      <w:r>
        <w:rPr>
          <w:sz w:val="28"/>
        </w:rPr>
        <w:t>M</w:t>
      </w:r>
      <w:r>
        <w:rPr>
          <w:sz w:val="22"/>
        </w:rPr>
        <w:t>ASHA </w:t>
      </w:r>
      <w:r>
        <w:rPr>
          <w:sz w:val="28"/>
        </w:rPr>
        <w:t>G. H</w:t>
      </w:r>
      <w:r>
        <w:rPr>
          <w:sz w:val="22"/>
        </w:rPr>
        <w:t>ANSFORD </w:t>
      </w:r>
      <w:r>
        <w:rPr>
          <w:sz w:val="28"/>
        </w:rPr>
        <w:t>W</w:t>
      </w:r>
      <w:r>
        <w:rPr>
          <w:sz w:val="22"/>
        </w:rPr>
        <w:t>ILLIAMS </w:t>
      </w:r>
      <w:r>
        <w:rPr>
          <w:sz w:val="28"/>
        </w:rPr>
        <w:t>&amp; C</w:t>
      </w:r>
      <w:r>
        <w:rPr>
          <w:sz w:val="22"/>
        </w:rPr>
        <w:t>ONNOLLY </w:t>
      </w:r>
      <w:r>
        <w:rPr>
          <w:sz w:val="28"/>
        </w:rPr>
        <w:t>LLP</w:t>
      </w:r>
    </w:p>
    <w:p>
      <w:pPr>
        <w:spacing w:before="0"/>
        <w:ind w:left="5340" w:right="1486" w:firstLine="0"/>
        <w:jc w:val="left"/>
        <w:rPr>
          <w:i/>
          <w:sz w:val="28"/>
        </w:rPr>
      </w:pPr>
      <w:r>
        <w:rPr>
          <w:i/>
          <w:sz w:val="28"/>
        </w:rPr>
        <w:t>725 Twelfth Street, N.W. </w:t>
      </w:r>
      <w:r>
        <w:rPr>
          <w:i/>
          <w:sz w:val="28"/>
        </w:rPr>
        <w:t>Washington, DC 20005</w:t>
      </w:r>
    </w:p>
    <w:p>
      <w:pPr>
        <w:spacing w:before="1"/>
        <w:ind w:left="5340" w:right="0" w:firstLine="0"/>
        <w:jc w:val="left"/>
        <w:rPr>
          <w:i/>
          <w:sz w:val="28"/>
        </w:rPr>
      </w:pPr>
      <w:r>
        <w:rPr>
          <w:i/>
          <w:sz w:val="28"/>
        </w:rPr>
        <w:t>(202) 434-5000</w:t>
      </w:r>
    </w:p>
    <w:p>
      <w:pPr>
        <w:pStyle w:val="BodyText"/>
        <w:spacing w:before="3"/>
        <w:rPr>
          <w:i/>
          <w:sz w:val="20"/>
        </w:rPr>
      </w:pPr>
    </w:p>
    <w:p>
      <w:pPr>
        <w:pStyle w:val="BodyText"/>
        <w:spacing w:before="89"/>
        <w:ind w:left="120"/>
      </w:pPr>
      <w:r>
        <w:rPr/>
        <w:t>September 22, 2014</w:t>
      </w:r>
    </w:p>
    <w:p>
      <w:pPr>
        <w:spacing w:after="0"/>
        <w:sectPr>
          <w:footerReference w:type="default" r:id="rId8"/>
          <w:pgSz w:w="12240" w:h="15840"/>
          <w:pgMar w:footer="0" w:header="0" w:top="200" w:bottom="280" w:left="1320" w:right="1320"/>
        </w:sectPr>
      </w:pPr>
    </w:p>
    <w:p>
      <w:pPr>
        <w:tabs>
          <w:tab w:pos="2454" w:val="left" w:leader="none"/>
          <w:tab w:pos="4492" w:val="left" w:leader="none"/>
          <w:tab w:pos="5849" w:val="left" w:leader="none"/>
          <w:tab w:pos="7449" w:val="left" w:leader="none"/>
          <w:tab w:pos="8781" w:val="left" w:leader="none"/>
        </w:tabs>
        <w:spacing w:before="75"/>
        <w:ind w:left="548" w:right="0" w:firstLine="0"/>
        <w:jc w:val="left"/>
        <w:rPr>
          <w:rFonts w:ascii="Arial"/>
          <w:sz w:val="24"/>
        </w:rPr>
      </w:pPr>
      <w:r>
        <w:rPr>
          <w:rFonts w:ascii="Arial"/>
          <w:color w:val="FF3232"/>
          <w:sz w:val="24"/>
        </w:rPr>
        <w:t>Case:</w:t>
      </w:r>
      <w:r>
        <w:rPr>
          <w:rFonts w:ascii="Arial"/>
          <w:color w:val="FF3232"/>
          <w:spacing w:val="-5"/>
          <w:sz w:val="24"/>
        </w:rPr>
        <w:t> </w:t>
      </w:r>
      <w:r>
        <w:rPr>
          <w:rFonts w:ascii="Arial"/>
          <w:color w:val="FF3232"/>
          <w:sz w:val="24"/>
        </w:rPr>
        <w:t>14-2902</w:t>
        <w:tab/>
        <w:t>Document:</w:t>
      </w:r>
      <w:r>
        <w:rPr>
          <w:rFonts w:ascii="Arial"/>
          <w:color w:val="FF3232"/>
          <w:spacing w:val="-4"/>
          <w:sz w:val="24"/>
        </w:rPr>
        <w:t> </w:t>
      </w:r>
      <w:r>
        <w:rPr>
          <w:rFonts w:ascii="Arial"/>
          <w:color w:val="FF3232"/>
          <w:sz w:val="24"/>
        </w:rPr>
        <w:t>37-1</w:t>
        <w:tab/>
        <w:t>Page:</w:t>
      </w:r>
      <w:r>
        <w:rPr>
          <w:rFonts w:ascii="Arial"/>
          <w:color w:val="FF3232"/>
          <w:spacing w:val="-3"/>
          <w:sz w:val="24"/>
        </w:rPr>
        <w:t> </w:t>
      </w:r>
      <w:r>
        <w:rPr>
          <w:rFonts w:ascii="Arial"/>
          <w:color w:val="FF3232"/>
          <w:sz w:val="24"/>
        </w:rPr>
        <w:t>14</w:t>
        <w:tab/>
        <w:t>09/22/2014</w:t>
        <w:tab/>
        <w:t>1325730</w:t>
        <w:tab/>
        <w:t>14</w:t>
      </w:r>
    </w:p>
    <w:p>
      <w:pPr>
        <w:pStyle w:val="BodyText"/>
        <w:rPr>
          <w:rFonts w:ascii="Arial"/>
          <w:sz w:val="20"/>
        </w:rPr>
      </w:pPr>
    </w:p>
    <w:p>
      <w:pPr>
        <w:pStyle w:val="BodyText"/>
        <w:rPr>
          <w:rFonts w:ascii="Arial"/>
          <w:sz w:val="20"/>
        </w:rPr>
      </w:pPr>
    </w:p>
    <w:p>
      <w:pPr>
        <w:pStyle w:val="BodyText"/>
        <w:spacing w:before="4"/>
        <w:rPr>
          <w:rFonts w:ascii="Arial"/>
          <w:sz w:val="29"/>
        </w:rPr>
      </w:pPr>
    </w:p>
    <w:p>
      <w:pPr>
        <w:pStyle w:val="Heading1"/>
        <w:ind w:left="2940"/>
      </w:pPr>
      <w:r>
        <w:rPr/>
        <w:t>CERTIFICATE OF SERVICE</w:t>
      </w:r>
    </w:p>
    <w:p>
      <w:pPr>
        <w:pStyle w:val="BodyText"/>
        <w:spacing w:before="6"/>
        <w:rPr>
          <w:b/>
          <w:sz w:val="27"/>
        </w:rPr>
      </w:pPr>
    </w:p>
    <w:p>
      <w:pPr>
        <w:pStyle w:val="BodyText"/>
        <w:spacing w:line="480" w:lineRule="auto"/>
        <w:ind w:left="120" w:right="113" w:firstLine="719"/>
        <w:jc w:val="both"/>
      </w:pPr>
      <w:r>
        <w:rPr/>
        <w:t>I, Kannon K. Shanmugam, counsel for defendant-appellant Jesse C. Litvak and a member of the Bar of this Court, certify that, on September 22, 2014, a copy of the attached Reply in Support of Motion for Release Pending Appeal was filed electronically through the appellate CM/ECF system with the Clerk of the Court. I further certify that all parties required to be served have been served.</w:t>
      </w:r>
    </w:p>
    <w:p>
      <w:pPr>
        <w:pStyle w:val="BodyText"/>
        <w:spacing w:before="1"/>
      </w:pPr>
    </w:p>
    <w:p>
      <w:pPr>
        <w:spacing w:before="0"/>
        <w:ind w:left="5160" w:right="1386" w:firstLine="0"/>
        <w:jc w:val="left"/>
        <w:rPr>
          <w:sz w:val="22"/>
        </w:rPr>
      </w:pPr>
      <w:r>
        <w:rPr>
          <w:sz w:val="28"/>
          <w:u w:val="single"/>
        </w:rPr>
        <w:t>/s/ Kannon K. Shanmugam</w:t>
      </w:r>
      <w:r>
        <w:rPr>
          <w:sz w:val="28"/>
        </w:rPr>
        <w:t> K</w:t>
      </w:r>
      <w:r>
        <w:rPr>
          <w:sz w:val="22"/>
        </w:rPr>
        <w:t>ANNON </w:t>
      </w:r>
      <w:r>
        <w:rPr>
          <w:sz w:val="28"/>
        </w:rPr>
        <w:t>K. S</w:t>
      </w:r>
      <w:r>
        <w:rPr>
          <w:sz w:val="22"/>
        </w:rPr>
        <w:t>HANMUGAM</w:t>
      </w:r>
    </w:p>
    <w:sectPr>
      <w:footerReference w:type="default" r:id="rId9"/>
      <w:pgSz w:w="12240" w:h="15840"/>
      <w:pgMar w:footer="0" w:header="0" w:top="200" w:bottom="2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Georgia">
    <w:altName w:val="Georgia"/>
    <w:charset w:val="0"/>
    <w:family w:val="roman"/>
    <w:pitch w:val="variable"/>
  </w:font>
  <w:font w:name="Century">
    <w:altName w:val="Century"/>
    <w:charset w:val="0"/>
    <w:family w:val="roman"/>
    <w:pitch w:val="variable"/>
  </w:font>
  <w:font w:name="Arial">
    <w:altName w:val="Arial"/>
    <w:charset w:val="0"/>
    <w:family w:val="swiss"/>
    <w:pitch w:val="variable"/>
  </w:font>
  <w:font w:name="Arial Narrow">
    <w:altName w:val="Arial Narrow"/>
    <w:charset w:val="0"/>
    <w:family w:val="swiss"/>
    <w:pitch w:val="variable"/>
  </w:font>
  <w:font w:name="Bookman Old Style">
    <w:altName w:val="Bookman Old Styl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8.399994pt;margin-top:739.128784pt;width:15.35pt;height:17.55pt;mso-position-horizontal-relative:page;mso-position-vertical-relative:page;z-index:-8368" type="#_x0000_t202" filled="false" stroked="false">
          <v:textbox inset="0,0,0,0">
            <w:txbxContent>
              <w:p>
                <w:pPr>
                  <w:pStyle w:val="BodyText"/>
                  <w:spacing w:before="9"/>
                  <w:ind w:left="20"/>
                </w:pPr>
                <w:r>
                  <w:rPr/>
                  <w:t>(i)</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6.839996pt;margin-top:739.128784pt;width:18.45pt;height:17.55pt;mso-position-horizontal-relative:page;mso-position-vertical-relative:page;z-index:-8344" type="#_x0000_t202" filled="false" stroked="false">
          <v:textbox inset="0,0,0,0">
            <w:txbxContent>
              <w:p>
                <w:pPr>
                  <w:pStyle w:val="BodyText"/>
                  <w:spacing w:before="9"/>
                  <w:ind w:left="20"/>
                </w:pPr>
                <w:r>
                  <w:rPr/>
                  <w:t>(1)</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6.920013pt;margin-top:739.128784pt;width:18.2pt;height:17.55pt;mso-position-horizontal-relative:page;mso-position-vertical-relative:page;z-index:-8320" type="#_x0000_t202" filled="false" stroked="false">
          <v:textbox inset="0,0,0,0">
            <w:txbxContent>
              <w:p>
                <w:pPr>
                  <w:pStyle w:val="BodyText"/>
                  <w:spacing w:before="9"/>
                  <w:ind w:left="40"/>
                </w:pPr>
                <w:r>
                  <w:rPr/>
                  <w:fldChar w:fldCharType="begin"/>
                </w:r>
                <w:r>
                  <w:rPr/>
                  <w:instrText> PAGE </w:instrText>
                </w:r>
                <w:r>
                  <w:rPr/>
                  <w:fldChar w:fldCharType="separate"/>
                </w:r>
                <w:r>
                  <w:rPr/>
                  <w:t>10</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upperLetter"/>
      <w:lvlText w:val="%1."/>
      <w:lvlJc w:val="left"/>
      <w:pPr>
        <w:ind w:left="1559" w:hanging="720"/>
        <w:jc w:val="left"/>
      </w:pPr>
      <w:rPr>
        <w:rFonts w:hint="default" w:ascii="Times New Roman" w:hAnsi="Times New Roman" w:eastAsia="Times New Roman" w:cs="Times New Roman"/>
        <w:b/>
        <w:bCs/>
        <w:color w:val="010000"/>
        <w:spacing w:val="-2"/>
        <w:w w:val="100"/>
        <w:sz w:val="28"/>
        <w:szCs w:val="28"/>
      </w:rPr>
    </w:lvl>
    <w:lvl w:ilvl="1">
      <w:start w:val="0"/>
      <w:numFmt w:val="bullet"/>
      <w:lvlText w:val="•"/>
      <w:lvlJc w:val="left"/>
      <w:pPr>
        <w:ind w:left="2364" w:hanging="720"/>
      </w:pPr>
      <w:rPr>
        <w:rFonts w:hint="default"/>
      </w:rPr>
    </w:lvl>
    <w:lvl w:ilvl="2">
      <w:start w:val="0"/>
      <w:numFmt w:val="bullet"/>
      <w:lvlText w:val="•"/>
      <w:lvlJc w:val="left"/>
      <w:pPr>
        <w:ind w:left="3168" w:hanging="720"/>
      </w:pPr>
      <w:rPr>
        <w:rFonts w:hint="default"/>
      </w:rPr>
    </w:lvl>
    <w:lvl w:ilvl="3">
      <w:start w:val="0"/>
      <w:numFmt w:val="bullet"/>
      <w:lvlText w:val="•"/>
      <w:lvlJc w:val="left"/>
      <w:pPr>
        <w:ind w:left="3972" w:hanging="720"/>
      </w:pPr>
      <w:rPr>
        <w:rFonts w:hint="default"/>
      </w:rPr>
    </w:lvl>
    <w:lvl w:ilvl="4">
      <w:start w:val="0"/>
      <w:numFmt w:val="bullet"/>
      <w:lvlText w:val="•"/>
      <w:lvlJc w:val="left"/>
      <w:pPr>
        <w:ind w:left="4776" w:hanging="720"/>
      </w:pPr>
      <w:rPr>
        <w:rFonts w:hint="default"/>
      </w:rPr>
    </w:lvl>
    <w:lvl w:ilvl="5">
      <w:start w:val="0"/>
      <w:numFmt w:val="bullet"/>
      <w:lvlText w:val="•"/>
      <w:lvlJc w:val="left"/>
      <w:pPr>
        <w:ind w:left="5580" w:hanging="720"/>
      </w:pPr>
      <w:rPr>
        <w:rFonts w:hint="default"/>
      </w:rPr>
    </w:lvl>
    <w:lvl w:ilvl="6">
      <w:start w:val="0"/>
      <w:numFmt w:val="bullet"/>
      <w:lvlText w:val="•"/>
      <w:lvlJc w:val="left"/>
      <w:pPr>
        <w:ind w:left="6384" w:hanging="720"/>
      </w:pPr>
      <w:rPr>
        <w:rFonts w:hint="default"/>
      </w:rPr>
    </w:lvl>
    <w:lvl w:ilvl="7">
      <w:start w:val="0"/>
      <w:numFmt w:val="bullet"/>
      <w:lvlText w:val="•"/>
      <w:lvlJc w:val="left"/>
      <w:pPr>
        <w:ind w:left="7188" w:hanging="720"/>
      </w:pPr>
      <w:rPr>
        <w:rFonts w:hint="default"/>
      </w:rPr>
    </w:lvl>
    <w:lvl w:ilvl="8">
      <w:start w:val="0"/>
      <w:numFmt w:val="bullet"/>
      <w:lvlText w:val="•"/>
      <w:lvlJc w:val="left"/>
      <w:pPr>
        <w:ind w:left="7992" w:hanging="720"/>
      </w:pPr>
      <w:rPr>
        <w:rFonts w:hint="default"/>
      </w:rPr>
    </w:lvl>
  </w:abstractNum>
  <w:abstractNum w:abstractNumId="0">
    <w:multiLevelType w:val="hybridMultilevel"/>
    <w:lvl w:ilvl="0">
      <w:start w:val="1"/>
      <w:numFmt w:val="upperLetter"/>
      <w:lvlText w:val="%1."/>
      <w:lvlJc w:val="left"/>
      <w:pPr>
        <w:ind w:left="1560" w:hanging="720"/>
        <w:jc w:val="left"/>
      </w:pPr>
      <w:rPr>
        <w:rFonts w:hint="default" w:ascii="Times New Roman" w:hAnsi="Times New Roman" w:eastAsia="Times New Roman" w:cs="Times New Roman"/>
        <w:spacing w:val="-2"/>
        <w:w w:val="100"/>
        <w:sz w:val="28"/>
        <w:szCs w:val="28"/>
      </w:rPr>
    </w:lvl>
    <w:lvl w:ilvl="1">
      <w:start w:val="0"/>
      <w:numFmt w:val="bullet"/>
      <w:lvlText w:val="•"/>
      <w:lvlJc w:val="left"/>
      <w:pPr>
        <w:ind w:left="2364" w:hanging="720"/>
      </w:pPr>
      <w:rPr>
        <w:rFonts w:hint="default"/>
      </w:rPr>
    </w:lvl>
    <w:lvl w:ilvl="2">
      <w:start w:val="0"/>
      <w:numFmt w:val="bullet"/>
      <w:lvlText w:val="•"/>
      <w:lvlJc w:val="left"/>
      <w:pPr>
        <w:ind w:left="3168" w:hanging="720"/>
      </w:pPr>
      <w:rPr>
        <w:rFonts w:hint="default"/>
      </w:rPr>
    </w:lvl>
    <w:lvl w:ilvl="3">
      <w:start w:val="0"/>
      <w:numFmt w:val="bullet"/>
      <w:lvlText w:val="•"/>
      <w:lvlJc w:val="left"/>
      <w:pPr>
        <w:ind w:left="3972" w:hanging="720"/>
      </w:pPr>
      <w:rPr>
        <w:rFonts w:hint="default"/>
      </w:rPr>
    </w:lvl>
    <w:lvl w:ilvl="4">
      <w:start w:val="0"/>
      <w:numFmt w:val="bullet"/>
      <w:lvlText w:val="•"/>
      <w:lvlJc w:val="left"/>
      <w:pPr>
        <w:ind w:left="4776" w:hanging="720"/>
      </w:pPr>
      <w:rPr>
        <w:rFonts w:hint="default"/>
      </w:rPr>
    </w:lvl>
    <w:lvl w:ilvl="5">
      <w:start w:val="0"/>
      <w:numFmt w:val="bullet"/>
      <w:lvlText w:val="•"/>
      <w:lvlJc w:val="left"/>
      <w:pPr>
        <w:ind w:left="5580" w:hanging="720"/>
      </w:pPr>
      <w:rPr>
        <w:rFonts w:hint="default"/>
      </w:rPr>
    </w:lvl>
    <w:lvl w:ilvl="6">
      <w:start w:val="0"/>
      <w:numFmt w:val="bullet"/>
      <w:lvlText w:val="•"/>
      <w:lvlJc w:val="left"/>
      <w:pPr>
        <w:ind w:left="6384" w:hanging="720"/>
      </w:pPr>
      <w:rPr>
        <w:rFonts w:hint="default"/>
      </w:rPr>
    </w:lvl>
    <w:lvl w:ilvl="7">
      <w:start w:val="0"/>
      <w:numFmt w:val="bullet"/>
      <w:lvlText w:val="•"/>
      <w:lvlJc w:val="left"/>
      <w:pPr>
        <w:ind w:left="7188" w:hanging="720"/>
      </w:pPr>
      <w:rPr>
        <w:rFonts w:hint="default"/>
      </w:rPr>
    </w:lvl>
    <w:lvl w:ilvl="8">
      <w:start w:val="0"/>
      <w:numFmt w:val="bullet"/>
      <w:lvlText w:val="•"/>
      <w:lvlJc w:val="left"/>
      <w:pPr>
        <w:ind w:left="7992" w:hanging="72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TOC1" w:type="paragraph">
    <w:name w:val="TOC 1"/>
    <w:basedOn w:val="Normal"/>
    <w:uiPriority w:val="1"/>
    <w:qFormat/>
    <w:pPr>
      <w:spacing w:before="4"/>
      <w:ind w:left="119"/>
    </w:pPr>
    <w:rPr>
      <w:rFonts w:ascii="Times New Roman" w:hAnsi="Times New Roman" w:eastAsia="Times New Roman" w:cs="Times New Roman"/>
      <w:sz w:val="28"/>
      <w:szCs w:val="28"/>
    </w:rPr>
  </w:style>
  <w:style w:styleId="TOC2" w:type="paragraph">
    <w:name w:val="TOC 2"/>
    <w:basedOn w:val="Normal"/>
    <w:uiPriority w:val="1"/>
    <w:qFormat/>
    <w:pPr>
      <w:spacing w:before="122" w:line="322" w:lineRule="exact"/>
      <w:ind w:left="121"/>
    </w:pPr>
    <w:rPr>
      <w:rFonts w:ascii="Times New Roman" w:hAnsi="Times New Roman" w:eastAsia="Times New Roman" w:cs="Times New Roman"/>
      <w:i/>
      <w:sz w:val="28"/>
      <w:szCs w:val="28"/>
    </w:rPr>
  </w:style>
  <w:style w:styleId="TOC3" w:type="paragraph">
    <w:name w:val="TOC 3"/>
    <w:basedOn w:val="Normal"/>
    <w:uiPriority w:val="1"/>
    <w:qFormat/>
    <w:pPr>
      <w:spacing w:before="120"/>
      <w:ind w:left="121"/>
    </w:pPr>
    <w:rPr>
      <w:rFonts w:ascii="Times New Roman" w:hAnsi="Times New Roman" w:eastAsia="Times New Roman" w:cs="Times New Roman"/>
      <w:b/>
      <w:bCs/>
      <w:i/>
    </w:rPr>
  </w:style>
  <w:style w:styleId="TOC4" w:type="paragraph">
    <w:name w:val="TOC 4"/>
    <w:basedOn w:val="Normal"/>
    <w:uiPriority w:val="1"/>
    <w:qFormat/>
    <w:pPr>
      <w:spacing w:line="322" w:lineRule="exact"/>
      <w:ind w:left="409"/>
    </w:pPr>
    <w:rPr>
      <w:rFonts w:ascii="Times New Roman" w:hAnsi="Times New Roman" w:eastAsia="Times New Roman" w:cs="Times New Roman"/>
      <w:sz w:val="28"/>
      <w:szCs w:val="28"/>
    </w:rPr>
  </w:style>
  <w:style w:styleId="TOC5" w:type="paragraph">
    <w:name w:val="TOC 5"/>
    <w:basedOn w:val="Normal"/>
    <w:uiPriority w:val="1"/>
    <w:qFormat/>
    <w:pPr>
      <w:spacing w:before="120"/>
      <w:ind w:left="1560" w:hanging="720"/>
    </w:pPr>
    <w:rPr>
      <w:rFonts w:ascii="Times New Roman" w:hAnsi="Times New Roman" w:eastAsia="Times New Roman" w:cs="Times New Roman"/>
      <w:sz w:val="28"/>
      <w:szCs w:val="28"/>
    </w:rPr>
  </w:style>
  <w:style w:styleId="TOC6" w:type="paragraph">
    <w:name w:val="TOC 6"/>
    <w:basedOn w:val="Normal"/>
    <w:uiPriority w:val="1"/>
    <w:qFormat/>
    <w:pPr>
      <w:spacing w:before="314"/>
      <w:ind w:left="2894" w:right="2890"/>
      <w:jc w:val="center"/>
    </w:pPr>
    <w:rPr>
      <w:rFonts w:ascii="Times New Roman" w:hAnsi="Times New Roman" w:eastAsia="Times New Roman" w:cs="Times New Roman"/>
      <w:b/>
      <w:bCs/>
      <w:sz w:val="28"/>
      <w:szCs w:val="28"/>
    </w:rPr>
  </w:style>
  <w:style w:styleId="TOC7" w:type="paragraph">
    <w:name w:val="TOC 7"/>
    <w:basedOn w:val="Normal"/>
    <w:uiPriority w:val="1"/>
    <w:qFormat/>
    <w:pPr>
      <w:spacing w:before="436"/>
      <w:ind w:left="119" w:right="116" w:firstLine="8815"/>
    </w:pPr>
    <w:rPr>
      <w:rFonts w:ascii="Times New Roman" w:hAnsi="Times New Roman" w:eastAsia="Times New Roman" w:cs="Times New Roman"/>
      <w:sz w:val="28"/>
      <w:szCs w:val="28"/>
    </w:rPr>
  </w:style>
  <w:style w:styleId="BodyText" w:type="paragraph">
    <w:name w:val="Body Text"/>
    <w:basedOn w:val="Normal"/>
    <w:uiPriority w:val="1"/>
    <w:qFormat/>
    <w:pPr/>
    <w:rPr>
      <w:rFonts w:ascii="Times New Roman" w:hAnsi="Times New Roman" w:eastAsia="Times New Roman" w:cs="Times New Roman"/>
      <w:sz w:val="28"/>
      <w:szCs w:val="28"/>
    </w:rPr>
  </w:style>
  <w:style w:styleId="Heading1" w:type="paragraph">
    <w:name w:val="Heading 1"/>
    <w:basedOn w:val="Normal"/>
    <w:uiPriority w:val="1"/>
    <w:qFormat/>
    <w:pPr>
      <w:spacing w:before="89"/>
      <w:ind w:left="1560"/>
      <w:outlineLvl w:val="1"/>
    </w:pPr>
    <w:rPr>
      <w:rFonts w:ascii="Times New Roman" w:hAnsi="Times New Roman" w:eastAsia="Times New Roman" w:cs="Times New Roman"/>
      <w:b/>
      <w:bCs/>
      <w:sz w:val="28"/>
      <w:szCs w:val="28"/>
    </w:rPr>
  </w:style>
  <w:style w:styleId="ListParagraph" w:type="paragraph">
    <w:name w:val="List Paragraph"/>
    <w:basedOn w:val="Normal"/>
    <w:uiPriority w:val="1"/>
    <w:qFormat/>
    <w:pPr>
      <w:spacing w:before="120"/>
      <w:ind w:left="1560" w:hanging="72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Shanmugam, Kannon</dc:creator>
  <dcterms:created xsi:type="dcterms:W3CDTF">2019-02-13T16:07:31Z</dcterms:created>
  <dcterms:modified xsi:type="dcterms:W3CDTF">2019-02-13T16:07:31Z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2014-09-22T00:00:00Z</vt:filetime>
  </property>
  <property fmtid="{D5CDD505-2E9C-101B-9397-08002B2CF9AE}" pid="3" name="Creator">
    <vt:lpwstr>Acrobat PDFMaker 10.1 for Word</vt:lpwstr>
  </property>
  <property fmtid="{D5CDD505-2E9C-101B-9397-08002B2CF9AE}" pid="4" name="LastSaved">
    <vt:filetime>2019-02-13T00:00:00Z</vt:filetime>
  </property>
</Properties>
</file>