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5"/>
        <w:rPr>
          <w:rFonts w:ascii="Times New Roman"/>
          <w:sz w:val="25"/>
        </w:rPr>
      </w:pPr>
    </w:p>
    <w:p>
      <w:pPr>
        <w:spacing w:before="107"/>
        <w:ind w:left="0" w:right="108" w:firstLine="0"/>
        <w:jc w:val="right"/>
        <w:rPr>
          <w:rFonts w:ascii="Minion Pro"/>
          <w:sz w:val="19"/>
        </w:rPr>
      </w:pPr>
      <w:r>
        <w:rPr/>
        <w:pict>
          <v:shapetype id="_x0000_t202" o:spt="202" coordsize="21600,21600" path="m,l,21600r21600,l21600,xe">
            <v:stroke joinstyle="miter"/>
            <v:path gradientshapeok="t" o:connecttype="rect"/>
          </v:shapetype>
          <v:shape style="position:absolute;margin-left:66.360001pt;margin-top:-15.557049pt;width:474.15pt;height:460.1pt;mso-position-horizontal-relative:page;mso-position-vertical-relative:paragraph;z-index:104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08"/>
                    <w:gridCol w:w="3960"/>
                  </w:tblGrid>
                  <w:tr>
                    <w:trPr>
                      <w:trHeight w:val="681" w:hRule="atLeast"/>
                    </w:trPr>
                    <w:tc>
                      <w:tcPr>
                        <w:tcW w:w="5508" w:type="dxa"/>
                      </w:tcPr>
                      <w:p>
                        <w:pPr>
                          <w:pStyle w:val="TableParagraph"/>
                          <w:spacing w:line="281" w:lineRule="exact" w:before="119"/>
                          <w:rPr>
                            <w:sz w:val="24"/>
                          </w:rPr>
                        </w:pPr>
                        <w:r>
                          <w:rPr>
                            <w:sz w:val="24"/>
                          </w:rPr>
                          <w:t>DISTRICT COURT, ADAMS COUNTY, COLORADO</w:t>
                        </w:r>
                      </w:p>
                      <w:p>
                        <w:pPr>
                          <w:pStyle w:val="TableParagraph"/>
                          <w:spacing w:line="260" w:lineRule="exact"/>
                          <w:rPr>
                            <w:sz w:val="24"/>
                          </w:rPr>
                        </w:pPr>
                        <w:r>
                          <w:rPr>
                            <w:sz w:val="24"/>
                          </w:rPr>
                          <w:t>1100 Judicial Center Drive, Brighton, CO 80601</w:t>
                        </w:r>
                      </w:p>
                    </w:tc>
                    <w:tc>
                      <w:tcPr>
                        <w:tcW w:w="3960" w:type="dxa"/>
                        <w:vMerge w:val="restart"/>
                        <w:tcBorders>
                          <w:bottom w:val="nil"/>
                        </w:tcBorders>
                      </w:tcPr>
                      <w:p>
                        <w:pPr>
                          <w:pStyle w:val="TableParagraph"/>
                          <w:spacing w:before="1"/>
                          <w:ind w:left="0"/>
                          <w:rPr>
                            <w:sz w:val="36"/>
                          </w:rPr>
                        </w:pPr>
                      </w:p>
                      <w:p>
                        <w:pPr>
                          <w:pStyle w:val="TableParagraph"/>
                          <w:spacing w:line="220" w:lineRule="auto"/>
                          <w:ind w:left="1236" w:right="-3"/>
                          <w:rPr>
                            <w:rFonts w:ascii="Minion Pro"/>
                            <w:sz w:val="19"/>
                          </w:rPr>
                        </w:pPr>
                        <w:r>
                          <w:rPr>
                            <w:rFonts w:ascii="Minion Pro"/>
                            <w:color w:val="0000FF"/>
                            <w:spacing w:val="-6"/>
                            <w:w w:val="105"/>
                            <w:sz w:val="19"/>
                          </w:rPr>
                          <w:t>DATE</w:t>
                        </w:r>
                        <w:r>
                          <w:rPr>
                            <w:rFonts w:ascii="Minion Pro"/>
                            <w:color w:val="0000FF"/>
                            <w:spacing w:val="-9"/>
                            <w:w w:val="105"/>
                            <w:sz w:val="19"/>
                          </w:rPr>
                          <w:t> </w:t>
                        </w:r>
                        <w:r>
                          <w:rPr>
                            <w:rFonts w:ascii="Minion Pro"/>
                            <w:color w:val="0000FF"/>
                            <w:w w:val="105"/>
                            <w:sz w:val="19"/>
                          </w:rPr>
                          <w:t>FILED:</w:t>
                        </w:r>
                        <w:r>
                          <w:rPr>
                            <w:rFonts w:ascii="Minion Pro"/>
                            <w:color w:val="0000FF"/>
                            <w:spacing w:val="-9"/>
                            <w:w w:val="105"/>
                            <w:sz w:val="19"/>
                          </w:rPr>
                          <w:t> </w:t>
                        </w:r>
                        <w:r>
                          <w:rPr>
                            <w:rFonts w:ascii="Minion Pro"/>
                            <w:color w:val="0000FF"/>
                            <w:w w:val="105"/>
                            <w:sz w:val="19"/>
                          </w:rPr>
                          <w:t>December</w:t>
                        </w:r>
                        <w:r>
                          <w:rPr>
                            <w:rFonts w:ascii="Minion Pro"/>
                            <w:color w:val="0000FF"/>
                            <w:spacing w:val="-9"/>
                            <w:w w:val="105"/>
                            <w:sz w:val="19"/>
                          </w:rPr>
                          <w:t> </w:t>
                        </w:r>
                        <w:r>
                          <w:rPr>
                            <w:rFonts w:ascii="Minion Pro"/>
                            <w:color w:val="0000FF"/>
                            <w:w w:val="105"/>
                            <w:sz w:val="19"/>
                          </w:rPr>
                          <w:t>1,</w:t>
                        </w:r>
                        <w:r>
                          <w:rPr>
                            <w:rFonts w:ascii="Minion Pro"/>
                            <w:color w:val="0000FF"/>
                            <w:spacing w:val="-8"/>
                            <w:w w:val="105"/>
                            <w:sz w:val="19"/>
                          </w:rPr>
                          <w:t> </w:t>
                        </w:r>
                        <w:r>
                          <w:rPr>
                            <w:rFonts w:ascii="Minion Pro"/>
                            <w:color w:val="0000FF"/>
                            <w:w w:val="105"/>
                            <w:sz w:val="19"/>
                          </w:rPr>
                          <w:t>2016</w:t>
                        </w:r>
                        <w:r>
                          <w:rPr>
                            <w:rFonts w:ascii="Minion Pro"/>
                            <w:color w:val="0000FF"/>
                            <w:spacing w:val="-9"/>
                            <w:w w:val="105"/>
                            <w:sz w:val="19"/>
                          </w:rPr>
                          <w:t> </w:t>
                        </w:r>
                        <w:r>
                          <w:rPr>
                            <w:rFonts w:ascii="Minion Pro"/>
                            <w:color w:val="0000FF"/>
                            <w:spacing w:val="-13"/>
                            <w:w w:val="105"/>
                            <w:sz w:val="19"/>
                          </w:rPr>
                          <w:t>4 </w:t>
                        </w:r>
                        <w:r>
                          <w:rPr>
                            <w:rFonts w:ascii="Minion Pro"/>
                            <w:color w:val="0000FF"/>
                            <w:w w:val="105"/>
                            <w:sz w:val="19"/>
                          </w:rPr>
                          <w:t>FILING ID: D831784CB8DF2 CASE NUMBER:</w:t>
                        </w:r>
                        <w:r>
                          <w:rPr>
                            <w:rFonts w:ascii="Minion Pro"/>
                            <w:color w:val="0000FF"/>
                            <w:spacing w:val="-19"/>
                            <w:w w:val="105"/>
                            <w:sz w:val="19"/>
                          </w:rPr>
                          <w:t> </w:t>
                        </w:r>
                        <w:r>
                          <w:rPr>
                            <w:rFonts w:ascii="Minion Pro"/>
                            <w:color w:val="0000FF"/>
                            <w:w w:val="105"/>
                            <w:sz w:val="19"/>
                          </w:rPr>
                          <w:t>2015CV31808</w:t>
                        </w:r>
                      </w:p>
                    </w:tc>
                  </w:tr>
                  <w:tr>
                    <w:trPr>
                      <w:trHeight w:val="1084" w:hRule="atLeast"/>
                    </w:trPr>
                    <w:tc>
                      <w:tcPr>
                        <w:tcW w:w="5508" w:type="dxa"/>
                        <w:tcBorders>
                          <w:bottom w:val="nil"/>
                        </w:tcBorders>
                      </w:tcPr>
                      <w:p>
                        <w:pPr>
                          <w:pStyle w:val="TableParagraph"/>
                          <w:spacing w:before="119"/>
                          <w:ind w:right="977"/>
                          <w:jc w:val="both"/>
                          <w:rPr>
                            <w:b/>
                            <w:sz w:val="24"/>
                          </w:rPr>
                        </w:pPr>
                        <w:r>
                          <w:rPr>
                            <w:b/>
                            <w:sz w:val="24"/>
                          </w:rPr>
                          <w:t>PLAINTIFF: AMERICAN FAMILY</w:t>
                        </w:r>
                        <w:r>
                          <w:rPr>
                            <w:b/>
                            <w:spacing w:val="-37"/>
                            <w:sz w:val="24"/>
                          </w:rPr>
                          <w:t> </w:t>
                        </w:r>
                        <w:r>
                          <w:rPr>
                            <w:b/>
                            <w:sz w:val="24"/>
                          </w:rPr>
                          <w:t>MUTUAL INSURANCE</w:t>
                        </w:r>
                        <w:r>
                          <w:rPr>
                            <w:b/>
                            <w:spacing w:val="-14"/>
                            <w:sz w:val="24"/>
                          </w:rPr>
                          <w:t> </w:t>
                        </w:r>
                        <w:r>
                          <w:rPr>
                            <w:b/>
                            <w:sz w:val="24"/>
                          </w:rPr>
                          <w:t>COMPANY,</w:t>
                        </w:r>
                        <w:r>
                          <w:rPr>
                            <w:b/>
                            <w:spacing w:val="-14"/>
                            <w:sz w:val="24"/>
                          </w:rPr>
                          <w:t> </w:t>
                        </w:r>
                        <w:r>
                          <w:rPr>
                            <w:b/>
                            <w:sz w:val="24"/>
                          </w:rPr>
                          <w:t>AS</w:t>
                        </w:r>
                        <w:r>
                          <w:rPr>
                            <w:b/>
                            <w:spacing w:val="-13"/>
                            <w:sz w:val="24"/>
                          </w:rPr>
                          <w:t> </w:t>
                        </w:r>
                        <w:r>
                          <w:rPr>
                            <w:b/>
                            <w:sz w:val="24"/>
                          </w:rPr>
                          <w:t>SUBROGEE</w:t>
                        </w:r>
                        <w:r>
                          <w:rPr>
                            <w:b/>
                            <w:spacing w:val="-13"/>
                            <w:sz w:val="24"/>
                          </w:rPr>
                          <w:t> </w:t>
                        </w:r>
                        <w:r>
                          <w:rPr>
                            <w:b/>
                            <w:sz w:val="24"/>
                          </w:rPr>
                          <w:t>OF KATHRYN</w:t>
                        </w:r>
                        <w:r>
                          <w:rPr>
                            <w:b/>
                            <w:spacing w:val="-11"/>
                            <w:sz w:val="24"/>
                          </w:rPr>
                          <w:t> </w:t>
                        </w:r>
                        <w:r>
                          <w:rPr>
                            <w:b/>
                            <w:sz w:val="24"/>
                          </w:rPr>
                          <w:t>WINDT</w:t>
                        </w:r>
                      </w:p>
                    </w:tc>
                    <w:tc>
                      <w:tcPr>
                        <w:tcW w:w="3960" w:type="dxa"/>
                        <w:vMerge/>
                        <w:tcBorders>
                          <w:top w:val="nil"/>
                          <w:bottom w:val="nil"/>
                        </w:tcBorders>
                      </w:tcPr>
                      <w:p>
                        <w:pPr>
                          <w:rPr>
                            <w:sz w:val="2"/>
                            <w:szCs w:val="2"/>
                          </w:rPr>
                        </w:pPr>
                      </w:p>
                    </w:tc>
                  </w:tr>
                  <w:tr>
                    <w:trPr>
                      <w:trHeight w:val="520" w:hRule="atLeast"/>
                    </w:trPr>
                    <w:tc>
                      <w:tcPr>
                        <w:tcW w:w="5508" w:type="dxa"/>
                        <w:tcBorders>
                          <w:top w:val="nil"/>
                          <w:bottom w:val="nil"/>
                        </w:tcBorders>
                      </w:tcPr>
                      <w:p>
                        <w:pPr>
                          <w:pStyle w:val="TableParagraph"/>
                          <w:spacing w:before="119"/>
                          <w:rPr>
                            <w:b/>
                            <w:sz w:val="24"/>
                          </w:rPr>
                        </w:pPr>
                        <w:r>
                          <w:rPr>
                            <w:b/>
                            <w:sz w:val="24"/>
                          </w:rPr>
                          <w:t>V.</w:t>
                        </w:r>
                      </w:p>
                    </w:tc>
                    <w:tc>
                      <w:tcPr>
                        <w:tcW w:w="3960" w:type="dxa"/>
                        <w:tcBorders>
                          <w:top w:val="nil"/>
                          <w:bottom w:val="nil"/>
                        </w:tcBorders>
                      </w:tcPr>
                      <w:p>
                        <w:pPr>
                          <w:pStyle w:val="TableParagraph"/>
                          <w:ind w:left="0"/>
                          <w:rPr>
                            <w:rFonts w:ascii="Times New Roman"/>
                            <w:sz w:val="22"/>
                          </w:rPr>
                        </w:pPr>
                      </w:p>
                    </w:tc>
                  </w:tr>
                  <w:tr>
                    <w:trPr>
                      <w:trHeight w:val="802" w:hRule="atLeast"/>
                    </w:trPr>
                    <w:tc>
                      <w:tcPr>
                        <w:tcW w:w="5508" w:type="dxa"/>
                        <w:tcBorders>
                          <w:top w:val="nil"/>
                          <w:bottom w:val="nil"/>
                        </w:tcBorders>
                      </w:tcPr>
                      <w:p>
                        <w:pPr>
                          <w:pStyle w:val="TableParagraph"/>
                          <w:spacing w:before="119"/>
                          <w:ind w:right="433"/>
                          <w:rPr>
                            <w:b/>
                            <w:sz w:val="24"/>
                          </w:rPr>
                        </w:pPr>
                        <w:r>
                          <w:rPr>
                            <w:b/>
                            <w:sz w:val="24"/>
                          </w:rPr>
                          <w:t>DEFENDANTS: JVONNE BECERRIL &amp; AURELIO MEZA-CUEVAS</w:t>
                        </w:r>
                      </w:p>
                    </w:tc>
                    <w:tc>
                      <w:tcPr>
                        <w:tcW w:w="3960" w:type="dxa"/>
                        <w:tcBorders>
                          <w:top w:val="nil"/>
                          <w:bottom w:val="nil"/>
                        </w:tcBorders>
                      </w:tcPr>
                      <w:p>
                        <w:pPr>
                          <w:pStyle w:val="TableParagraph"/>
                          <w:numPr>
                            <w:ilvl w:val="0"/>
                            <w:numId w:val="1"/>
                          </w:numPr>
                          <w:tabs>
                            <w:tab w:pos="1084" w:val="left" w:leader="none"/>
                            <w:tab w:pos="1085" w:val="left" w:leader="none"/>
                          </w:tabs>
                          <w:spacing w:line="240" w:lineRule="auto" w:before="235" w:after="0"/>
                          <w:ind w:left="1084" w:right="0" w:hanging="321"/>
                          <w:jc w:val="left"/>
                          <w:rPr>
                            <w:rFonts w:ascii="Wingdings" w:hAnsi="Wingdings"/>
                            <w:sz w:val="24"/>
                          </w:rPr>
                        </w:pPr>
                        <w:r>
                          <w:rPr>
                            <w:sz w:val="24"/>
                          </w:rPr>
                          <w:t>COURT USE ONLY</w:t>
                        </w:r>
                        <w:r>
                          <w:rPr>
                            <w:spacing w:val="50"/>
                            <w:sz w:val="24"/>
                          </w:rPr>
                          <w:t> </w:t>
                        </w:r>
                        <w:r>
                          <w:rPr>
                            <w:rFonts w:ascii="Wingdings" w:hAnsi="Wingdings"/>
                            <w:sz w:val="24"/>
                          </w:rPr>
                          <w:t></w:t>
                        </w:r>
                      </w:p>
                    </w:tc>
                  </w:tr>
                  <w:tr>
                    <w:trPr>
                      <w:trHeight w:val="521" w:hRule="atLeast"/>
                    </w:trPr>
                    <w:tc>
                      <w:tcPr>
                        <w:tcW w:w="5508" w:type="dxa"/>
                        <w:tcBorders>
                          <w:top w:val="nil"/>
                          <w:bottom w:val="nil"/>
                        </w:tcBorders>
                      </w:tcPr>
                      <w:p>
                        <w:pPr>
                          <w:pStyle w:val="TableParagraph"/>
                          <w:spacing w:before="121"/>
                          <w:rPr>
                            <w:b/>
                            <w:sz w:val="24"/>
                          </w:rPr>
                        </w:pPr>
                        <w:r>
                          <w:rPr>
                            <w:b/>
                            <w:sz w:val="24"/>
                          </w:rPr>
                          <w:t>&amp;</w:t>
                        </w:r>
                      </w:p>
                    </w:tc>
                    <w:tc>
                      <w:tcPr>
                        <w:tcW w:w="3960" w:type="dxa"/>
                        <w:tcBorders>
                          <w:top w:val="nil"/>
                          <w:bottom w:val="nil"/>
                        </w:tcBorders>
                      </w:tcPr>
                      <w:p>
                        <w:pPr>
                          <w:pStyle w:val="TableParagraph"/>
                          <w:ind w:left="0"/>
                          <w:rPr>
                            <w:rFonts w:ascii="Times New Roman"/>
                            <w:sz w:val="22"/>
                          </w:rPr>
                        </w:pPr>
                      </w:p>
                    </w:tc>
                  </w:tr>
                  <w:tr>
                    <w:trPr>
                      <w:trHeight w:val="801" w:hRule="atLeast"/>
                    </w:trPr>
                    <w:tc>
                      <w:tcPr>
                        <w:tcW w:w="5508" w:type="dxa"/>
                        <w:tcBorders>
                          <w:top w:val="nil"/>
                          <w:bottom w:val="nil"/>
                        </w:tcBorders>
                      </w:tcPr>
                      <w:p>
                        <w:pPr>
                          <w:pStyle w:val="TableParagraph"/>
                          <w:spacing w:before="119"/>
                          <w:rPr>
                            <w:b/>
                            <w:sz w:val="24"/>
                          </w:rPr>
                        </w:pPr>
                        <w:r>
                          <w:rPr>
                            <w:b/>
                            <w:sz w:val="24"/>
                          </w:rPr>
                          <w:t>DEFENDANTS:/THIRD PARTY PLAINTIFFS: IVONNE BECERRIL &amp; AURELIO MEZA-CUEVAS</w:t>
                        </w:r>
                      </w:p>
                    </w:tc>
                    <w:tc>
                      <w:tcPr>
                        <w:tcW w:w="3960" w:type="dxa"/>
                        <w:tcBorders>
                          <w:top w:val="nil"/>
                          <w:bottom w:val="nil"/>
                        </w:tcBorders>
                      </w:tcPr>
                      <w:p>
                        <w:pPr>
                          <w:pStyle w:val="TableParagraph"/>
                          <w:ind w:left="0"/>
                          <w:rPr>
                            <w:rFonts w:ascii="Times New Roman"/>
                            <w:sz w:val="22"/>
                          </w:rPr>
                        </w:pPr>
                      </w:p>
                    </w:tc>
                  </w:tr>
                  <w:tr>
                    <w:trPr>
                      <w:trHeight w:val="521" w:hRule="atLeast"/>
                    </w:trPr>
                    <w:tc>
                      <w:tcPr>
                        <w:tcW w:w="5508" w:type="dxa"/>
                        <w:tcBorders>
                          <w:top w:val="nil"/>
                          <w:bottom w:val="nil"/>
                        </w:tcBorders>
                      </w:tcPr>
                      <w:p>
                        <w:pPr>
                          <w:pStyle w:val="TableParagraph"/>
                          <w:spacing w:before="119"/>
                          <w:rPr>
                            <w:b/>
                            <w:sz w:val="24"/>
                          </w:rPr>
                        </w:pPr>
                        <w:r>
                          <w:rPr>
                            <w:b/>
                            <w:sz w:val="24"/>
                          </w:rPr>
                          <w:t>V.</w:t>
                        </w:r>
                      </w:p>
                    </w:tc>
                    <w:tc>
                      <w:tcPr>
                        <w:tcW w:w="3960" w:type="dxa"/>
                        <w:tcBorders>
                          <w:top w:val="nil"/>
                          <w:bottom w:val="nil"/>
                        </w:tcBorders>
                      </w:tcPr>
                      <w:p>
                        <w:pPr>
                          <w:pStyle w:val="TableParagraph"/>
                          <w:ind w:left="0"/>
                          <w:rPr>
                            <w:rFonts w:ascii="Times New Roman"/>
                            <w:sz w:val="22"/>
                          </w:rPr>
                        </w:pPr>
                      </w:p>
                    </w:tc>
                  </w:tr>
                  <w:tr>
                    <w:trPr>
                      <w:trHeight w:val="1203" w:hRule="atLeast"/>
                    </w:trPr>
                    <w:tc>
                      <w:tcPr>
                        <w:tcW w:w="5508" w:type="dxa"/>
                        <w:tcBorders>
                          <w:top w:val="nil"/>
                        </w:tcBorders>
                      </w:tcPr>
                      <w:p>
                        <w:pPr>
                          <w:pStyle w:val="TableParagraph"/>
                          <w:spacing w:before="121"/>
                          <w:ind w:right="365"/>
                          <w:rPr>
                            <w:b/>
                            <w:sz w:val="24"/>
                          </w:rPr>
                        </w:pPr>
                        <w:r>
                          <w:rPr>
                            <w:b/>
                            <w:sz w:val="24"/>
                          </w:rPr>
                          <w:t>THIRD PARTY DEFENDANT/COUNTERCLAIMANT: KATHRYN WINDT</w:t>
                        </w:r>
                      </w:p>
                    </w:tc>
                    <w:tc>
                      <w:tcPr>
                        <w:tcW w:w="3960" w:type="dxa"/>
                        <w:tcBorders>
                          <w:top w:val="nil"/>
                        </w:tcBorders>
                      </w:tcPr>
                      <w:p>
                        <w:pPr>
                          <w:pStyle w:val="TableParagraph"/>
                          <w:ind w:left="0"/>
                          <w:rPr>
                            <w:rFonts w:ascii="Times New Roman"/>
                            <w:sz w:val="22"/>
                          </w:rPr>
                        </w:pPr>
                      </w:p>
                    </w:tc>
                  </w:tr>
                  <w:tr>
                    <w:trPr>
                      <w:trHeight w:val="2209" w:hRule="atLeast"/>
                    </w:trPr>
                    <w:tc>
                      <w:tcPr>
                        <w:tcW w:w="5508" w:type="dxa"/>
                      </w:tcPr>
                      <w:p>
                        <w:pPr>
                          <w:pStyle w:val="TableParagraph"/>
                          <w:tabs>
                            <w:tab w:pos="1547" w:val="left" w:leader="none"/>
                          </w:tabs>
                          <w:spacing w:line="281" w:lineRule="exact" w:before="122"/>
                          <w:rPr>
                            <w:b/>
                            <w:sz w:val="24"/>
                          </w:rPr>
                        </w:pPr>
                        <w:r>
                          <w:rPr>
                            <w:sz w:val="24"/>
                          </w:rPr>
                          <w:t>Name:</w:t>
                          <w:tab/>
                        </w:r>
                        <w:r>
                          <w:rPr>
                            <w:b/>
                            <w:sz w:val="24"/>
                          </w:rPr>
                          <w:t>C</w:t>
                        </w:r>
                        <w:r>
                          <w:rPr>
                            <w:b/>
                            <w:sz w:val="19"/>
                          </w:rPr>
                          <w:t>OOK </w:t>
                        </w:r>
                        <w:r>
                          <w:rPr>
                            <w:b/>
                            <w:sz w:val="24"/>
                          </w:rPr>
                          <w:t>&amp; P</w:t>
                        </w:r>
                        <w:r>
                          <w:rPr>
                            <w:b/>
                            <w:sz w:val="19"/>
                          </w:rPr>
                          <w:t>AGANO</w:t>
                        </w:r>
                        <w:r>
                          <w:rPr>
                            <w:b/>
                            <w:sz w:val="24"/>
                          </w:rPr>
                          <w:t>,</w:t>
                        </w:r>
                        <w:r>
                          <w:rPr>
                            <w:b/>
                            <w:spacing w:val="-23"/>
                            <w:sz w:val="24"/>
                          </w:rPr>
                          <w:t> </w:t>
                        </w:r>
                        <w:r>
                          <w:rPr>
                            <w:b/>
                            <w:sz w:val="24"/>
                          </w:rPr>
                          <w:t>P.C.</w:t>
                        </w:r>
                      </w:p>
                      <w:p>
                        <w:pPr>
                          <w:pStyle w:val="TableParagraph"/>
                          <w:tabs>
                            <w:tab w:pos="1547" w:val="left" w:leader="none"/>
                          </w:tabs>
                          <w:ind w:left="1547" w:right="162" w:hanging="1440"/>
                          <w:rPr>
                            <w:sz w:val="24"/>
                          </w:rPr>
                        </w:pPr>
                        <w:r>
                          <w:rPr>
                            <w:sz w:val="24"/>
                          </w:rPr>
                          <w:t>Address:</w:t>
                          <w:tab/>
                          <w:t>2590 Trailridge Drive East, Suite</w:t>
                        </w:r>
                        <w:r>
                          <w:rPr>
                            <w:spacing w:val="-14"/>
                            <w:sz w:val="24"/>
                          </w:rPr>
                          <w:t> </w:t>
                        </w:r>
                        <w:r>
                          <w:rPr>
                            <w:sz w:val="24"/>
                          </w:rPr>
                          <w:t>202 Lafayette, Colorado</w:t>
                        </w:r>
                        <w:r>
                          <w:rPr>
                            <w:spacing w:val="51"/>
                            <w:sz w:val="24"/>
                          </w:rPr>
                          <w:t> </w:t>
                        </w:r>
                        <w:r>
                          <w:rPr>
                            <w:sz w:val="24"/>
                          </w:rPr>
                          <w:t>80026</w:t>
                        </w:r>
                      </w:p>
                      <w:p>
                        <w:pPr>
                          <w:pStyle w:val="TableParagraph"/>
                          <w:tabs>
                            <w:tab w:pos="1547" w:val="left" w:leader="none"/>
                          </w:tabs>
                          <w:spacing w:line="280" w:lineRule="exact"/>
                          <w:rPr>
                            <w:sz w:val="24"/>
                          </w:rPr>
                        </w:pPr>
                        <w:r>
                          <w:rPr>
                            <w:sz w:val="24"/>
                          </w:rPr>
                          <w:t>Telephone:</w:t>
                          <w:tab/>
                          <w:t>303-543-1000</w:t>
                        </w:r>
                      </w:p>
                      <w:p>
                        <w:pPr>
                          <w:pStyle w:val="TableParagraph"/>
                          <w:tabs>
                            <w:tab w:pos="1547" w:val="left" w:leader="none"/>
                          </w:tabs>
                          <w:spacing w:line="281" w:lineRule="exact"/>
                          <w:rPr>
                            <w:sz w:val="24"/>
                          </w:rPr>
                        </w:pPr>
                        <w:r>
                          <w:rPr>
                            <w:sz w:val="24"/>
                          </w:rPr>
                          <w:t>Facsimile:</w:t>
                          <w:tab/>
                          <w:t>303-543-8582</w:t>
                        </w:r>
                      </w:p>
                      <w:p>
                        <w:pPr>
                          <w:pStyle w:val="TableParagraph"/>
                          <w:tabs>
                            <w:tab w:pos="1547" w:val="left" w:leader="none"/>
                          </w:tabs>
                          <w:spacing w:line="281" w:lineRule="exact" w:before="1"/>
                          <w:rPr>
                            <w:sz w:val="24"/>
                          </w:rPr>
                        </w:pPr>
                        <w:r>
                          <w:rPr>
                            <w:sz w:val="24"/>
                          </w:rPr>
                          <w:t>Atty.</w:t>
                        </w:r>
                        <w:r>
                          <w:rPr>
                            <w:spacing w:val="-1"/>
                            <w:sz w:val="24"/>
                          </w:rPr>
                          <w:t> </w:t>
                        </w:r>
                        <w:r>
                          <w:rPr>
                            <w:sz w:val="24"/>
                          </w:rPr>
                          <w:t>Reg#:</w:t>
                          <w:tab/>
                          <w:t>Stephen H. Cook:</w:t>
                        </w:r>
                        <w:r>
                          <w:rPr>
                            <w:spacing w:val="49"/>
                            <w:sz w:val="24"/>
                          </w:rPr>
                          <w:t> </w:t>
                        </w:r>
                        <w:r>
                          <w:rPr>
                            <w:sz w:val="24"/>
                          </w:rPr>
                          <w:t>6692</w:t>
                        </w:r>
                      </w:p>
                      <w:p>
                        <w:pPr>
                          <w:pStyle w:val="TableParagraph"/>
                          <w:spacing w:line="281" w:lineRule="exact"/>
                          <w:ind w:left="1547"/>
                          <w:rPr>
                            <w:sz w:val="24"/>
                          </w:rPr>
                        </w:pPr>
                        <w:r>
                          <w:rPr>
                            <w:sz w:val="24"/>
                          </w:rPr>
                          <w:t>James L. Pagano: 39508</w:t>
                        </w:r>
                      </w:p>
                    </w:tc>
                    <w:tc>
                      <w:tcPr>
                        <w:tcW w:w="3960" w:type="dxa"/>
                      </w:tcPr>
                      <w:p>
                        <w:pPr>
                          <w:pStyle w:val="TableParagraph"/>
                          <w:spacing w:before="1"/>
                          <w:ind w:left="0"/>
                          <w:rPr>
                            <w:sz w:val="24"/>
                          </w:rPr>
                        </w:pPr>
                      </w:p>
                      <w:p>
                        <w:pPr>
                          <w:pStyle w:val="TableParagraph"/>
                          <w:rPr>
                            <w:sz w:val="24"/>
                          </w:rPr>
                        </w:pPr>
                        <w:r>
                          <w:rPr>
                            <w:sz w:val="24"/>
                          </w:rPr>
                          <w:t>Case No. 2015CV31808</w:t>
                        </w:r>
                      </w:p>
                      <w:p>
                        <w:pPr>
                          <w:pStyle w:val="TableParagraph"/>
                          <w:spacing w:before="11"/>
                          <w:ind w:left="0"/>
                          <w:rPr>
                            <w:sz w:val="23"/>
                          </w:rPr>
                        </w:pPr>
                      </w:p>
                      <w:p>
                        <w:pPr>
                          <w:pStyle w:val="TableParagraph"/>
                          <w:rPr>
                            <w:sz w:val="24"/>
                          </w:rPr>
                        </w:pPr>
                        <w:r>
                          <w:rPr>
                            <w:sz w:val="24"/>
                          </w:rPr>
                          <w:t>Ctrm:</w:t>
                        </w:r>
                      </w:p>
                    </w:tc>
                  </w:tr>
                  <w:tr>
                    <w:trPr>
                      <w:trHeight w:val="803" w:hRule="atLeast"/>
                    </w:trPr>
                    <w:tc>
                      <w:tcPr>
                        <w:tcW w:w="9468" w:type="dxa"/>
                        <w:gridSpan w:val="2"/>
                      </w:tcPr>
                      <w:p>
                        <w:pPr>
                          <w:pStyle w:val="TableParagraph"/>
                          <w:spacing w:before="119"/>
                          <w:ind w:left="2913" w:right="1081" w:hanging="1803"/>
                          <w:rPr>
                            <w:b/>
                            <w:sz w:val="19"/>
                          </w:rPr>
                        </w:pPr>
                        <w:r>
                          <w:rPr>
                            <w:b/>
                            <w:sz w:val="24"/>
                          </w:rPr>
                          <w:t>K</w:t>
                        </w:r>
                        <w:r>
                          <w:rPr>
                            <w:b/>
                            <w:sz w:val="19"/>
                          </w:rPr>
                          <w:t>ATHRYN </w:t>
                        </w:r>
                        <w:r>
                          <w:rPr>
                            <w:b/>
                            <w:sz w:val="24"/>
                          </w:rPr>
                          <w:t>W</w:t>
                        </w:r>
                        <w:r>
                          <w:rPr>
                            <w:b/>
                            <w:sz w:val="19"/>
                          </w:rPr>
                          <w:t>INDT</w:t>
                        </w:r>
                        <w:r>
                          <w:rPr>
                            <w:b/>
                            <w:sz w:val="24"/>
                          </w:rPr>
                          <w:t>’</w:t>
                        </w:r>
                        <w:r>
                          <w:rPr>
                            <w:b/>
                            <w:sz w:val="19"/>
                          </w:rPr>
                          <w:t>S </w:t>
                        </w:r>
                        <w:r>
                          <w:rPr>
                            <w:b/>
                            <w:sz w:val="24"/>
                          </w:rPr>
                          <w:t>A</w:t>
                        </w:r>
                        <w:r>
                          <w:rPr>
                            <w:b/>
                            <w:sz w:val="19"/>
                          </w:rPr>
                          <w:t>MENDED </w:t>
                        </w:r>
                        <w:r>
                          <w:rPr>
                            <w:b/>
                            <w:sz w:val="24"/>
                          </w:rPr>
                          <w:t>M</w:t>
                        </w:r>
                        <w:r>
                          <w:rPr>
                            <w:b/>
                            <w:sz w:val="19"/>
                          </w:rPr>
                          <w:t>OTION TO </w:t>
                        </w:r>
                        <w:r>
                          <w:rPr>
                            <w:b/>
                            <w:sz w:val="24"/>
                          </w:rPr>
                          <w:t>A</w:t>
                        </w:r>
                        <w:r>
                          <w:rPr>
                            <w:b/>
                            <w:sz w:val="19"/>
                          </w:rPr>
                          <w:t>MEND </w:t>
                        </w:r>
                        <w:r>
                          <w:rPr>
                            <w:b/>
                            <w:sz w:val="24"/>
                          </w:rPr>
                          <w:t>C</w:t>
                        </w:r>
                        <w:r>
                          <w:rPr>
                            <w:b/>
                            <w:sz w:val="19"/>
                          </w:rPr>
                          <w:t>OUNTERCLAIM </w:t>
                        </w:r>
                        <w:r>
                          <w:rPr>
                            <w:b/>
                            <w:sz w:val="24"/>
                          </w:rPr>
                          <w:t>C</w:t>
                        </w:r>
                        <w:r>
                          <w:rPr>
                            <w:b/>
                            <w:sz w:val="19"/>
                          </w:rPr>
                          <w:t>OMPLAINT TO </w:t>
                        </w:r>
                        <w:r>
                          <w:rPr>
                            <w:b/>
                            <w:sz w:val="24"/>
                          </w:rPr>
                          <w:t>A</w:t>
                        </w:r>
                        <w:r>
                          <w:rPr>
                            <w:b/>
                            <w:sz w:val="19"/>
                          </w:rPr>
                          <w:t>DD </w:t>
                        </w:r>
                        <w:r>
                          <w:rPr>
                            <w:b/>
                            <w:sz w:val="24"/>
                          </w:rPr>
                          <w:t>C</w:t>
                        </w:r>
                        <w:r>
                          <w:rPr>
                            <w:b/>
                            <w:sz w:val="19"/>
                          </w:rPr>
                          <w:t>LAIM FOR </w:t>
                        </w:r>
                        <w:r>
                          <w:rPr>
                            <w:b/>
                            <w:sz w:val="24"/>
                          </w:rPr>
                          <w:t>P</w:t>
                        </w:r>
                        <w:r>
                          <w:rPr>
                            <w:b/>
                            <w:sz w:val="19"/>
                          </w:rPr>
                          <w:t>UNITIVE </w:t>
                        </w:r>
                        <w:r>
                          <w:rPr>
                            <w:b/>
                            <w:sz w:val="24"/>
                          </w:rPr>
                          <w:t>D</w:t>
                        </w:r>
                        <w:r>
                          <w:rPr>
                            <w:b/>
                            <w:sz w:val="19"/>
                          </w:rPr>
                          <w:t>AMAGES</w:t>
                        </w:r>
                      </w:p>
                    </w:tc>
                  </w:tr>
                </w:tbl>
                <w:p>
                  <w:pPr>
                    <w:pStyle w:val="BodyText"/>
                  </w:pPr>
                </w:p>
              </w:txbxContent>
            </v:textbox>
            <w10:wrap type="none"/>
          </v:shape>
        </w:pict>
      </w:r>
      <w:r>
        <w:rPr>
          <w:rFonts w:ascii="Minion Pro"/>
          <w:color w:val="0000FF"/>
          <w:w w:val="105"/>
          <w:sz w:val="19"/>
        </w:rPr>
        <w:t>:24 PM</w:t>
      </w: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spacing w:before="12"/>
        <w:rPr>
          <w:rFonts w:ascii="Minion Pro"/>
          <w:sz w:val="28"/>
        </w:rPr>
      </w:pPr>
    </w:p>
    <w:p>
      <w:pPr>
        <w:pStyle w:val="BodyText"/>
        <w:spacing w:line="480" w:lineRule="auto"/>
        <w:ind w:left="220" w:right="685" w:firstLine="720"/>
      </w:pPr>
      <w:r>
        <w:rPr/>
        <w:t>Kathryn Windt sub</w:t>
      </w:r>
      <w:bookmarkStart w:name="to Add Claim for Punitive Damages" w:id="1"/>
      <w:bookmarkEnd w:id="1"/>
      <w:r>
        <w:rPr/>
        <w:t>m</w:t>
      </w:r>
      <w:r>
        <w:rPr/>
        <w:t>its her Amended</w:t>
      </w:r>
      <w:hyperlink w:history="true" w:anchor="_bookmark0">
        <w:r>
          <w:rPr>
            <w:position w:val="6"/>
            <w:sz w:val="16"/>
          </w:rPr>
          <w:t>1 </w:t>
        </w:r>
      </w:hyperlink>
      <w:r>
        <w:rPr/>
        <w:t>Motion to Amend Counterclaim Complaint to add a claim for exemplary damages based on Ivonne Becerril’s driving conduct and states: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0"/>
        </w:rPr>
      </w:pPr>
      <w:r>
        <w:rPr/>
        <w:pict>
          <v:line style="position:absolute;mso-position-horizontal-relative:page;mso-position-vertical-relative:paragraph;z-index:-1024;mso-wrap-distance-left:0;mso-wrap-distance-right:0" from="72pt,8.509728pt" to="216pt,8.509728pt" stroked="true" strokeweight=".6pt" strokecolor="#000000">
            <v:stroke dashstyle="solid"/>
            <w10:wrap type="topAndBottom"/>
          </v:line>
        </w:pict>
      </w:r>
    </w:p>
    <w:p>
      <w:pPr>
        <w:pStyle w:val="BodyText"/>
        <w:spacing w:before="71"/>
        <w:ind w:left="220" w:right="685"/>
      </w:pPr>
      <w:bookmarkStart w:name="_bookmark0" w:id="2"/>
      <w:bookmarkEnd w:id="2"/>
      <w:r>
        <w:rPr/>
      </w:r>
      <w:r>
        <w:rPr>
          <w:position w:val="6"/>
          <w:sz w:val="16"/>
        </w:rPr>
        <w:t>1 </w:t>
      </w:r>
      <w:r>
        <w:rPr/>
        <w:t>The amendments are citations to the depositions of Mrs. Windt and Ms. Becerril. No other changes were made other than to ¶6 of the factual background to correct a misstatement.</w:t>
      </w:r>
    </w:p>
    <w:p>
      <w:pPr>
        <w:pStyle w:val="BodyText"/>
        <w:ind w:left="220" w:right="853"/>
      </w:pPr>
      <w:r>
        <w:rPr/>
        <w:t>The original motion had Ms. Becerril initiating the telephone call to her husband. After review of the transcript, that was corrected to reflect that Ms. Becerril’s husband initiated the telephone call.</w:t>
      </w:r>
    </w:p>
    <w:p>
      <w:pPr>
        <w:spacing w:after="0"/>
        <w:sectPr>
          <w:type w:val="continuous"/>
          <w:pgSz w:w="12240" w:h="15840"/>
          <w:pgMar w:top="1500" w:bottom="280" w:left="1220" w:right="780"/>
        </w:sectPr>
      </w:pPr>
    </w:p>
    <w:p>
      <w:pPr>
        <w:pStyle w:val="BodyText"/>
        <w:spacing w:before="5"/>
        <w:rPr>
          <w:sz w:val="9"/>
        </w:rPr>
      </w:pPr>
    </w:p>
    <w:p>
      <w:pPr>
        <w:spacing w:before="100"/>
        <w:ind w:left="3574" w:right="4016" w:firstLine="0"/>
        <w:jc w:val="center"/>
        <w:rPr>
          <w:b/>
          <w:sz w:val="19"/>
        </w:rPr>
      </w:pPr>
      <w:r>
        <w:rPr>
          <w:b/>
          <w:sz w:val="24"/>
        </w:rPr>
        <w:t>C</w:t>
      </w:r>
      <w:r>
        <w:rPr>
          <w:b/>
          <w:sz w:val="19"/>
        </w:rPr>
        <w:t>ERTIFICATE OF </w:t>
      </w:r>
      <w:r>
        <w:rPr>
          <w:b/>
          <w:sz w:val="24"/>
        </w:rPr>
        <w:t>C</w:t>
      </w:r>
      <w:r>
        <w:rPr>
          <w:b/>
          <w:sz w:val="19"/>
        </w:rPr>
        <w:t>ONFERRAL</w:t>
      </w:r>
    </w:p>
    <w:p>
      <w:pPr>
        <w:pStyle w:val="BodyText"/>
        <w:spacing w:before="11"/>
        <w:rPr>
          <w:b/>
          <w:sz w:val="23"/>
        </w:rPr>
      </w:pPr>
    </w:p>
    <w:p>
      <w:pPr>
        <w:pStyle w:val="BodyText"/>
        <w:spacing w:line="480" w:lineRule="auto"/>
        <w:ind w:left="220" w:right="881" w:firstLine="720"/>
      </w:pPr>
      <w:r>
        <w:rPr/>
        <w:t>Immediately after hearing Ms. Becerril’s deposition testimony that is the grounds for this motion, undersigned counsel conferred regarding the relief sought in this motion. Ms. Becerril’s counsel reports opposition to the motion.</w:t>
      </w:r>
    </w:p>
    <w:p>
      <w:pPr>
        <w:spacing w:line="280" w:lineRule="exact" w:before="0"/>
        <w:ind w:left="3573" w:right="4016" w:firstLine="0"/>
        <w:jc w:val="center"/>
        <w:rPr>
          <w:b/>
          <w:sz w:val="19"/>
        </w:rPr>
      </w:pPr>
      <w:r>
        <w:rPr>
          <w:b/>
          <w:sz w:val="24"/>
        </w:rPr>
        <w:t>F</w:t>
      </w:r>
      <w:r>
        <w:rPr>
          <w:b/>
          <w:sz w:val="19"/>
        </w:rPr>
        <w:t>ACTUAL </w:t>
      </w:r>
      <w:r>
        <w:rPr>
          <w:b/>
          <w:sz w:val="24"/>
        </w:rPr>
        <w:t>B</w:t>
      </w:r>
      <w:r>
        <w:rPr>
          <w:b/>
          <w:sz w:val="19"/>
        </w:rPr>
        <w:t>ACKGROUND</w:t>
      </w:r>
    </w:p>
    <w:p>
      <w:pPr>
        <w:pStyle w:val="BodyText"/>
        <w:spacing w:before="1"/>
        <w:rPr>
          <w:b/>
        </w:rPr>
      </w:pPr>
    </w:p>
    <w:p>
      <w:pPr>
        <w:pStyle w:val="ListParagraph"/>
        <w:numPr>
          <w:ilvl w:val="0"/>
          <w:numId w:val="2"/>
        </w:numPr>
        <w:tabs>
          <w:tab w:pos="940" w:val="left" w:leader="none"/>
        </w:tabs>
        <w:spacing w:line="240" w:lineRule="auto" w:before="0" w:after="0"/>
        <w:ind w:left="220" w:right="995" w:firstLine="360"/>
        <w:jc w:val="left"/>
        <w:rPr>
          <w:sz w:val="24"/>
        </w:rPr>
      </w:pPr>
      <w:r>
        <w:rPr>
          <w:sz w:val="24"/>
        </w:rPr>
        <w:t>On October 3, 2014, Kathryn Windt and Ivonne Becerril were involved in a motor vehicle collision at the intersection of 104</w:t>
      </w:r>
      <w:r>
        <w:rPr>
          <w:position w:val="6"/>
          <w:sz w:val="16"/>
        </w:rPr>
        <w:t>th </w:t>
      </w:r>
      <w:r>
        <w:rPr>
          <w:sz w:val="24"/>
        </w:rPr>
        <w:t>and Fox Run in Thornton,</w:t>
      </w:r>
      <w:r>
        <w:rPr>
          <w:spacing w:val="-35"/>
          <w:sz w:val="24"/>
        </w:rPr>
        <w:t> </w:t>
      </w:r>
      <w:r>
        <w:rPr>
          <w:sz w:val="24"/>
        </w:rPr>
        <w:t>Colorado.</w:t>
      </w:r>
    </w:p>
    <w:p>
      <w:pPr>
        <w:pStyle w:val="ListParagraph"/>
        <w:numPr>
          <w:ilvl w:val="0"/>
          <w:numId w:val="2"/>
        </w:numPr>
        <w:tabs>
          <w:tab w:pos="940" w:val="left" w:leader="none"/>
        </w:tabs>
        <w:spacing w:line="240" w:lineRule="auto" w:before="239" w:after="0"/>
        <w:ind w:left="220" w:right="774" w:firstLine="360"/>
        <w:jc w:val="left"/>
        <w:rPr>
          <w:sz w:val="24"/>
        </w:rPr>
      </w:pPr>
      <w:r>
        <w:rPr>
          <w:sz w:val="24"/>
        </w:rPr>
        <w:t>Just prior to the collision, Ms. Becerril was in through-lane of 104</w:t>
      </w:r>
      <w:r>
        <w:rPr>
          <w:position w:val="6"/>
          <w:sz w:val="16"/>
        </w:rPr>
        <w:t>th </w:t>
      </w:r>
      <w:r>
        <w:rPr>
          <w:sz w:val="24"/>
        </w:rPr>
        <w:t>approaching the intersection. Ms. Windt was headed towards the intersection coming from Ms. Becerril’s right. Ms. Windt was driving through the intersection to proceed onto Fox Run. Ms. Windt testified at her deposition that her light was green. </w:t>
      </w:r>
      <w:r>
        <w:rPr>
          <w:i/>
          <w:sz w:val="24"/>
        </w:rPr>
        <w:t>Exhibit 10, </w:t>
      </w:r>
      <w:r>
        <w:rPr>
          <w:sz w:val="24"/>
        </w:rPr>
        <w:t>Windt Depo.</w:t>
      </w:r>
      <w:r>
        <w:rPr>
          <w:spacing w:val="-32"/>
          <w:sz w:val="24"/>
        </w:rPr>
        <w:t> </w:t>
      </w:r>
      <w:r>
        <w:rPr>
          <w:sz w:val="24"/>
        </w:rPr>
        <w:t>26:24-27:17.</w:t>
      </w:r>
    </w:p>
    <w:p>
      <w:pPr>
        <w:pStyle w:val="ListParagraph"/>
        <w:numPr>
          <w:ilvl w:val="0"/>
          <w:numId w:val="2"/>
        </w:numPr>
        <w:tabs>
          <w:tab w:pos="940" w:val="left" w:leader="none"/>
        </w:tabs>
        <w:spacing w:line="240" w:lineRule="auto" w:before="240" w:after="0"/>
        <w:ind w:left="220" w:right="1045" w:firstLine="360"/>
        <w:jc w:val="left"/>
        <w:rPr>
          <w:sz w:val="24"/>
        </w:rPr>
      </w:pPr>
      <w:r>
        <w:rPr>
          <w:sz w:val="24"/>
        </w:rPr>
        <w:t>At her deposition, Ms. Becerril testified that she never saw Ms. Windt proceeding through the intersection until she struck Ms. Windt’s vehicle. </w:t>
      </w:r>
      <w:r>
        <w:rPr>
          <w:i/>
          <w:sz w:val="24"/>
        </w:rPr>
        <w:t>Exhibit 11, </w:t>
      </w:r>
      <w:r>
        <w:rPr>
          <w:sz w:val="24"/>
        </w:rPr>
        <w:t>Becerril Depo. 40:2-6.</w:t>
      </w:r>
    </w:p>
    <w:p>
      <w:pPr>
        <w:pStyle w:val="ListParagraph"/>
        <w:numPr>
          <w:ilvl w:val="0"/>
          <w:numId w:val="2"/>
        </w:numPr>
        <w:tabs>
          <w:tab w:pos="940" w:val="left" w:leader="none"/>
        </w:tabs>
        <w:spacing w:line="240" w:lineRule="auto" w:before="241" w:after="0"/>
        <w:ind w:left="220" w:right="722" w:firstLine="360"/>
        <w:jc w:val="left"/>
        <w:rPr>
          <w:sz w:val="24"/>
        </w:rPr>
      </w:pPr>
      <w:r>
        <w:rPr>
          <w:sz w:val="24"/>
        </w:rPr>
        <w:t>At her deposition, Ms. Becerril testified that she was on the phone with her husband at the time of the collision. </w:t>
      </w:r>
      <w:r>
        <w:rPr>
          <w:i/>
          <w:sz w:val="24"/>
        </w:rPr>
        <w:t>Exhibit 3, </w:t>
      </w:r>
      <w:r>
        <w:rPr>
          <w:sz w:val="24"/>
        </w:rPr>
        <w:t>52:3-7. In her discovery responses, dated October</w:t>
      </w:r>
      <w:r>
        <w:rPr>
          <w:spacing w:val="-37"/>
          <w:sz w:val="24"/>
        </w:rPr>
        <w:t> </w:t>
      </w:r>
      <w:r>
        <w:rPr>
          <w:sz w:val="24"/>
        </w:rPr>
        <w:t>11, 2016, Ms. Becerril told a different story; claiming she had ended her phone call before the collision. </w:t>
      </w:r>
      <w:r>
        <w:rPr>
          <w:i/>
          <w:sz w:val="24"/>
        </w:rPr>
        <w:t>Exhibit 1, </w:t>
      </w:r>
      <w:r>
        <w:rPr>
          <w:sz w:val="24"/>
        </w:rPr>
        <w:t>Becerril’s Responses to Request for Admission,</w:t>
      </w:r>
      <w:r>
        <w:rPr>
          <w:spacing w:val="-6"/>
          <w:sz w:val="24"/>
        </w:rPr>
        <w:t> </w:t>
      </w:r>
      <w:r>
        <w:rPr>
          <w:sz w:val="24"/>
        </w:rPr>
        <w:t>#4.</w:t>
      </w:r>
    </w:p>
    <w:p>
      <w:pPr>
        <w:pStyle w:val="ListParagraph"/>
        <w:numPr>
          <w:ilvl w:val="0"/>
          <w:numId w:val="2"/>
        </w:numPr>
        <w:tabs>
          <w:tab w:pos="940" w:val="left" w:leader="none"/>
        </w:tabs>
        <w:spacing w:line="240" w:lineRule="auto" w:before="240" w:after="0"/>
        <w:ind w:left="220" w:right="835" w:firstLine="360"/>
        <w:jc w:val="left"/>
        <w:rPr>
          <w:sz w:val="24"/>
        </w:rPr>
      </w:pPr>
      <w:r>
        <w:rPr>
          <w:sz w:val="24"/>
        </w:rPr>
        <w:t>At her deposition, Ms. Becerril testified that her husband was giving her directions and telling her she was on the wrong road when the collision occurred.</w:t>
      </w:r>
      <w:r>
        <w:rPr>
          <w:spacing w:val="14"/>
          <w:sz w:val="24"/>
        </w:rPr>
        <w:t> </w:t>
      </w:r>
      <w:r>
        <w:rPr>
          <w:i/>
          <w:sz w:val="24"/>
        </w:rPr>
        <w:t>Exhibit 11, </w:t>
      </w:r>
      <w:r>
        <w:rPr>
          <w:sz w:val="24"/>
        </w:rPr>
        <w:t>53:4-9.</w:t>
      </w:r>
    </w:p>
    <w:p>
      <w:pPr>
        <w:pStyle w:val="ListParagraph"/>
        <w:numPr>
          <w:ilvl w:val="0"/>
          <w:numId w:val="2"/>
        </w:numPr>
        <w:tabs>
          <w:tab w:pos="940" w:val="left" w:leader="none"/>
        </w:tabs>
        <w:spacing w:line="240" w:lineRule="auto" w:before="239" w:after="0"/>
        <w:ind w:left="940" w:right="0" w:hanging="360"/>
        <w:jc w:val="left"/>
        <w:rPr>
          <w:sz w:val="24"/>
        </w:rPr>
      </w:pPr>
      <w:r>
        <w:rPr>
          <w:sz w:val="24"/>
        </w:rPr>
        <w:t>At her deposition, Ms. Becerril testified that her husband initiated the call to</w:t>
      </w:r>
      <w:r>
        <w:rPr>
          <w:spacing w:val="-19"/>
          <w:sz w:val="24"/>
        </w:rPr>
        <w:t> </w:t>
      </w:r>
      <w:r>
        <w:rPr>
          <w:sz w:val="24"/>
        </w:rPr>
        <w:t>her.</w:t>
      </w:r>
    </w:p>
    <w:p>
      <w:pPr>
        <w:spacing w:before="2"/>
        <w:ind w:left="220" w:right="0" w:firstLine="0"/>
        <w:jc w:val="left"/>
        <w:rPr>
          <w:sz w:val="24"/>
        </w:rPr>
      </w:pPr>
      <w:r>
        <w:rPr>
          <w:i/>
          <w:sz w:val="24"/>
        </w:rPr>
        <w:t>Exhibit 11,</w:t>
      </w:r>
      <w:r>
        <w:rPr>
          <w:i/>
          <w:spacing w:val="-10"/>
          <w:sz w:val="24"/>
        </w:rPr>
        <w:t> </w:t>
      </w:r>
      <w:r>
        <w:rPr>
          <w:sz w:val="24"/>
        </w:rPr>
        <w:t>52:14-15.</w:t>
      </w:r>
    </w:p>
    <w:p>
      <w:pPr>
        <w:pStyle w:val="ListParagraph"/>
        <w:numPr>
          <w:ilvl w:val="0"/>
          <w:numId w:val="2"/>
        </w:numPr>
        <w:tabs>
          <w:tab w:pos="940" w:val="left" w:leader="none"/>
        </w:tabs>
        <w:spacing w:line="240" w:lineRule="auto" w:before="239" w:after="0"/>
        <w:ind w:left="220" w:right="1054" w:firstLine="360"/>
        <w:jc w:val="left"/>
        <w:rPr>
          <w:sz w:val="24"/>
        </w:rPr>
      </w:pPr>
      <w:r>
        <w:rPr>
          <w:sz w:val="24"/>
        </w:rPr>
        <w:t>At her deposition, Ms. Becerril testified that driving while talking on the phone is unsafe. </w:t>
      </w:r>
      <w:r>
        <w:rPr>
          <w:i/>
          <w:sz w:val="24"/>
        </w:rPr>
        <w:t>Exhibit 11,</w:t>
      </w:r>
      <w:r>
        <w:rPr>
          <w:i/>
          <w:spacing w:val="1"/>
          <w:sz w:val="24"/>
        </w:rPr>
        <w:t> </w:t>
      </w:r>
      <w:r>
        <w:rPr>
          <w:sz w:val="24"/>
        </w:rPr>
        <w:t>56:16-18.</w:t>
      </w:r>
    </w:p>
    <w:p>
      <w:pPr>
        <w:pStyle w:val="ListParagraph"/>
        <w:numPr>
          <w:ilvl w:val="0"/>
          <w:numId w:val="2"/>
        </w:numPr>
        <w:tabs>
          <w:tab w:pos="940" w:val="left" w:leader="none"/>
        </w:tabs>
        <w:spacing w:line="240" w:lineRule="auto" w:before="239" w:after="0"/>
        <w:ind w:left="940" w:right="0" w:hanging="360"/>
        <w:jc w:val="left"/>
        <w:rPr>
          <w:sz w:val="24"/>
        </w:rPr>
      </w:pPr>
      <w:r>
        <w:rPr>
          <w:sz w:val="24"/>
        </w:rPr>
        <w:t>Kathryn Windt was injured in the</w:t>
      </w:r>
      <w:r>
        <w:rPr>
          <w:spacing w:val="-4"/>
          <w:sz w:val="24"/>
        </w:rPr>
        <w:t> </w:t>
      </w:r>
      <w:r>
        <w:rPr>
          <w:sz w:val="24"/>
        </w:rPr>
        <w:t>collision.</w:t>
      </w:r>
    </w:p>
    <w:p>
      <w:pPr>
        <w:spacing w:before="242"/>
        <w:ind w:left="3574" w:right="4012" w:firstLine="0"/>
        <w:jc w:val="center"/>
        <w:rPr>
          <w:b/>
          <w:sz w:val="19"/>
        </w:rPr>
      </w:pPr>
      <w:r>
        <w:rPr>
          <w:b/>
          <w:sz w:val="24"/>
        </w:rPr>
        <w:t>S</w:t>
      </w:r>
      <w:r>
        <w:rPr>
          <w:b/>
          <w:sz w:val="19"/>
        </w:rPr>
        <w:t>TANDARD OF </w:t>
      </w:r>
      <w:r>
        <w:rPr>
          <w:b/>
          <w:sz w:val="24"/>
        </w:rPr>
        <w:t>R</w:t>
      </w:r>
      <w:r>
        <w:rPr>
          <w:b/>
          <w:sz w:val="19"/>
        </w:rPr>
        <w:t>EVIEW</w:t>
      </w:r>
    </w:p>
    <w:p>
      <w:pPr>
        <w:pStyle w:val="BodyText"/>
        <w:spacing w:before="10"/>
        <w:rPr>
          <w:b/>
          <w:sz w:val="23"/>
        </w:rPr>
      </w:pPr>
    </w:p>
    <w:p>
      <w:pPr>
        <w:pStyle w:val="BodyText"/>
        <w:spacing w:line="480" w:lineRule="auto"/>
        <w:ind w:left="220" w:right="685" w:firstLine="720"/>
      </w:pPr>
      <w:r>
        <w:rPr/>
        <w:t>The granting of leave to amend the complaint is within the discretion of the trial court. </w:t>
      </w:r>
      <w:r>
        <w:rPr>
          <w:i/>
        </w:rPr>
        <w:t>Polk v. Denver District Court, </w:t>
      </w:r>
      <w:r>
        <w:rPr/>
        <w:t>849 P.2d 23, 25 (Colo. 1993). C.R.C.P. 15(a) provides in part that “a party may amend the pleading only by leave of court or by written consent of</w:t>
      </w:r>
    </w:p>
    <w:p>
      <w:pPr>
        <w:pStyle w:val="BodyText"/>
        <w:spacing w:line="280" w:lineRule="exact"/>
        <w:ind w:left="220"/>
      </w:pPr>
      <w:r>
        <w:rPr/>
        <w:t>the adverse party; and leave shall be freely given when justice so requires.” The phrase</w:t>
      </w:r>
    </w:p>
    <w:p>
      <w:pPr>
        <w:spacing w:after="0" w:line="280" w:lineRule="exact"/>
        <w:sectPr>
          <w:footerReference w:type="default" r:id="rId5"/>
          <w:pgSz w:w="12240" w:h="15840"/>
          <w:pgMar w:footer="958" w:header="0" w:top="1500" w:bottom="1140" w:left="1220" w:right="780"/>
          <w:pgNumType w:start="2"/>
        </w:sectPr>
      </w:pPr>
    </w:p>
    <w:p>
      <w:pPr>
        <w:pStyle w:val="BodyText"/>
        <w:spacing w:before="5"/>
        <w:rPr>
          <w:sz w:val="9"/>
        </w:rPr>
      </w:pPr>
    </w:p>
    <w:p>
      <w:pPr>
        <w:pStyle w:val="BodyText"/>
        <w:spacing w:line="480" w:lineRule="auto" w:before="100"/>
        <w:ind w:left="220" w:right="716"/>
      </w:pPr>
      <w:r>
        <w:rPr/>
        <w:t>“when justice so requires,” under Rule 15(a) is liberally construed, and courts are encouraged to look favorably upon requests to amend. </w:t>
      </w:r>
      <w:r>
        <w:rPr>
          <w:i/>
        </w:rPr>
        <w:t>Benton v. Adams</w:t>
      </w:r>
      <w:r>
        <w:rPr/>
        <w:t>, 56 P.3d 81, 85–86 (Colo. 2002); </w:t>
      </w:r>
      <w:r>
        <w:rPr>
          <w:i/>
        </w:rPr>
        <w:t>Polk</w:t>
      </w:r>
      <w:r>
        <w:rPr/>
        <w:t>, 849 P.2d at 25; </w:t>
      </w:r>
      <w:r>
        <w:rPr>
          <w:i/>
        </w:rPr>
        <w:t>Eagle River Mobile Home Park, Ltd. V. District Court</w:t>
      </w:r>
      <w:r>
        <w:rPr/>
        <w:t>, 647 P.2d 660 (Colo. 1982). The “rationale behind the rule is that a substantive right should never be sacrificed to mere form.” </w:t>
      </w:r>
      <w:r>
        <w:rPr>
          <w:i/>
        </w:rPr>
        <w:t>Van Schaack v. Phipps</w:t>
      </w:r>
      <w:r>
        <w:rPr/>
        <w:t>, 38 Colo. App. 140, 558 P.2d 581, 586 (1976). If the underlying facts or circumstances relied on by a party may be a proper subject of relief, they ought to be afforded an opportunity to test their claims on the merits. </w:t>
      </w:r>
      <w:r>
        <w:rPr>
          <w:i/>
        </w:rPr>
        <w:t>Polk, </w:t>
      </w:r>
      <w:r>
        <w:rPr/>
        <w:t>849 P.2d at 25 (</w:t>
      </w:r>
      <w:r>
        <w:rPr>
          <w:i/>
        </w:rPr>
        <w:t>citing Varner v. Denver District Court</w:t>
      </w:r>
      <w:r>
        <w:rPr/>
        <w:t>, 618 P.2d 1388, 1390 (Colo.</w:t>
      </w:r>
    </w:p>
    <w:p>
      <w:pPr>
        <w:pStyle w:val="BodyText"/>
        <w:spacing w:line="480" w:lineRule="auto"/>
        <w:ind w:left="220" w:right="685"/>
      </w:pPr>
      <w:r>
        <w:rPr/>
        <w:t>1980)). Ms. Windt seeks leave to amend the Complaint to add a claim for exemplary damages against Ms. Becceril.</w:t>
      </w:r>
    </w:p>
    <w:p>
      <w:pPr>
        <w:spacing w:before="0"/>
        <w:ind w:left="2759" w:right="0" w:firstLine="0"/>
        <w:jc w:val="left"/>
        <w:rPr>
          <w:b/>
          <w:sz w:val="19"/>
        </w:rPr>
      </w:pPr>
      <w:r>
        <w:rPr>
          <w:b/>
          <w:sz w:val="24"/>
        </w:rPr>
        <w:t>L</w:t>
      </w:r>
      <w:r>
        <w:rPr>
          <w:b/>
          <w:sz w:val="19"/>
        </w:rPr>
        <w:t>EGAL </w:t>
      </w:r>
      <w:r>
        <w:rPr>
          <w:b/>
          <w:sz w:val="24"/>
        </w:rPr>
        <w:t>S</w:t>
      </w:r>
      <w:r>
        <w:rPr>
          <w:b/>
          <w:sz w:val="19"/>
        </w:rPr>
        <w:t>TANDARDS </w:t>
      </w:r>
      <w:r>
        <w:rPr>
          <w:b/>
          <w:sz w:val="24"/>
        </w:rPr>
        <w:t>F</w:t>
      </w:r>
      <w:r>
        <w:rPr>
          <w:b/>
          <w:sz w:val="19"/>
        </w:rPr>
        <w:t>OR </w:t>
      </w:r>
      <w:r>
        <w:rPr>
          <w:b/>
          <w:sz w:val="24"/>
        </w:rPr>
        <w:t>E</w:t>
      </w:r>
      <w:r>
        <w:rPr>
          <w:b/>
          <w:sz w:val="19"/>
        </w:rPr>
        <w:t>XEMPLARY </w:t>
      </w:r>
      <w:r>
        <w:rPr>
          <w:b/>
          <w:sz w:val="24"/>
        </w:rPr>
        <w:t>D</w:t>
      </w:r>
      <w:r>
        <w:rPr>
          <w:b/>
          <w:sz w:val="19"/>
        </w:rPr>
        <w:t>AMAGES</w:t>
      </w:r>
    </w:p>
    <w:p>
      <w:pPr>
        <w:pStyle w:val="BodyText"/>
        <w:rPr>
          <w:b/>
        </w:rPr>
      </w:pPr>
    </w:p>
    <w:p>
      <w:pPr>
        <w:pStyle w:val="BodyText"/>
        <w:spacing w:line="480" w:lineRule="auto"/>
        <w:ind w:left="219" w:right="975" w:firstLine="720"/>
      </w:pPr>
      <w:r>
        <w:rPr/>
        <w:t>C.R.S. § 13-21-102(1.5)(a) states that a claim for exemplary damages “may be allowed by amendment to the pleadings only after the exchange of initial disclosures pursuant to Rule 26 of the Colorado Rules of Civil Procedure and the plaintiff establishes </w:t>
      </w:r>
      <w:r>
        <w:rPr>
          <w:i/>
        </w:rPr>
        <w:t>prima facie </w:t>
      </w:r>
      <w:r>
        <w:rPr/>
        <w:t>proof of a triable issue.” Initial disclosures have been exchanged.</w:t>
      </w:r>
    </w:p>
    <w:p>
      <w:pPr>
        <w:pStyle w:val="BodyText"/>
        <w:spacing w:line="480" w:lineRule="auto"/>
        <w:ind w:left="219" w:right="711" w:firstLine="720"/>
      </w:pPr>
      <w:r>
        <w:rPr/>
        <w:t>The facts show </w:t>
      </w:r>
      <w:r>
        <w:rPr>
          <w:i/>
        </w:rPr>
        <w:t>prima facie </w:t>
      </w:r>
      <w:r>
        <w:rPr/>
        <w:t>proof of a triable issue of exemplary damages. Plaintiff need not conclusively prove entitlement to exemplary damages; instead, a triable issue of exemplary damages is established by a showing of a reasonable likelihood that the issue will ultimately be presented to the jury for resolution. </w:t>
      </w:r>
      <w:r>
        <w:rPr>
          <w:i/>
        </w:rPr>
        <w:t>Evans v. Colorado Permanente </w:t>
      </w:r>
      <w:r>
        <w:rPr>
          <w:i/>
        </w:rPr>
        <w:t>Medical Group, P.C., </w:t>
      </w:r>
      <w:r>
        <w:rPr/>
        <w:t>902 P.2d 867, 873 (Colo. App. 1995), </w:t>
      </w:r>
      <w:r>
        <w:rPr>
          <w:i/>
        </w:rPr>
        <w:t>aff’d in part, rev’d in part on other </w:t>
      </w:r>
      <w:r>
        <w:rPr>
          <w:i/>
        </w:rPr>
        <w:t>grounds, </w:t>
      </w:r>
      <w:r>
        <w:rPr/>
        <w:t>926 P.2d 1218 (Colo. 1996). The threshold standard is lenient. This threshold is met when conduct is purposefully committed which the actor must have realized was done</w:t>
      </w:r>
    </w:p>
    <w:p>
      <w:pPr>
        <w:spacing w:after="0" w:line="480" w:lineRule="auto"/>
        <w:sectPr>
          <w:pgSz w:w="12240" w:h="15840"/>
          <w:pgMar w:header="0" w:footer="958" w:top="1500" w:bottom="1220" w:left="1220" w:right="780"/>
        </w:sectPr>
      </w:pPr>
    </w:p>
    <w:p>
      <w:pPr>
        <w:pStyle w:val="BodyText"/>
        <w:spacing w:before="5"/>
        <w:rPr>
          <w:sz w:val="9"/>
        </w:rPr>
      </w:pPr>
    </w:p>
    <w:p>
      <w:pPr>
        <w:spacing w:line="480" w:lineRule="auto" w:before="100"/>
        <w:ind w:left="220" w:right="685" w:firstLine="0"/>
        <w:jc w:val="left"/>
        <w:rPr>
          <w:sz w:val="24"/>
        </w:rPr>
      </w:pPr>
      <w:r>
        <w:rPr>
          <w:sz w:val="24"/>
        </w:rPr>
        <w:t>heedlessly and recklessly without regard to the consequences to or the rights of the other party. </w:t>
      </w:r>
      <w:r>
        <w:rPr>
          <w:i/>
          <w:sz w:val="24"/>
        </w:rPr>
        <w:t>Coors v. Security Life of Denver Ins. Co., </w:t>
      </w:r>
      <w:r>
        <w:rPr>
          <w:sz w:val="24"/>
        </w:rPr>
        <w:t>112 P.3d 59, 66 (Colo. 2005).</w:t>
      </w:r>
    </w:p>
    <w:p>
      <w:pPr>
        <w:pStyle w:val="BodyText"/>
        <w:spacing w:line="480" w:lineRule="auto"/>
        <w:ind w:left="220" w:right="685" w:firstLine="720"/>
      </w:pPr>
      <w:r>
        <w:rPr/>
        <w:t>“In all civil actions in which damages are assessed by a jury for a wrong done to the person… and the injury complained of is attended by circumstances of …willful and wanton conduct, the jury, in addition to the actual damages sustained by such party, may award him reasonable exemplary damages. C.R.S. 13-21-102(1)(a); </w:t>
      </w:r>
      <w:r>
        <w:rPr>
          <w:i/>
        </w:rPr>
        <w:t>Frick v. Abell</w:t>
      </w:r>
      <w:r>
        <w:rPr/>
        <w:t>, 602 P.2d 852, 854 (Colo. 1979). "Willful and wanton conduct" is defined as "conduct purposefully committed which the actor must have realized as dangerous, done heedlessly and recklessly, without regard to consequences, or of the rights and safety of others, particularly the plaintiff." C.R.S. 13-21-102(1)(b); </w:t>
      </w:r>
      <w:r>
        <w:rPr>
          <w:i/>
        </w:rPr>
        <w:t>Palmer v. A.H. Robbins Co.</w:t>
      </w:r>
      <w:r>
        <w:rPr/>
        <w:t>, 684 P.2d 187, 215 (Colo. 1984); </w:t>
      </w:r>
      <w:r>
        <w:rPr>
          <w:i/>
        </w:rPr>
        <w:t>Archer v. Farmer Bros. Co.</w:t>
      </w:r>
      <w:r>
        <w:rPr/>
        <w:t>, 70 P.3d 495, 500-501 (Colo. Ct. App. 2002).</w:t>
      </w:r>
    </w:p>
    <w:p>
      <w:pPr>
        <w:pStyle w:val="BodyText"/>
        <w:spacing w:line="480" w:lineRule="auto"/>
        <w:ind w:left="219" w:right="813" w:firstLine="720"/>
      </w:pPr>
      <w:r>
        <w:rPr/>
        <w:t>Amendments may be denied only upon a showing of prejudice to the Court or defendant. </w:t>
      </w:r>
      <w:r>
        <w:rPr>
          <w:i/>
        </w:rPr>
        <w:t>K-R Funds, Inc. v. Fox, </w:t>
      </w:r>
      <w:r>
        <w:rPr/>
        <w:t>640 P.2d 257 (Colo. App. 1981). Here, the Court will not be prejudiced by the amendments as there will be no effect on the trial date or trial. Ms. Becerril faces no prejudice as the amendments arise from her conduct that she has always been aware, and from the illegality of her conduct, and the effect her conduct has had on the other individuals and in particular Mrs. Windt. Further, because Ms. Becerril initially stated in discovery that she was not on her phone at the time of the crash, only to contradict that statement at her November 23, 2016 deposition, any temporal issues arising from this motion were caused by Ms. Becerril and/or her counsel.</w:t>
      </w:r>
    </w:p>
    <w:p>
      <w:pPr>
        <w:spacing w:line="281" w:lineRule="exact" w:before="0"/>
        <w:ind w:left="4371" w:right="0" w:firstLine="0"/>
        <w:jc w:val="left"/>
        <w:rPr>
          <w:b/>
          <w:sz w:val="19"/>
        </w:rPr>
      </w:pPr>
      <w:r>
        <w:rPr>
          <w:b/>
          <w:sz w:val="24"/>
        </w:rPr>
        <w:t>A</w:t>
      </w:r>
      <w:r>
        <w:rPr>
          <w:b/>
          <w:sz w:val="19"/>
        </w:rPr>
        <w:t>RGUMENT</w:t>
      </w:r>
    </w:p>
    <w:p>
      <w:pPr>
        <w:pStyle w:val="BodyText"/>
        <w:spacing w:before="10"/>
        <w:rPr>
          <w:b/>
          <w:sz w:val="23"/>
        </w:rPr>
      </w:pPr>
    </w:p>
    <w:p>
      <w:pPr>
        <w:pStyle w:val="BodyText"/>
        <w:spacing w:line="480" w:lineRule="auto"/>
        <w:ind w:left="219" w:right="836" w:firstLine="720"/>
      </w:pPr>
      <w:r>
        <w:rPr/>
        <w:t>A jury can reasonably infer from the evidence that Ms. Becerril’s telephone conversation distracted her and caused her to fail to see Ms. Windt in the intersection and</w:t>
      </w:r>
    </w:p>
    <w:p>
      <w:pPr>
        <w:spacing w:after="0" w:line="480" w:lineRule="auto"/>
        <w:sectPr>
          <w:pgSz w:w="12240" w:h="15840"/>
          <w:pgMar w:header="0" w:footer="958" w:top="1500" w:bottom="1220" w:left="1220" w:right="780"/>
        </w:sectPr>
      </w:pPr>
    </w:p>
    <w:p>
      <w:pPr>
        <w:pStyle w:val="BodyText"/>
        <w:spacing w:before="5"/>
        <w:rPr>
          <w:sz w:val="9"/>
        </w:rPr>
      </w:pPr>
    </w:p>
    <w:p>
      <w:pPr>
        <w:pStyle w:val="BodyText"/>
        <w:spacing w:line="480" w:lineRule="auto" w:before="100"/>
        <w:ind w:left="219" w:right="687"/>
      </w:pPr>
      <w:r>
        <w:rPr/>
        <w:t>fail to see that Ms. Becerril had a red light as she approached the intersection. Ms. Becerril testified that she knows that being on the phone while driving is unsafe. A reasonable jury could determine that her conduct in causing the collision while distracted on the phone was a willful and wanton disregard for the consequences to or the rights and safety of Mrs. Windt and that her conduct merits an award of exemplary damages. C.R.S. 13-21- 102(1)(b). Mrs. Windt has established a </w:t>
      </w:r>
      <w:r>
        <w:rPr>
          <w:i/>
        </w:rPr>
        <w:t>prima facie </w:t>
      </w:r>
      <w:r>
        <w:rPr/>
        <w:t>showing of a triable issue of exemplary damages. Justice requires that Mrs. Windt be given leave to amend her Complaint to add that claim for</w:t>
      </w:r>
      <w:r>
        <w:rPr>
          <w:spacing w:val="-3"/>
        </w:rPr>
        <w:t> </w:t>
      </w:r>
      <w:r>
        <w:rPr/>
        <w:t>damages.</w:t>
      </w:r>
    </w:p>
    <w:p>
      <w:pPr>
        <w:pStyle w:val="BodyText"/>
        <w:spacing w:line="480" w:lineRule="auto"/>
        <w:ind w:left="219" w:right="821" w:firstLine="720"/>
      </w:pPr>
      <w:r>
        <w:rPr/>
        <w:t>To undersigned counsel’s knowledge, there is not yet an appellate case in Colorado addressing the use of a cellular phone while driving. Other Colorado District Courts have permitted plaintiffs to pursue exemplary damages against a defendant when evidence is presented that the defendant was using or attempting to use a cell phone while driving.</w:t>
      </w:r>
    </w:p>
    <w:p>
      <w:pPr>
        <w:pStyle w:val="BodyText"/>
        <w:spacing w:line="480" w:lineRule="auto"/>
        <w:ind w:left="219" w:right="848"/>
        <w:rPr>
          <w:i/>
        </w:rPr>
      </w:pPr>
      <w:r>
        <w:rPr>
          <w:i/>
        </w:rPr>
        <w:t>Exhibit 2, </w:t>
      </w:r>
      <w:r>
        <w:rPr/>
        <w:t>Colorado District Court Orders Allowing Exemplary Damages for Cell Phone Use While Driving. As Ms. Becerril admitted, driving while using a cell phone is unsafe. It distracts the driver’s attention from the road and is associated with a substantially higher incidence of motor vehicle collisions. Talking on the phone while driving creates a substantial risk of harm to another and is performed with an awareness of the risk and a disregard of the consequences, thus, satisfying the willful and wanton standard in </w:t>
      </w:r>
      <w:r>
        <w:rPr>
          <w:i/>
        </w:rPr>
        <w:t>Palmer </w:t>
      </w:r>
      <w:r>
        <w:rPr/>
        <w:t>and </w:t>
      </w:r>
      <w:r>
        <w:rPr>
          <w:i/>
        </w:rPr>
        <w:t>Archer.</w:t>
      </w:r>
    </w:p>
    <w:p>
      <w:pPr>
        <w:pStyle w:val="BodyText"/>
        <w:spacing w:line="480" w:lineRule="auto"/>
        <w:ind w:left="219" w:right="857" w:firstLine="720"/>
      </w:pPr>
      <w:r>
        <w:rPr/>
        <w:t>Driving while talking on the phone is such a substantial risk to others that Colorado’s legislature has declared that: “the use of wireless telephones in motor vehicles is a matter of statewide concern.” C.R.S. §42-4-239 (9).</w:t>
      </w:r>
    </w:p>
    <w:p>
      <w:pPr>
        <w:spacing w:after="0" w:line="480" w:lineRule="auto"/>
        <w:sectPr>
          <w:pgSz w:w="12240" w:h="15840"/>
          <w:pgMar w:header="0" w:footer="958" w:top="1500" w:bottom="1220" w:left="1220" w:right="780"/>
        </w:sectPr>
      </w:pPr>
    </w:p>
    <w:p>
      <w:pPr>
        <w:pStyle w:val="BodyText"/>
        <w:spacing w:before="5"/>
        <w:rPr>
          <w:sz w:val="9"/>
        </w:rPr>
      </w:pPr>
    </w:p>
    <w:p>
      <w:pPr>
        <w:pStyle w:val="BodyText"/>
        <w:spacing w:line="480" w:lineRule="auto" w:before="100"/>
        <w:ind w:left="220" w:right="685" w:firstLine="720"/>
      </w:pPr>
      <w:r>
        <w:rPr/>
        <w:t>The Colorado Driver’s Handbook cautions drivers from the use of cell phone while driving: “A distraction is anything that diverts your attention, even momentarily, from the task of driving. . . . Do not allow yourself to become distracted by your cell phone[.]” </w:t>
      </w:r>
      <w:r>
        <w:rPr>
          <w:i/>
        </w:rPr>
        <w:t>Exhibit </w:t>
      </w:r>
      <w:r>
        <w:rPr>
          <w:i/>
        </w:rPr>
        <w:t>3, </w:t>
      </w:r>
      <w:r>
        <w:rPr/>
        <w:t>p. 15.</w:t>
      </w:r>
    </w:p>
    <w:p>
      <w:pPr>
        <w:pStyle w:val="BodyText"/>
        <w:spacing w:line="480" w:lineRule="auto"/>
        <w:ind w:left="219" w:right="674" w:firstLine="720"/>
        <w:rPr>
          <w:i/>
        </w:rPr>
      </w:pPr>
      <w:r>
        <w:rPr/>
        <w:t>The Colorado State Patrol conducted research concluding that inattention to driving (a category that includes talking on a cell phone while driving, </w:t>
      </w:r>
      <w:r>
        <w:rPr>
          <w:i/>
        </w:rPr>
        <w:t>inter alia) </w:t>
      </w:r>
      <w:r>
        <w:rPr/>
        <w:t>was the leading cause of fatal and injury causing collisions in 2013 in the state of Colorado. </w:t>
      </w:r>
      <w:r>
        <w:rPr>
          <w:i/>
        </w:rPr>
        <w:t>Exhibit 4, </w:t>
      </w:r>
      <w:r>
        <w:rPr/>
        <w:t>Colorado State Patrol Crash Trends, CY 2010-2013 Fatal and Injury Crashes Primary Causal Factors</w:t>
      </w:r>
      <w:r>
        <w:rPr>
          <w:i/>
        </w:rPr>
        <w:t>, available at </w:t>
      </w:r>
      <w:hyperlink r:id="rId6">
        <w:r>
          <w:rPr>
            <w:i/>
            <w:color w:val="0000FF"/>
            <w:u w:val="single" w:color="0000FF"/>
          </w:rPr>
          <w:t>www.colorado.gov/pacific/csp/crash-trends</w:t>
        </w:r>
        <w:r>
          <w:rPr>
            <w:i/>
          </w:rPr>
          <w:t>.</w:t>
        </w:r>
      </w:hyperlink>
    </w:p>
    <w:p>
      <w:pPr>
        <w:pStyle w:val="BodyText"/>
        <w:tabs>
          <w:tab w:pos="6277" w:val="left" w:leader="none"/>
        </w:tabs>
        <w:spacing w:line="480" w:lineRule="auto"/>
        <w:ind w:left="220" w:right="1013" w:firstLine="720"/>
        <w:rPr>
          <w:i/>
        </w:rPr>
      </w:pPr>
      <w:r>
        <w:rPr/>
        <w:t>Scientific studies also point out the clear and known dangerous circumstances arising from drivers who talk on the phone</w:t>
      </w:r>
      <w:r>
        <w:rPr>
          <w:spacing w:val="-19"/>
        </w:rPr>
        <w:t> </w:t>
      </w:r>
      <w:r>
        <w:rPr/>
        <w:t>while</w:t>
      </w:r>
      <w:r>
        <w:rPr>
          <w:spacing w:val="-1"/>
        </w:rPr>
        <w:t> </w:t>
      </w:r>
      <w:r>
        <w:rPr/>
        <w:t>driving.</w:t>
        <w:tab/>
        <w:t>Published research has established that the use of a cell phone while driving is as dangerous as drunk driving. </w:t>
      </w:r>
      <w:r>
        <w:rPr>
          <w:i/>
        </w:rPr>
        <w:t>Exhibit 5, </w:t>
      </w:r>
      <w:r>
        <w:rPr/>
        <w:t>Cell Phone Use as Dangerous as Drunken Driving (“Cell phone users have been found to be 5.36 times more likely to get in an accident than undistracted drivers. Other studies have shown the risk is about the same as for drivers with an .08 blood-alcohol level”), </w:t>
      </w:r>
      <w:r>
        <w:rPr>
          <w:i/>
        </w:rPr>
        <w:t>available at </w:t>
      </w:r>
      <w:hyperlink r:id="rId7">
        <w:r>
          <w:rPr>
            <w:i/>
            <w:color w:val="0000FF"/>
            <w:spacing w:val="-1"/>
            <w:u w:val="single" w:color="0000FF"/>
          </w:rPr>
          <w:t>http://www2.potsdam.edu/alcohol/DrivingIssues/20060830105036.html#.VP8GN_nF_ng</w:t>
        </w:r>
        <w:r>
          <w:rPr>
            <w:i/>
            <w:spacing w:val="-1"/>
          </w:rPr>
          <w:t>.</w:t>
        </w:r>
      </w:hyperlink>
    </w:p>
    <w:p>
      <w:pPr>
        <w:pStyle w:val="BodyText"/>
        <w:tabs>
          <w:tab w:pos="5835" w:val="left" w:leader="dot"/>
        </w:tabs>
        <w:spacing w:line="480" w:lineRule="auto"/>
        <w:ind w:left="220" w:right="677" w:firstLine="720"/>
      </w:pPr>
      <w:r>
        <w:rPr/>
        <w:t>In a University of Utah study, researchers found that: “With respect to traffic safety, the data suggest that the impairments associated with cell phone drivers may be as great</w:t>
      </w:r>
      <w:r>
        <w:rPr>
          <w:spacing w:val="-38"/>
        </w:rPr>
        <w:t> </w:t>
      </w:r>
      <w:r>
        <w:rPr/>
        <w:t>as those commonly observed with</w:t>
      </w:r>
      <w:r>
        <w:rPr>
          <w:spacing w:val="-13"/>
        </w:rPr>
        <w:t> </w:t>
      </w:r>
      <w:r>
        <w:rPr/>
        <w:t>intoxicated</w:t>
      </w:r>
      <w:r>
        <w:rPr>
          <w:spacing w:val="-4"/>
        </w:rPr>
        <w:t> </w:t>
      </w:r>
      <w:r>
        <w:rPr/>
        <w:t>drivers</w:t>
        <w:tab/>
        <w:t>One the one hand, we found</w:t>
      </w:r>
      <w:r>
        <w:rPr>
          <w:spacing w:val="-7"/>
        </w:rPr>
        <w:t> </w:t>
      </w:r>
      <w:r>
        <w:rPr/>
        <w:t>that</w:t>
      </w:r>
    </w:p>
    <w:p>
      <w:pPr>
        <w:pStyle w:val="BodyText"/>
        <w:tabs>
          <w:tab w:pos="8166" w:val="left" w:leader="dot"/>
        </w:tabs>
        <w:spacing w:line="280" w:lineRule="exact"/>
        <w:ind w:left="220"/>
      </w:pPr>
      <w:r>
        <w:rPr/>
        <w:t>intoxicated drivers hit the brakes harder, had shorter</w:t>
      </w:r>
      <w:r>
        <w:rPr>
          <w:spacing w:val="-21"/>
        </w:rPr>
        <w:t> </w:t>
      </w:r>
      <w:r>
        <w:rPr/>
        <w:t>following</w:t>
      </w:r>
      <w:r>
        <w:rPr>
          <w:spacing w:val="-3"/>
        </w:rPr>
        <w:t> </w:t>
      </w:r>
      <w:r>
        <w:rPr/>
        <w:t>distances</w:t>
        <w:tab/>
        <w:t>On the</w:t>
      </w:r>
      <w:r>
        <w:rPr>
          <w:spacing w:val="-4"/>
        </w:rPr>
        <w:t> </w:t>
      </w:r>
      <w:r>
        <w:rPr/>
        <w:t>other</w:t>
      </w:r>
    </w:p>
    <w:p>
      <w:pPr>
        <w:pStyle w:val="BodyText"/>
        <w:spacing w:before="11"/>
        <w:rPr>
          <w:sz w:val="23"/>
        </w:rPr>
      </w:pPr>
    </w:p>
    <w:p>
      <w:pPr>
        <w:pStyle w:val="BodyText"/>
        <w:spacing w:line="480" w:lineRule="auto"/>
        <w:ind w:left="220" w:right="716"/>
        <w:rPr>
          <w:i/>
        </w:rPr>
      </w:pPr>
      <w:r>
        <w:rPr/>
        <w:t>hand, we found that cell phone drivers had slower reactions, had longer following distances, took longer to recover speed lost following a braking episode, and </w:t>
      </w:r>
      <w:r>
        <w:rPr>
          <w:i/>
        </w:rPr>
        <w:t>were</w:t>
      </w:r>
      <w:r>
        <w:rPr>
          <w:i/>
          <w:spacing w:val="-33"/>
        </w:rPr>
        <w:t> </w:t>
      </w:r>
      <w:r>
        <w:rPr>
          <w:i/>
        </w:rPr>
        <w:t>involved</w:t>
      </w:r>
    </w:p>
    <w:p>
      <w:pPr>
        <w:spacing w:after="0" w:line="480" w:lineRule="auto"/>
        <w:sectPr>
          <w:pgSz w:w="12240" w:h="15840"/>
          <w:pgMar w:header="0" w:footer="958" w:top="1500" w:bottom="1220" w:left="1220" w:right="780"/>
        </w:sectPr>
      </w:pPr>
    </w:p>
    <w:p>
      <w:pPr>
        <w:pStyle w:val="BodyText"/>
        <w:spacing w:before="5"/>
        <w:rPr>
          <w:i/>
          <w:sz w:val="9"/>
        </w:rPr>
      </w:pPr>
    </w:p>
    <w:p>
      <w:pPr>
        <w:pStyle w:val="BodyText"/>
        <w:spacing w:line="480" w:lineRule="auto" w:before="100"/>
        <w:ind w:left="219" w:right="716"/>
        <w:rPr>
          <w:i/>
        </w:rPr>
      </w:pPr>
      <w:r>
        <w:rPr>
          <w:i/>
        </w:rPr>
        <w:t>in more accidents. </w:t>
      </w:r>
      <w:r>
        <w:rPr/>
        <w:t>In the case of the cell phone driver, the impairments appear to be attributable, in large part, to the diversion of attention from the processing of information necessary for the safe operation of a motor vehicle.” </w:t>
      </w:r>
      <w:r>
        <w:rPr>
          <w:i/>
        </w:rPr>
        <w:t>Exhibit 6, </w:t>
      </w:r>
      <w:r>
        <w:rPr/>
        <w:t>S</w:t>
      </w:r>
      <w:r>
        <w:rPr>
          <w:sz w:val="19"/>
        </w:rPr>
        <w:t>TRAYER</w:t>
      </w:r>
      <w:r>
        <w:rPr/>
        <w:t>, D</w:t>
      </w:r>
      <w:r>
        <w:rPr>
          <w:sz w:val="19"/>
        </w:rPr>
        <w:t>AVID</w:t>
      </w:r>
      <w:r>
        <w:rPr/>
        <w:t>, </w:t>
      </w:r>
      <w:r>
        <w:rPr>
          <w:sz w:val="19"/>
        </w:rPr>
        <w:t>ET AL</w:t>
      </w:r>
      <w:r>
        <w:rPr/>
        <w:t>., “A Comparison of the Cell Phone Driver and the Drunk Driver”, p. 388. “[T]he relative risk of being in a traffic accident while using a cell phone is similar to the hazard associated with driving with a blood alcohol level at the legal limit. The data presented in this article are consistent with this estimate and indicate that when driving conditions and time on task are controlled for, the impairments associated with using a cell phone while driving can be as profound as those associated with driving with a blood alcohol level at .08%.” </w:t>
      </w:r>
      <w:r>
        <w:rPr>
          <w:i/>
        </w:rPr>
        <w:t>Id. </w:t>
      </w:r>
      <w:r>
        <w:rPr/>
        <w:t>p. 390. “Logical consistency would seem to dictate that any activity that leads to impairments in driving equal to or greater than the drunk driving standard should be avoided.” </w:t>
      </w:r>
      <w:r>
        <w:rPr>
          <w:i/>
        </w:rPr>
        <w:t>Id.</w:t>
      </w:r>
    </w:p>
    <w:p>
      <w:pPr>
        <w:pStyle w:val="BodyText"/>
        <w:spacing w:line="480" w:lineRule="auto"/>
        <w:ind w:left="219" w:right="950" w:firstLine="720"/>
      </w:pPr>
      <w:r>
        <w:rPr/>
        <w:t>A University of Minnesota Department of Mechanical Engineering study showed that: “drivers engaged in the conversations (on cellular phones) or completing in-vehicle tasks were more impaired than drivers that were not involved in any distraction task.</w:t>
      </w:r>
    </w:p>
    <w:p>
      <w:pPr>
        <w:pStyle w:val="BodyText"/>
        <w:spacing w:line="480" w:lineRule="auto"/>
        <w:ind w:left="219" w:right="685"/>
      </w:pPr>
      <w:r>
        <w:rPr/>
        <w:t>Indeed, both the cell phone and in-vehicle sources of distraction were generally more impairing than intoxication at the legal limit.” </w:t>
      </w:r>
      <w:r>
        <w:rPr>
          <w:i/>
        </w:rPr>
        <w:t>Exhibit 7, </w:t>
      </w:r>
      <w:r>
        <w:rPr/>
        <w:t>R</w:t>
      </w:r>
      <w:r>
        <w:rPr>
          <w:sz w:val="19"/>
        </w:rPr>
        <w:t>AUKUSAS</w:t>
      </w:r>
      <w:r>
        <w:rPr/>
        <w:t>, M</w:t>
      </w:r>
      <w:r>
        <w:rPr>
          <w:sz w:val="19"/>
        </w:rPr>
        <w:t>ICHAEL</w:t>
      </w:r>
      <w:r>
        <w:rPr/>
        <w:t>, </w:t>
      </w:r>
      <w:r>
        <w:rPr>
          <w:sz w:val="19"/>
        </w:rPr>
        <w:t>ET AL</w:t>
      </w:r>
      <w:r>
        <w:rPr/>
        <w:t>., “Driving Performance During Cell Phone Conversations and Common In-Vehicle</w:t>
      </w:r>
    </w:p>
    <w:p>
      <w:pPr>
        <w:spacing w:line="480" w:lineRule="auto" w:before="0"/>
        <w:ind w:left="220" w:right="640" w:firstLine="0"/>
        <w:jc w:val="left"/>
        <w:rPr>
          <w:i/>
          <w:sz w:val="24"/>
        </w:rPr>
      </w:pPr>
      <w:r>
        <w:rPr>
          <w:sz w:val="24"/>
        </w:rPr>
        <w:t>Tasks While Sober and Drunk”, Minnesota Department of Transportation Research Services Section (October 2005), </w:t>
      </w:r>
      <w:r>
        <w:rPr>
          <w:i/>
          <w:sz w:val="24"/>
        </w:rPr>
        <w:t>available at </w:t>
      </w:r>
      <w:hyperlink r:id="rId8">
        <w:r>
          <w:rPr>
            <w:i/>
            <w:color w:val="0000FF"/>
            <w:sz w:val="24"/>
            <w:u w:val="single" w:color="0000FF"/>
          </w:rPr>
          <w:t>http://www.lrrb.org/PDF/200541.pdf</w:t>
        </w:r>
        <w:r>
          <w:rPr>
            <w:i/>
            <w:sz w:val="24"/>
          </w:rPr>
          <w:t>.</w:t>
        </w:r>
      </w:hyperlink>
    </w:p>
    <w:p>
      <w:pPr>
        <w:pStyle w:val="BodyText"/>
        <w:spacing w:line="480" w:lineRule="auto"/>
        <w:ind w:left="219" w:right="728" w:firstLine="720"/>
        <w:rPr>
          <w:i/>
        </w:rPr>
      </w:pPr>
      <w:r>
        <w:rPr/>
        <w:t>A World Health Organization study showed that: “drivers using a mobile phone are approximately four times more likely to be involved in a crash than when a driver does not use a phone.” </w:t>
      </w:r>
      <w:r>
        <w:rPr>
          <w:i/>
        </w:rPr>
        <w:t>Exhibit 8, </w:t>
      </w:r>
      <w:r>
        <w:rPr/>
        <w:t>Mobile Phone Use: a Growing Problem of Driver Distraction, </w:t>
      </w:r>
      <w:r>
        <w:rPr>
          <w:i/>
        </w:rPr>
        <w:t>available at</w:t>
      </w:r>
    </w:p>
    <w:p>
      <w:pPr>
        <w:spacing w:after="0" w:line="480" w:lineRule="auto"/>
        <w:sectPr>
          <w:pgSz w:w="12240" w:h="15840"/>
          <w:pgMar w:header="0" w:footer="958" w:top="1500" w:bottom="1220" w:left="1220" w:right="780"/>
        </w:sectPr>
      </w:pPr>
    </w:p>
    <w:p>
      <w:pPr>
        <w:pStyle w:val="BodyText"/>
        <w:spacing w:before="5"/>
        <w:rPr>
          <w:i/>
          <w:sz w:val="9"/>
        </w:rPr>
      </w:pPr>
    </w:p>
    <w:p>
      <w:pPr>
        <w:spacing w:before="100"/>
        <w:ind w:left="220" w:right="0" w:firstLine="0"/>
        <w:jc w:val="left"/>
        <w:rPr>
          <w:i/>
          <w:sz w:val="24"/>
        </w:rPr>
      </w:pPr>
      <w:hyperlink r:id="rId9">
        <w:r>
          <w:rPr>
            <w:i/>
            <w:color w:val="0000FF"/>
            <w:sz w:val="24"/>
            <w:u w:val="single" w:color="0000FF"/>
          </w:rPr>
          <w:t>http://www.who.int/violence_injury_prevention/publications/road_traffic/distracted_driving</w:t>
        </w:r>
      </w:hyperlink>
    </w:p>
    <w:p>
      <w:pPr>
        <w:pStyle w:val="BodyText"/>
        <w:spacing w:before="11"/>
        <w:rPr>
          <w:i/>
          <w:sz w:val="23"/>
        </w:rPr>
      </w:pPr>
    </w:p>
    <w:p>
      <w:pPr>
        <w:spacing w:before="0"/>
        <w:ind w:left="220" w:right="0" w:firstLine="0"/>
        <w:jc w:val="left"/>
        <w:rPr>
          <w:i/>
          <w:sz w:val="24"/>
        </w:rPr>
      </w:pPr>
      <w:hyperlink r:id="rId9">
        <w:r>
          <w:rPr>
            <w:i/>
            <w:color w:val="0000FF"/>
            <w:sz w:val="24"/>
            <w:u w:val="single" w:color="0000FF"/>
          </w:rPr>
          <w:t>_summary.pdf</w:t>
        </w:r>
        <w:r>
          <w:rPr>
            <w:i/>
            <w:sz w:val="24"/>
          </w:rPr>
          <w:t>.</w:t>
        </w:r>
      </w:hyperlink>
    </w:p>
    <w:p>
      <w:pPr>
        <w:pStyle w:val="BodyText"/>
        <w:spacing w:before="10"/>
        <w:rPr>
          <w:i/>
          <w:sz w:val="23"/>
        </w:rPr>
      </w:pPr>
    </w:p>
    <w:p>
      <w:pPr>
        <w:spacing w:line="480" w:lineRule="auto" w:before="1"/>
        <w:ind w:left="220" w:right="675" w:firstLine="720"/>
        <w:jc w:val="left"/>
        <w:rPr>
          <w:i/>
          <w:sz w:val="24"/>
        </w:rPr>
      </w:pPr>
      <w:r>
        <w:rPr>
          <w:sz w:val="24"/>
        </w:rPr>
        <w:t>The U.S. Department of Transportation’s National Highway Traffic Safety Administration found that in 2011, 3,331 people were killed and 387,000 were injured in distraction collisions. </w:t>
      </w:r>
      <w:r>
        <w:rPr>
          <w:i/>
          <w:sz w:val="24"/>
        </w:rPr>
        <w:t>Exhibit 9, </w:t>
      </w:r>
      <w:r>
        <w:rPr>
          <w:sz w:val="24"/>
        </w:rPr>
        <w:t>Traffic Safety Facts Research Note, </w:t>
      </w:r>
      <w:r>
        <w:rPr>
          <w:i/>
          <w:sz w:val="24"/>
        </w:rPr>
        <w:t>available at </w:t>
      </w:r>
      <w:hyperlink r:id="rId10">
        <w:r>
          <w:rPr>
            <w:i/>
            <w:color w:val="0000FF"/>
            <w:sz w:val="24"/>
            <w:u w:val="single" w:color="0000FF"/>
          </w:rPr>
          <w:t>http://www.distraction.gov/downloads/pdfs/traffic-saftey-facts-04-2013.pdf</w:t>
        </w:r>
        <w:r>
          <w:rPr>
            <w:i/>
            <w:sz w:val="24"/>
          </w:rPr>
          <w:t>.</w:t>
        </w:r>
      </w:hyperlink>
      <w:r>
        <w:rPr>
          <w:i/>
          <w:sz w:val="24"/>
        </w:rPr>
        <w:t> </w:t>
      </w:r>
      <w:r>
        <w:rPr>
          <w:sz w:val="24"/>
        </w:rPr>
        <w:t>Of those killed in fatal distraction collisions, 385 were killed by a driver using a cell phone. </w:t>
      </w:r>
      <w:r>
        <w:rPr>
          <w:i/>
          <w:sz w:val="24"/>
        </w:rPr>
        <w:t>Id. </w:t>
      </w:r>
      <w:r>
        <w:rPr>
          <w:sz w:val="24"/>
        </w:rPr>
        <w:t>Of those injured, 21,000 involved a driver using a cell phone. </w:t>
      </w:r>
      <w:r>
        <w:rPr>
          <w:i/>
          <w:sz w:val="24"/>
        </w:rPr>
        <w:t>Id.</w:t>
      </w:r>
    </w:p>
    <w:p>
      <w:pPr>
        <w:pStyle w:val="BodyText"/>
        <w:spacing w:line="480" w:lineRule="auto"/>
        <w:ind w:left="220" w:right="703" w:firstLine="772"/>
      </w:pPr>
      <w:r>
        <w:rPr/>
        <w:t>A jury can reasonably infer from the evidence that it was Ms. Becerril’s use of a cell phone, and the resulting known distraction of talking on a phone while driving, that caused the subject collision. Ms. Becerril was aware of the known risk of distraction that results from talking on the phone while driving, yet she engaged in that conduct regardless of the consequences to those on the road with her, including other drivers such as Mrs. Windt.</w:t>
      </w:r>
    </w:p>
    <w:p>
      <w:pPr>
        <w:pStyle w:val="BodyText"/>
        <w:spacing w:before="1"/>
        <w:ind w:left="220"/>
      </w:pPr>
      <w:r>
        <w:rPr/>
        <w:t>That evidence is sufficient for the issue of exemplary damages to be submitted to the jury.</w:t>
      </w:r>
    </w:p>
    <w:p>
      <w:pPr>
        <w:pStyle w:val="BodyText"/>
        <w:spacing w:before="11"/>
        <w:rPr>
          <w:sz w:val="23"/>
        </w:rPr>
      </w:pPr>
    </w:p>
    <w:p>
      <w:pPr>
        <w:spacing w:before="0"/>
        <w:ind w:left="220" w:right="0" w:firstLine="0"/>
        <w:jc w:val="left"/>
        <w:rPr>
          <w:sz w:val="24"/>
        </w:rPr>
      </w:pPr>
      <w:r>
        <w:rPr>
          <w:i/>
          <w:sz w:val="24"/>
        </w:rPr>
        <w:t>Stamp v. Vail Corp.</w:t>
      </w:r>
      <w:r>
        <w:rPr>
          <w:sz w:val="24"/>
        </w:rPr>
        <w:t>, 172 P.3d 437, 450 (Colo. 2007).</w:t>
      </w:r>
    </w:p>
    <w:p>
      <w:pPr>
        <w:pStyle w:val="BodyText"/>
        <w:spacing w:before="1"/>
      </w:pPr>
    </w:p>
    <w:p>
      <w:pPr>
        <w:pStyle w:val="BodyText"/>
        <w:spacing w:line="480" w:lineRule="auto"/>
        <w:ind w:left="220" w:right="685" w:firstLine="720"/>
      </w:pPr>
      <w:r>
        <w:rPr/>
        <w:t>Ms. Becerril has shown the elements of </w:t>
      </w:r>
      <w:r>
        <w:rPr>
          <w:i/>
        </w:rPr>
        <w:t>prima facie </w:t>
      </w:r>
      <w:r>
        <w:rPr/>
        <w:t>proof of a triable issue on exemplary damages. She should be granted leave to amend her complaint to add that</w:t>
      </w:r>
    </w:p>
    <w:p>
      <w:pPr>
        <w:spacing w:after="0" w:line="480" w:lineRule="auto"/>
        <w:sectPr>
          <w:pgSz w:w="12240" w:h="15840"/>
          <w:pgMar w:header="0" w:footer="958" w:top="1500" w:bottom="1220" w:left="1220" w:right="780"/>
        </w:sectPr>
      </w:pPr>
    </w:p>
    <w:p>
      <w:pPr>
        <w:pStyle w:val="BodyText"/>
        <w:ind w:left="220"/>
      </w:pPr>
      <w:r>
        <w:rPr/>
        <w:t>claim.</w:t>
      </w:r>
    </w:p>
    <w:p>
      <w:pPr>
        <w:pStyle w:val="BodyText"/>
        <w:rPr>
          <w:sz w:val="28"/>
        </w:rPr>
      </w:pPr>
      <w:r>
        <w:rPr/>
        <w:br w:type="column"/>
      </w:r>
      <w:r>
        <w:rPr>
          <w:sz w:val="28"/>
        </w:rPr>
      </w:r>
    </w:p>
    <w:p>
      <w:pPr>
        <w:pStyle w:val="BodyText"/>
        <w:spacing w:before="234"/>
        <w:ind w:left="76"/>
      </w:pPr>
      <w:r>
        <w:rPr/>
        <w:t>A proposed Order is attached.</w:t>
      </w:r>
    </w:p>
    <w:p>
      <w:pPr>
        <w:pStyle w:val="BodyText"/>
        <w:spacing w:before="10"/>
        <w:rPr>
          <w:sz w:val="23"/>
        </w:rPr>
      </w:pPr>
    </w:p>
    <w:p>
      <w:pPr>
        <w:pStyle w:val="BodyText"/>
        <w:ind w:left="76"/>
      </w:pPr>
      <w:r>
        <w:rPr/>
        <w:t>W</w:t>
      </w:r>
      <w:r>
        <w:rPr>
          <w:sz w:val="19"/>
        </w:rPr>
        <w:t>HEREFORE</w:t>
      </w:r>
      <w:r>
        <w:rPr/>
        <w:t>, for the above reasons, Kathryn Windt requests that the Court grant her</w:t>
      </w:r>
    </w:p>
    <w:p>
      <w:pPr>
        <w:spacing w:after="0"/>
        <w:sectPr>
          <w:type w:val="continuous"/>
          <w:pgSz w:w="12240" w:h="15840"/>
          <w:pgMar w:top="1500" w:bottom="280" w:left="1220" w:right="780"/>
          <w:cols w:num="2" w:equalWidth="0">
            <w:col w:w="824" w:space="40"/>
            <w:col w:w="9376"/>
          </w:cols>
        </w:sectPr>
      </w:pPr>
    </w:p>
    <w:p>
      <w:pPr>
        <w:pStyle w:val="BodyText"/>
        <w:spacing w:before="7"/>
        <w:rPr>
          <w:sz w:val="15"/>
        </w:rPr>
      </w:pPr>
    </w:p>
    <w:p>
      <w:pPr>
        <w:pStyle w:val="BodyText"/>
        <w:spacing w:line="480" w:lineRule="auto" w:before="100"/>
        <w:ind w:left="220" w:right="682"/>
      </w:pPr>
      <w:r>
        <w:rPr/>
        <w:t>leave to file her First Amended Counterclaim Against Third Party Plaintiffs, attached hereto as </w:t>
      </w:r>
      <w:r>
        <w:rPr>
          <w:i/>
        </w:rPr>
        <w:t>Exhibit 10, </w:t>
      </w:r>
      <w:r>
        <w:rPr/>
        <w:t>which includes a claim for exemplary damages against Ms. Becerril, and</w:t>
      </w:r>
    </w:p>
    <w:p>
      <w:pPr>
        <w:spacing w:after="0" w:line="480" w:lineRule="auto"/>
        <w:sectPr>
          <w:type w:val="continuous"/>
          <w:pgSz w:w="12240" w:h="15840"/>
          <w:pgMar w:top="1500" w:bottom="280" w:left="1220" w:right="780"/>
        </w:sectPr>
      </w:pPr>
    </w:p>
    <w:p>
      <w:pPr>
        <w:pStyle w:val="BodyText"/>
        <w:spacing w:before="5"/>
        <w:rPr>
          <w:sz w:val="9"/>
        </w:rPr>
      </w:pPr>
    </w:p>
    <w:p>
      <w:pPr>
        <w:pStyle w:val="BodyText"/>
        <w:spacing w:line="480" w:lineRule="auto" w:before="100"/>
        <w:ind w:left="220" w:right="640"/>
      </w:pPr>
      <w:r>
        <w:rPr/>
        <w:t>accept the First Amended Counterclaim Against Third Party Plaintiffs as filed and served as of the date of the Order granting this motion.</w:t>
      </w:r>
    </w:p>
    <w:p>
      <w:pPr>
        <w:pStyle w:val="BodyText"/>
        <w:spacing w:line="277" w:lineRule="exact"/>
        <w:ind w:left="940"/>
      </w:pPr>
      <w:r>
        <w:rPr/>
        <w:t>D</w:t>
      </w:r>
      <w:r>
        <w:rPr>
          <w:sz w:val="19"/>
        </w:rPr>
        <w:t>ATED</w:t>
      </w:r>
      <w:r>
        <w:rPr/>
        <w:t>: November 29, 2016.</w:t>
      </w:r>
    </w:p>
    <w:p>
      <w:pPr>
        <w:pStyle w:val="BodyText"/>
        <w:spacing w:before="6"/>
        <w:rPr>
          <w:sz w:val="31"/>
        </w:rPr>
      </w:pPr>
    </w:p>
    <w:p>
      <w:pPr>
        <w:spacing w:before="0"/>
        <w:ind w:left="4540" w:right="0" w:firstLine="0"/>
        <w:jc w:val="left"/>
        <w:rPr>
          <w:b/>
          <w:sz w:val="24"/>
        </w:rPr>
      </w:pPr>
      <w:r>
        <w:rPr>
          <w:b/>
          <w:sz w:val="24"/>
        </w:rPr>
        <w:t>COOK &amp; PAGANO, P.C.</w:t>
      </w:r>
    </w:p>
    <w:p>
      <w:pPr>
        <w:pStyle w:val="BodyText"/>
        <w:spacing w:before="1"/>
        <w:rPr>
          <w:b/>
        </w:rPr>
      </w:pPr>
    </w:p>
    <w:p>
      <w:pPr>
        <w:spacing w:before="0"/>
        <w:ind w:left="4540" w:right="841" w:firstLine="0"/>
        <w:jc w:val="left"/>
        <w:rPr>
          <w:i/>
          <w:sz w:val="24"/>
        </w:rPr>
      </w:pPr>
      <w:r>
        <w:rPr>
          <w:i/>
          <w:sz w:val="24"/>
        </w:rPr>
        <w:t>Original Signature on file at the offices of Cook &amp; </w:t>
      </w:r>
      <w:r>
        <w:rPr>
          <w:i/>
          <w:sz w:val="24"/>
        </w:rPr>
        <w:t>Pagano, P.C.</w:t>
      </w:r>
    </w:p>
    <w:p>
      <w:pPr>
        <w:pStyle w:val="BodyText"/>
        <w:spacing w:before="10"/>
        <w:rPr>
          <w:i/>
          <w:sz w:val="23"/>
        </w:rPr>
      </w:pPr>
    </w:p>
    <w:p>
      <w:pPr>
        <w:tabs>
          <w:tab w:pos="9579" w:val="left" w:leader="none"/>
        </w:tabs>
        <w:spacing w:before="0"/>
        <w:ind w:left="4540" w:right="0" w:firstLine="0"/>
        <w:jc w:val="left"/>
        <w:rPr>
          <w:i/>
          <w:sz w:val="24"/>
        </w:rPr>
      </w:pPr>
      <w:r>
        <w:rPr>
          <w:sz w:val="24"/>
          <w:u w:val="single"/>
        </w:rPr>
        <w:t>By:  </w:t>
      </w:r>
      <w:r>
        <w:rPr>
          <w:i/>
          <w:sz w:val="24"/>
          <w:u w:val="single"/>
        </w:rPr>
        <w:t>/s/ James</w:t>
      </w:r>
      <w:r>
        <w:rPr>
          <w:i/>
          <w:spacing w:val="-5"/>
          <w:sz w:val="24"/>
          <w:u w:val="single"/>
        </w:rPr>
        <w:t> </w:t>
      </w:r>
      <w:r>
        <w:rPr>
          <w:i/>
          <w:sz w:val="24"/>
          <w:u w:val="single"/>
        </w:rPr>
        <w:t>Pagano</w:t>
        <w:tab/>
      </w:r>
    </w:p>
    <w:p>
      <w:pPr>
        <w:pStyle w:val="BodyText"/>
        <w:spacing w:line="281" w:lineRule="exact" w:before="2"/>
        <w:ind w:left="4540"/>
      </w:pPr>
      <w:r>
        <w:rPr/>
        <w:t>James Pagano</w:t>
      </w:r>
    </w:p>
    <w:p>
      <w:pPr>
        <w:pStyle w:val="BodyText"/>
        <w:spacing w:line="480" w:lineRule="auto"/>
        <w:ind w:left="3546" w:right="2737" w:firstLine="993"/>
      </w:pPr>
      <w:r>
        <w:rPr/>
        <w:t>Attorneys for Kathryn Windt CERTIFICATE OF SERVICE</w:t>
      </w:r>
    </w:p>
    <w:p>
      <w:pPr>
        <w:pStyle w:val="BodyText"/>
        <w:ind w:left="579" w:right="1644" w:firstLine="360"/>
      </w:pPr>
      <w:r>
        <w:rPr/>
        <w:t>I hereby certify that a true and correct copy of the foregoing was served on November 29, 2016, via </w:t>
      </w:r>
      <w:r>
        <w:rPr>
          <w:i/>
        </w:rPr>
        <w:t>ICCES </w:t>
      </w:r>
      <w:r>
        <w:rPr/>
        <w:t>to the following:</w:t>
      </w:r>
    </w:p>
    <w:p>
      <w:pPr>
        <w:pStyle w:val="BodyText"/>
        <w:spacing w:before="10"/>
        <w:rPr>
          <w:sz w:val="23"/>
        </w:rPr>
      </w:pPr>
    </w:p>
    <w:tbl>
      <w:tblPr>
        <w:tblW w:w="0" w:type="auto"/>
        <w:jc w:val="left"/>
        <w:tblInd w:w="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37"/>
        <w:gridCol w:w="4009"/>
      </w:tblGrid>
      <w:tr>
        <w:trPr>
          <w:trHeight w:val="2251" w:hRule="atLeast"/>
        </w:trPr>
        <w:tc>
          <w:tcPr>
            <w:tcW w:w="4137" w:type="dxa"/>
          </w:tcPr>
          <w:p>
            <w:pPr>
              <w:pStyle w:val="TableParagraph"/>
              <w:ind w:left="200"/>
              <w:rPr>
                <w:sz w:val="24"/>
              </w:rPr>
            </w:pPr>
            <w:r>
              <w:rPr>
                <w:sz w:val="24"/>
              </w:rPr>
              <w:t>David Perry</w:t>
            </w:r>
          </w:p>
          <w:p>
            <w:pPr>
              <w:pStyle w:val="TableParagraph"/>
              <w:spacing w:before="2"/>
              <w:ind w:left="200" w:right="569"/>
              <w:rPr>
                <w:sz w:val="24"/>
              </w:rPr>
            </w:pPr>
            <w:r>
              <w:rPr>
                <w:sz w:val="24"/>
              </w:rPr>
              <w:t>Law Office of David B. Perry, LLC 7200 East Dry Creek, F203 Centennial, CO 80112</w:t>
            </w:r>
          </w:p>
          <w:p>
            <w:pPr>
              <w:pStyle w:val="TableParagraph"/>
              <w:spacing w:before="11"/>
              <w:ind w:left="0"/>
              <w:rPr>
                <w:sz w:val="23"/>
              </w:rPr>
            </w:pPr>
          </w:p>
          <w:p>
            <w:pPr>
              <w:pStyle w:val="TableParagraph"/>
              <w:ind w:left="200" w:right="2259"/>
              <w:rPr>
                <w:sz w:val="24"/>
              </w:rPr>
            </w:pPr>
            <w:r>
              <w:rPr>
                <w:sz w:val="24"/>
              </w:rPr>
              <w:t>Megan Fountain PO Box 3328</w:t>
            </w:r>
          </w:p>
          <w:p>
            <w:pPr>
              <w:pStyle w:val="TableParagraph"/>
              <w:spacing w:line="260" w:lineRule="exact"/>
              <w:ind w:left="200"/>
              <w:rPr>
                <w:sz w:val="24"/>
              </w:rPr>
            </w:pPr>
            <w:r>
              <w:rPr>
                <w:sz w:val="24"/>
              </w:rPr>
              <w:t>Englewood, CO 80155-3328</w:t>
            </w:r>
          </w:p>
        </w:tc>
        <w:tc>
          <w:tcPr>
            <w:tcW w:w="4009" w:type="dxa"/>
          </w:tcPr>
          <w:p>
            <w:pPr>
              <w:pStyle w:val="TableParagraph"/>
              <w:ind w:left="589"/>
              <w:rPr>
                <w:sz w:val="24"/>
              </w:rPr>
            </w:pPr>
            <w:r>
              <w:rPr>
                <w:sz w:val="24"/>
              </w:rPr>
              <w:t>Jeffrey Ruebel</w:t>
            </w:r>
          </w:p>
          <w:p>
            <w:pPr>
              <w:pStyle w:val="TableParagraph"/>
              <w:spacing w:line="281" w:lineRule="exact" w:before="2"/>
              <w:ind w:left="589"/>
              <w:rPr>
                <w:sz w:val="24"/>
              </w:rPr>
            </w:pPr>
            <w:r>
              <w:rPr>
                <w:sz w:val="24"/>
              </w:rPr>
              <w:t>R</w:t>
            </w:r>
            <w:r>
              <w:rPr>
                <w:sz w:val="19"/>
              </w:rPr>
              <w:t>UEBEL </w:t>
            </w:r>
            <w:r>
              <w:rPr>
                <w:sz w:val="24"/>
              </w:rPr>
              <w:t>&amp; Q</w:t>
            </w:r>
            <w:r>
              <w:rPr>
                <w:sz w:val="19"/>
              </w:rPr>
              <w:t>UILLEN</w:t>
            </w:r>
            <w:r>
              <w:rPr>
                <w:sz w:val="24"/>
              </w:rPr>
              <w:t>, LLC</w:t>
            </w:r>
          </w:p>
          <w:p>
            <w:pPr>
              <w:pStyle w:val="TableParagraph"/>
              <w:spacing w:line="281" w:lineRule="exact"/>
              <w:ind w:left="589"/>
              <w:rPr>
                <w:sz w:val="24"/>
              </w:rPr>
            </w:pPr>
            <w:r>
              <w:rPr>
                <w:sz w:val="24"/>
              </w:rPr>
              <w:t>8501 Turnpike Drive, Suite 106</w:t>
            </w:r>
          </w:p>
          <w:p>
            <w:pPr>
              <w:pStyle w:val="TableParagraph"/>
              <w:spacing w:line="281" w:lineRule="exact"/>
              <w:ind w:left="589"/>
              <w:rPr>
                <w:sz w:val="24"/>
              </w:rPr>
            </w:pPr>
            <w:r>
              <w:rPr>
                <w:sz w:val="24"/>
              </w:rPr>
              <w:t>Westminster, CO 80031</w:t>
            </w:r>
          </w:p>
        </w:tc>
      </w:tr>
    </w:tbl>
    <w:p>
      <w:pPr>
        <w:pStyle w:val="BodyText"/>
        <w:rPr>
          <w:sz w:val="28"/>
        </w:rPr>
      </w:pPr>
    </w:p>
    <w:p>
      <w:pPr>
        <w:spacing w:before="235"/>
        <w:ind w:left="5260" w:right="0" w:firstLine="0"/>
        <w:jc w:val="left"/>
        <w:rPr>
          <w:i/>
          <w:sz w:val="24"/>
        </w:rPr>
      </w:pPr>
      <w:r>
        <w:rPr>
          <w:i/>
          <w:sz w:val="24"/>
        </w:rPr>
        <w:t>Signature on file at C</w:t>
      </w:r>
      <w:r>
        <w:rPr>
          <w:i/>
          <w:sz w:val="19"/>
        </w:rPr>
        <w:t>OOK </w:t>
      </w:r>
      <w:r>
        <w:rPr>
          <w:i/>
          <w:sz w:val="24"/>
        </w:rPr>
        <w:t>&amp; P</w:t>
      </w:r>
      <w:r>
        <w:rPr>
          <w:i/>
          <w:sz w:val="19"/>
        </w:rPr>
        <w:t>AGANO</w:t>
      </w:r>
      <w:r>
        <w:rPr>
          <w:i/>
          <w:sz w:val="24"/>
        </w:rPr>
        <w:t>, P.C.</w:t>
      </w:r>
    </w:p>
    <w:p>
      <w:pPr>
        <w:pStyle w:val="BodyText"/>
        <w:rPr>
          <w:i/>
          <w:sz w:val="28"/>
        </w:rPr>
      </w:pPr>
    </w:p>
    <w:p>
      <w:pPr>
        <w:spacing w:before="233"/>
        <w:ind w:left="5260" w:right="0" w:firstLine="0"/>
        <w:jc w:val="left"/>
        <w:rPr>
          <w:i/>
          <w:sz w:val="24"/>
        </w:rPr>
      </w:pPr>
      <w:r>
        <w:rPr>
          <w:i/>
          <w:sz w:val="24"/>
          <w:u w:val="single"/>
        </w:rPr>
        <w:t>/s/ Ashley Neumann </w:t>
      </w:r>
    </w:p>
    <w:p>
      <w:pPr>
        <w:pStyle w:val="BodyText"/>
        <w:spacing w:before="1"/>
        <w:ind w:left="5260"/>
      </w:pPr>
      <w:r>
        <w:rPr/>
        <w:t>Ashley Neumann</w:t>
      </w:r>
    </w:p>
    <w:sectPr>
      <w:pgSz w:w="12240" w:h="15840"/>
      <w:pgMar w:header="0" w:footer="958" w:top="1500" w:bottom="1220" w:left="12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Minion Pro">
    <w:altName w:val="Minion Pro"/>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239990pt;margin-top:729.802124pt;width:9.550pt;height:14.25pt;mso-position-horizontal-relative:page;mso-position-vertical-relative:page;z-index:-7744" type="#_x0000_t202" filled="false" stroked="false">
          <v:textbox inset="0,0,0,0">
            <w:txbxContent>
              <w:p>
                <w:pPr>
                  <w:spacing w:before="11"/>
                  <w:ind w:left="40" w:right="0" w:firstLine="0"/>
                  <w:jc w:val="left"/>
                  <w:rPr>
                    <w:rFonts w:ascii="Times New Roman"/>
                    <w:sz w:val="22"/>
                  </w:rPr>
                </w:pPr>
                <w:r>
                  <w:rPr/>
                  <w:fldChar w:fldCharType="begin"/>
                </w:r>
                <w:r>
                  <w:rPr>
                    <w:rFonts w:ascii="Times New Roman"/>
                    <w:w w:val="100"/>
                    <w:sz w:val="2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20" w:hanging="360"/>
        <w:jc w:val="left"/>
      </w:pPr>
      <w:rPr>
        <w:rFonts w:hint="default" w:ascii="Cambria" w:hAnsi="Cambria" w:eastAsia="Cambria" w:cs="Cambria"/>
        <w:spacing w:val="-18"/>
        <w:w w:val="100"/>
        <w:sz w:val="24"/>
        <w:szCs w:val="24"/>
        <w:lang w:val="en-us" w:eastAsia="en-us" w:bidi="en-us"/>
      </w:rPr>
    </w:lvl>
    <w:lvl w:ilvl="1">
      <w:start w:val="0"/>
      <w:numFmt w:val="bullet"/>
      <w:lvlText w:val="•"/>
      <w:lvlJc w:val="left"/>
      <w:pPr>
        <w:ind w:left="1222" w:hanging="360"/>
      </w:pPr>
      <w:rPr>
        <w:rFonts w:hint="default"/>
        <w:lang w:val="en-us" w:eastAsia="en-us" w:bidi="en-us"/>
      </w:rPr>
    </w:lvl>
    <w:lvl w:ilvl="2">
      <w:start w:val="0"/>
      <w:numFmt w:val="bullet"/>
      <w:lvlText w:val="•"/>
      <w:lvlJc w:val="left"/>
      <w:pPr>
        <w:ind w:left="2224" w:hanging="360"/>
      </w:pPr>
      <w:rPr>
        <w:rFonts w:hint="default"/>
        <w:lang w:val="en-us" w:eastAsia="en-us" w:bidi="en-us"/>
      </w:rPr>
    </w:lvl>
    <w:lvl w:ilvl="3">
      <w:start w:val="0"/>
      <w:numFmt w:val="bullet"/>
      <w:lvlText w:val="•"/>
      <w:lvlJc w:val="left"/>
      <w:pPr>
        <w:ind w:left="3226" w:hanging="360"/>
      </w:pPr>
      <w:rPr>
        <w:rFonts w:hint="default"/>
        <w:lang w:val="en-us" w:eastAsia="en-us" w:bidi="en-us"/>
      </w:rPr>
    </w:lvl>
    <w:lvl w:ilvl="4">
      <w:start w:val="0"/>
      <w:numFmt w:val="bullet"/>
      <w:lvlText w:val="•"/>
      <w:lvlJc w:val="left"/>
      <w:pPr>
        <w:ind w:left="4228" w:hanging="360"/>
      </w:pPr>
      <w:rPr>
        <w:rFonts w:hint="default"/>
        <w:lang w:val="en-us" w:eastAsia="en-us" w:bidi="en-us"/>
      </w:rPr>
    </w:lvl>
    <w:lvl w:ilvl="5">
      <w:start w:val="0"/>
      <w:numFmt w:val="bullet"/>
      <w:lvlText w:val="•"/>
      <w:lvlJc w:val="left"/>
      <w:pPr>
        <w:ind w:left="523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234" w:hanging="360"/>
      </w:pPr>
      <w:rPr>
        <w:rFonts w:hint="default"/>
        <w:lang w:val="en-us" w:eastAsia="en-us" w:bidi="en-us"/>
      </w:rPr>
    </w:lvl>
    <w:lvl w:ilvl="8">
      <w:start w:val="0"/>
      <w:numFmt w:val="bullet"/>
      <w:lvlText w:val="•"/>
      <w:lvlJc w:val="left"/>
      <w:pPr>
        <w:ind w:left="8236" w:hanging="360"/>
      </w:pPr>
      <w:rPr>
        <w:rFonts w:hint="default"/>
        <w:lang w:val="en-us" w:eastAsia="en-us" w:bidi="en-us"/>
      </w:rPr>
    </w:lvl>
  </w:abstractNum>
  <w:abstractNum w:abstractNumId="0">
    <w:multiLevelType w:val="hybridMultilevel"/>
    <w:lvl w:ilvl="0">
      <w:start w:val="0"/>
      <w:numFmt w:val="bullet"/>
      <w:lvlText w:val=""/>
      <w:lvlJc w:val="left"/>
      <w:pPr>
        <w:ind w:left="1084" w:hanging="322"/>
      </w:pPr>
      <w:rPr>
        <w:rFonts w:hint="default" w:ascii="Wingdings" w:hAnsi="Wingdings" w:eastAsia="Wingdings" w:cs="Wingdings"/>
        <w:w w:val="100"/>
        <w:sz w:val="24"/>
        <w:szCs w:val="24"/>
        <w:lang w:val="en-us" w:eastAsia="en-us" w:bidi="en-us"/>
      </w:rPr>
    </w:lvl>
    <w:lvl w:ilvl="1">
      <w:start w:val="0"/>
      <w:numFmt w:val="bullet"/>
      <w:lvlText w:val="•"/>
      <w:lvlJc w:val="left"/>
      <w:pPr>
        <w:ind w:left="1367" w:hanging="322"/>
      </w:pPr>
      <w:rPr>
        <w:rFonts w:hint="default"/>
        <w:lang w:val="en-us" w:eastAsia="en-us" w:bidi="en-us"/>
      </w:rPr>
    </w:lvl>
    <w:lvl w:ilvl="2">
      <w:start w:val="0"/>
      <w:numFmt w:val="bullet"/>
      <w:lvlText w:val="•"/>
      <w:lvlJc w:val="left"/>
      <w:pPr>
        <w:ind w:left="1654" w:hanging="322"/>
      </w:pPr>
      <w:rPr>
        <w:rFonts w:hint="default"/>
        <w:lang w:val="en-us" w:eastAsia="en-us" w:bidi="en-us"/>
      </w:rPr>
    </w:lvl>
    <w:lvl w:ilvl="3">
      <w:start w:val="0"/>
      <w:numFmt w:val="bullet"/>
      <w:lvlText w:val="•"/>
      <w:lvlJc w:val="left"/>
      <w:pPr>
        <w:ind w:left="1941" w:hanging="322"/>
      </w:pPr>
      <w:rPr>
        <w:rFonts w:hint="default"/>
        <w:lang w:val="en-us" w:eastAsia="en-us" w:bidi="en-us"/>
      </w:rPr>
    </w:lvl>
    <w:lvl w:ilvl="4">
      <w:start w:val="0"/>
      <w:numFmt w:val="bullet"/>
      <w:lvlText w:val="•"/>
      <w:lvlJc w:val="left"/>
      <w:pPr>
        <w:ind w:left="2228" w:hanging="322"/>
      </w:pPr>
      <w:rPr>
        <w:rFonts w:hint="default"/>
        <w:lang w:val="en-us" w:eastAsia="en-us" w:bidi="en-us"/>
      </w:rPr>
    </w:lvl>
    <w:lvl w:ilvl="5">
      <w:start w:val="0"/>
      <w:numFmt w:val="bullet"/>
      <w:lvlText w:val="•"/>
      <w:lvlJc w:val="left"/>
      <w:pPr>
        <w:ind w:left="2515" w:hanging="322"/>
      </w:pPr>
      <w:rPr>
        <w:rFonts w:hint="default"/>
        <w:lang w:val="en-us" w:eastAsia="en-us" w:bidi="en-us"/>
      </w:rPr>
    </w:lvl>
    <w:lvl w:ilvl="6">
      <w:start w:val="0"/>
      <w:numFmt w:val="bullet"/>
      <w:lvlText w:val="•"/>
      <w:lvlJc w:val="left"/>
      <w:pPr>
        <w:ind w:left="2802" w:hanging="322"/>
      </w:pPr>
      <w:rPr>
        <w:rFonts w:hint="default"/>
        <w:lang w:val="en-us" w:eastAsia="en-us" w:bidi="en-us"/>
      </w:rPr>
    </w:lvl>
    <w:lvl w:ilvl="7">
      <w:start w:val="0"/>
      <w:numFmt w:val="bullet"/>
      <w:lvlText w:val="•"/>
      <w:lvlJc w:val="left"/>
      <w:pPr>
        <w:ind w:left="3089" w:hanging="322"/>
      </w:pPr>
      <w:rPr>
        <w:rFonts w:hint="default"/>
        <w:lang w:val="en-us" w:eastAsia="en-us" w:bidi="en-us"/>
      </w:rPr>
    </w:lvl>
    <w:lvl w:ilvl="8">
      <w:start w:val="0"/>
      <w:numFmt w:val="bullet"/>
      <w:lvlText w:val="•"/>
      <w:lvlJc w:val="left"/>
      <w:pPr>
        <w:ind w:left="3376" w:hanging="322"/>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rPr>
      <w:rFonts w:ascii="Cambria" w:hAnsi="Cambria" w:eastAsia="Cambria" w:cs="Cambria"/>
      <w:sz w:val="24"/>
      <w:szCs w:val="24"/>
      <w:lang w:val="en-us" w:eastAsia="en-us" w:bidi="en-us"/>
    </w:rPr>
  </w:style>
  <w:style w:styleId="ListParagraph" w:type="paragraph">
    <w:name w:val="List Paragraph"/>
    <w:basedOn w:val="Normal"/>
    <w:uiPriority w:val="1"/>
    <w:qFormat/>
    <w:pPr>
      <w:spacing w:before="239"/>
      <w:ind w:left="220" w:firstLine="360"/>
    </w:pPr>
    <w:rPr>
      <w:rFonts w:ascii="Cambria" w:hAnsi="Cambria" w:eastAsia="Cambria" w:cs="Cambria"/>
      <w:lang w:val="en-us" w:eastAsia="en-us" w:bidi="en-us"/>
    </w:rPr>
  </w:style>
  <w:style w:styleId="TableParagraph" w:type="paragraph">
    <w:name w:val="Table Paragraph"/>
    <w:basedOn w:val="Normal"/>
    <w:uiPriority w:val="1"/>
    <w:qFormat/>
    <w:pPr>
      <w:ind w:left="107"/>
    </w:pPr>
    <w:rPr>
      <w:rFonts w:ascii="Cambria" w:hAnsi="Cambria" w:eastAsia="Cambria" w:cs="Cambri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colorado.gov/pacific/csp/crash-trends" TargetMode="External"/><Relationship Id="rId7" Type="http://schemas.openxmlformats.org/officeDocument/2006/relationships/hyperlink" Target="http://www2.potsdam.edu/alcohol/DrivingIssues/20060830105036.html#.VP8GN_nF_ng" TargetMode="External"/><Relationship Id="rId8" Type="http://schemas.openxmlformats.org/officeDocument/2006/relationships/hyperlink" Target="http://www.lrrb.org/PDF/200541.pdf" TargetMode="External"/><Relationship Id="rId9" Type="http://schemas.openxmlformats.org/officeDocument/2006/relationships/hyperlink" Target="http://www.who.int/violence_injury_prevention/publications/road_traffic/distracted_driving_summary.pdf" TargetMode="External"/><Relationship Id="rId10" Type="http://schemas.openxmlformats.org/officeDocument/2006/relationships/hyperlink" Target="http://www.distraction.gov/downloads/pdfs/traffic-saftey-facts-04-2013.pdf"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Neumann</dc:creator>
  <dcterms:created xsi:type="dcterms:W3CDTF">2019-03-22T15:59:33Z</dcterms:created>
  <dcterms:modified xsi:type="dcterms:W3CDTF">2019-03-22T15:59:33Z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Acrobat PDFMaker 15 for Word</vt:lpwstr>
  </property>
  <property fmtid="{D5CDD505-2E9C-101B-9397-08002B2CF9AE}" pid="4" name="LastSaved">
    <vt:filetime>2019-03-22T00:00:00Z</vt:filetime>
  </property>
</Properties>
</file>