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5"/>
        <w:rPr>
          <w:sz w:val="25"/>
        </w:rPr>
      </w:pPr>
    </w:p>
    <w:p>
      <w:pPr>
        <w:spacing w:before="107"/>
        <w:ind w:left="0" w:right="108" w:firstLine="0"/>
        <w:jc w:val="right"/>
        <w:rPr>
          <w:rFonts w:ascii="Minion Pro"/>
          <w:sz w:val="19"/>
        </w:rPr>
      </w:pPr>
      <w:r>
        <w:rPr/>
        <w:pict>
          <v:shapetype id="_x0000_t202" o:spt="202" coordsize="21600,21600" path="m,l,21600r21600,l21600,xe">
            <v:stroke joinstyle="miter"/>
            <v:path gradientshapeok="t" o:connecttype="rect"/>
          </v:shapetype>
          <v:shape style="position:absolute;margin-left:76.320pt;margin-top:6.882951pt;width:459.45pt;height:376.8pt;mso-position-horizontal-relative:page;mso-position-vertical-relative:paragraph;z-index:10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0"/>
                    <w:gridCol w:w="3420"/>
                  </w:tblGrid>
                  <w:tr>
                    <w:trPr>
                      <w:trHeight w:val="1110" w:hRule="atLeast"/>
                    </w:trPr>
                    <w:tc>
                      <w:tcPr>
                        <w:tcW w:w="5760" w:type="dxa"/>
                      </w:tcPr>
                      <w:p>
                        <w:pPr>
                          <w:pStyle w:val="TableParagraph"/>
                          <w:spacing w:line="275" w:lineRule="exact" w:before="8"/>
                          <w:rPr>
                            <w:b/>
                            <w:sz w:val="24"/>
                          </w:rPr>
                        </w:pPr>
                        <w:r>
                          <w:rPr>
                            <w:b/>
                            <w:sz w:val="24"/>
                          </w:rPr>
                          <w:t>COUNTY COURT</w:t>
                        </w:r>
                      </w:p>
                      <w:p>
                        <w:pPr>
                          <w:pStyle w:val="TableParagraph"/>
                          <w:spacing w:line="275" w:lineRule="exact"/>
                          <w:rPr>
                            <w:sz w:val="24"/>
                          </w:rPr>
                        </w:pPr>
                        <w:r>
                          <w:rPr>
                            <w:sz w:val="24"/>
                          </w:rPr>
                          <w:t>COUNTY OF GILPIN, COLORADO</w:t>
                        </w:r>
                      </w:p>
                      <w:p>
                        <w:pPr>
                          <w:pStyle w:val="TableParagraph"/>
                          <w:spacing w:line="270" w:lineRule="atLeast"/>
                          <w:ind w:right="2547"/>
                          <w:rPr>
                            <w:sz w:val="24"/>
                          </w:rPr>
                        </w:pPr>
                        <w:r>
                          <w:rPr>
                            <w:sz w:val="24"/>
                          </w:rPr>
                          <w:t>2960 Dory Hill Road, Suite 200 Black Hawk, CO 80422</w:t>
                        </w:r>
                      </w:p>
                    </w:tc>
                    <w:tc>
                      <w:tcPr>
                        <w:tcW w:w="3420" w:type="dxa"/>
                        <w:tcBorders>
                          <w:bottom w:val="nil"/>
                        </w:tcBorders>
                      </w:tcPr>
                      <w:p>
                        <w:pPr>
                          <w:pStyle w:val="TableParagraph"/>
                          <w:spacing w:line="207" w:lineRule="exact"/>
                          <w:ind w:left="691"/>
                          <w:rPr>
                            <w:rFonts w:ascii="Minion Pro"/>
                            <w:sz w:val="19"/>
                          </w:rPr>
                        </w:pPr>
                        <w:r>
                          <w:rPr>
                            <w:rFonts w:ascii="Minion Pro"/>
                            <w:color w:val="0000FF"/>
                            <w:spacing w:val="-6"/>
                            <w:w w:val="105"/>
                            <w:sz w:val="19"/>
                          </w:rPr>
                          <w:t>DATE </w:t>
                        </w:r>
                        <w:r>
                          <w:rPr>
                            <w:rFonts w:ascii="Minion Pro"/>
                            <w:color w:val="0000FF"/>
                            <w:w w:val="105"/>
                            <w:sz w:val="19"/>
                          </w:rPr>
                          <w:t>FILED: December 20, 2016</w:t>
                        </w:r>
                      </w:p>
                      <w:p>
                        <w:pPr>
                          <w:pStyle w:val="TableParagraph"/>
                          <w:spacing w:line="220" w:lineRule="auto" w:before="4"/>
                          <w:ind w:left="691"/>
                          <w:rPr>
                            <w:rFonts w:ascii="Minion Pro"/>
                            <w:sz w:val="19"/>
                          </w:rPr>
                        </w:pPr>
                        <w:r>
                          <w:rPr>
                            <w:rFonts w:ascii="Minion Pro"/>
                            <w:color w:val="0000FF"/>
                            <w:w w:val="105"/>
                            <w:sz w:val="19"/>
                          </w:rPr>
                          <w:t>FILING ID: 6FCEB68E28819 CASE NUMBER: 2016T169</w:t>
                        </w:r>
                      </w:p>
                    </w:tc>
                  </w:tr>
                  <w:tr>
                    <w:trPr>
                      <w:trHeight w:val="830" w:hRule="atLeast"/>
                    </w:trPr>
                    <w:tc>
                      <w:tcPr>
                        <w:tcW w:w="5760" w:type="dxa"/>
                        <w:tcBorders>
                          <w:bottom w:val="nil"/>
                        </w:tcBorders>
                      </w:tcPr>
                      <w:p>
                        <w:pPr>
                          <w:pStyle w:val="TableParagraph"/>
                          <w:spacing w:before="5"/>
                          <w:ind w:left="0"/>
                          <w:rPr>
                            <w:sz w:val="24"/>
                          </w:rPr>
                        </w:pPr>
                      </w:p>
                      <w:p>
                        <w:pPr>
                          <w:pStyle w:val="TableParagraph"/>
                          <w:rPr>
                            <w:sz w:val="24"/>
                          </w:rPr>
                        </w:pPr>
                        <w:r>
                          <w:rPr>
                            <w:b/>
                            <w:sz w:val="24"/>
                          </w:rPr>
                          <w:t>Plaintiff</w:t>
                        </w:r>
                        <w:r>
                          <w:rPr>
                            <w:sz w:val="24"/>
                          </w:rPr>
                          <w:t>: PEOPLE OF THE STATE OF COLORADO</w:t>
                        </w:r>
                      </w:p>
                    </w:tc>
                    <w:tc>
                      <w:tcPr>
                        <w:tcW w:w="3420" w:type="dxa"/>
                        <w:tcBorders>
                          <w:top w:val="nil"/>
                          <w:bottom w:val="nil"/>
                        </w:tcBorders>
                      </w:tcPr>
                      <w:p>
                        <w:pPr>
                          <w:pStyle w:val="TableParagraph"/>
                          <w:ind w:left="0"/>
                          <w:rPr>
                            <w:sz w:val="26"/>
                          </w:rPr>
                        </w:pPr>
                      </w:p>
                      <w:p>
                        <w:pPr>
                          <w:pStyle w:val="TableParagraph"/>
                          <w:ind w:left="0"/>
                          <w:rPr>
                            <w:sz w:val="21"/>
                          </w:rPr>
                        </w:pPr>
                      </w:p>
                      <w:p>
                        <w:pPr>
                          <w:pStyle w:val="TableParagraph"/>
                          <w:spacing w:line="269" w:lineRule="exact"/>
                          <w:ind w:left="383"/>
                          <w:rPr>
                            <w:sz w:val="24"/>
                          </w:rPr>
                        </w:pPr>
                        <w:r>
                          <w:rPr>
                            <w:sz w:val="24"/>
                          </w:rPr>
                          <w:t>▲ COURT USE ONLY ▲</w:t>
                        </w:r>
                      </w:p>
                    </w:tc>
                  </w:tr>
                  <w:tr>
                    <w:trPr>
                      <w:trHeight w:val="422" w:hRule="atLeast"/>
                    </w:trPr>
                    <w:tc>
                      <w:tcPr>
                        <w:tcW w:w="5760" w:type="dxa"/>
                        <w:tcBorders>
                          <w:top w:val="nil"/>
                          <w:bottom w:val="nil"/>
                        </w:tcBorders>
                      </w:tcPr>
                      <w:p>
                        <w:pPr>
                          <w:pStyle w:val="TableParagraph"/>
                          <w:spacing w:before="3"/>
                          <w:rPr>
                            <w:sz w:val="24"/>
                          </w:rPr>
                        </w:pPr>
                        <w:r>
                          <w:rPr>
                            <w:sz w:val="24"/>
                          </w:rPr>
                          <w:t>v.</w:t>
                        </w:r>
                      </w:p>
                    </w:tc>
                    <w:tc>
                      <w:tcPr>
                        <w:tcW w:w="3420" w:type="dxa"/>
                        <w:tcBorders>
                          <w:top w:val="nil"/>
                          <w:bottom w:val="nil"/>
                        </w:tcBorders>
                      </w:tcPr>
                      <w:p>
                        <w:pPr>
                          <w:pStyle w:val="TableParagraph"/>
                          <w:ind w:left="0"/>
                          <w:rPr>
                            <w:sz w:val="22"/>
                          </w:rPr>
                        </w:pPr>
                      </w:p>
                    </w:tc>
                  </w:tr>
                  <w:tr>
                    <w:trPr>
                      <w:trHeight w:val="410" w:hRule="atLeast"/>
                    </w:trPr>
                    <w:tc>
                      <w:tcPr>
                        <w:tcW w:w="5760" w:type="dxa"/>
                        <w:tcBorders>
                          <w:top w:val="nil"/>
                        </w:tcBorders>
                      </w:tcPr>
                      <w:p>
                        <w:pPr>
                          <w:pStyle w:val="TableParagraph"/>
                          <w:spacing w:line="257" w:lineRule="exact" w:before="133"/>
                          <w:rPr>
                            <w:sz w:val="24"/>
                          </w:rPr>
                        </w:pPr>
                        <w:r>
                          <w:rPr>
                            <w:b/>
                            <w:sz w:val="24"/>
                          </w:rPr>
                          <w:t>Defendant: </w:t>
                        </w:r>
                        <w:r>
                          <w:rPr>
                            <w:sz w:val="24"/>
                          </w:rPr>
                          <w:t>ROBERT FRIEDLANDER</w:t>
                        </w:r>
                      </w:p>
                    </w:tc>
                    <w:tc>
                      <w:tcPr>
                        <w:tcW w:w="3420" w:type="dxa"/>
                        <w:vMerge w:val="restart"/>
                        <w:tcBorders>
                          <w:top w:val="nil"/>
                          <w:bottom w:val="nil"/>
                        </w:tcBorders>
                      </w:tcPr>
                      <w:p>
                        <w:pPr>
                          <w:pStyle w:val="TableParagraph"/>
                          <w:spacing w:before="1"/>
                          <w:ind w:left="0"/>
                          <w:rPr>
                            <w:sz w:val="34"/>
                          </w:rPr>
                        </w:pPr>
                      </w:p>
                      <w:p>
                        <w:pPr>
                          <w:pStyle w:val="TableParagraph"/>
                          <w:rPr>
                            <w:sz w:val="24"/>
                          </w:rPr>
                        </w:pPr>
                        <w:r>
                          <w:rPr>
                            <w:sz w:val="24"/>
                          </w:rPr>
                          <w:t>Case Number: 16T169</w:t>
                        </w:r>
                      </w:p>
                    </w:tc>
                  </w:tr>
                  <w:tr>
                    <w:trPr>
                      <w:trHeight w:val="269" w:hRule="atLeast"/>
                    </w:trPr>
                    <w:tc>
                      <w:tcPr>
                        <w:tcW w:w="5760" w:type="dxa"/>
                        <w:tcBorders>
                          <w:bottom w:val="nil"/>
                        </w:tcBorders>
                      </w:tcPr>
                      <w:p>
                        <w:pPr>
                          <w:pStyle w:val="TableParagraph"/>
                          <w:ind w:left="0"/>
                          <w:rPr>
                            <w:sz w:val="18"/>
                          </w:rPr>
                        </w:pPr>
                      </w:p>
                    </w:tc>
                    <w:tc>
                      <w:tcPr>
                        <w:tcW w:w="3420" w:type="dxa"/>
                        <w:vMerge/>
                        <w:tcBorders>
                          <w:top w:val="nil"/>
                          <w:bottom w:val="nil"/>
                        </w:tcBorders>
                      </w:tcPr>
                      <w:p>
                        <w:pPr>
                          <w:rPr>
                            <w:sz w:val="2"/>
                            <w:szCs w:val="2"/>
                          </w:rPr>
                        </w:pPr>
                      </w:p>
                    </w:tc>
                  </w:tr>
                  <w:tr>
                    <w:trPr>
                      <w:trHeight w:val="1258" w:hRule="atLeast"/>
                    </w:trPr>
                    <w:tc>
                      <w:tcPr>
                        <w:tcW w:w="5760" w:type="dxa"/>
                        <w:tcBorders>
                          <w:top w:val="nil"/>
                          <w:bottom w:val="nil"/>
                        </w:tcBorders>
                      </w:tcPr>
                      <w:p>
                        <w:pPr>
                          <w:pStyle w:val="TableParagraph"/>
                          <w:spacing w:before="11"/>
                          <w:rPr>
                            <w:sz w:val="24"/>
                          </w:rPr>
                        </w:pPr>
                        <w:r>
                          <w:rPr>
                            <w:sz w:val="24"/>
                          </w:rPr>
                          <w:t>ATTORNEYS FOR THE DEFENDANT</w:t>
                        </w:r>
                      </w:p>
                      <w:p>
                        <w:pPr>
                          <w:pStyle w:val="TableParagraph"/>
                          <w:ind w:right="3594"/>
                          <w:rPr>
                            <w:sz w:val="24"/>
                          </w:rPr>
                        </w:pPr>
                        <w:r>
                          <w:rPr>
                            <w:sz w:val="24"/>
                          </w:rPr>
                          <w:t>Fife Luneau, P.C. Charles Fife, #17799</w:t>
                        </w:r>
                      </w:p>
                      <w:p>
                        <w:pPr>
                          <w:pStyle w:val="TableParagraph"/>
                          <w:rPr>
                            <w:sz w:val="24"/>
                          </w:rPr>
                        </w:pPr>
                        <w:r>
                          <w:rPr>
                            <w:sz w:val="24"/>
                          </w:rPr>
                          <w:t>Daniel Luneau, #43639</w:t>
                        </w:r>
                      </w:p>
                    </w:tc>
                    <w:tc>
                      <w:tcPr>
                        <w:tcW w:w="3420" w:type="dxa"/>
                        <w:tcBorders>
                          <w:top w:val="nil"/>
                          <w:bottom w:val="nil"/>
                        </w:tcBorders>
                      </w:tcPr>
                      <w:p>
                        <w:pPr>
                          <w:pStyle w:val="TableParagraph"/>
                          <w:spacing w:before="1"/>
                          <w:ind w:left="0"/>
                          <w:rPr>
                            <w:sz w:val="22"/>
                          </w:rPr>
                        </w:pPr>
                      </w:p>
                      <w:p>
                        <w:pPr>
                          <w:pStyle w:val="TableParagraph"/>
                          <w:rPr>
                            <w:sz w:val="24"/>
                          </w:rPr>
                        </w:pPr>
                        <w:r>
                          <w:rPr>
                            <w:sz w:val="24"/>
                          </w:rPr>
                          <w:t>Div.: 1</w:t>
                        </w:r>
                      </w:p>
                    </w:tc>
                  </w:tr>
                  <w:tr>
                    <w:trPr>
                      <w:trHeight w:val="828" w:hRule="atLeast"/>
                    </w:trPr>
                    <w:tc>
                      <w:tcPr>
                        <w:tcW w:w="5760" w:type="dxa"/>
                        <w:tcBorders>
                          <w:top w:val="nil"/>
                          <w:bottom w:val="nil"/>
                        </w:tcBorders>
                      </w:tcPr>
                      <w:p>
                        <w:pPr>
                          <w:pStyle w:val="TableParagraph"/>
                          <w:spacing w:before="133"/>
                          <w:rPr>
                            <w:sz w:val="24"/>
                          </w:rPr>
                        </w:pPr>
                        <w:r>
                          <w:rPr>
                            <w:sz w:val="24"/>
                          </w:rPr>
                          <w:t>1873 S. Bellaire, Ste. 200</w:t>
                        </w:r>
                      </w:p>
                      <w:p>
                        <w:pPr>
                          <w:pStyle w:val="TableParagraph"/>
                          <w:rPr>
                            <w:sz w:val="24"/>
                          </w:rPr>
                        </w:pPr>
                        <w:r>
                          <w:rPr>
                            <w:sz w:val="24"/>
                          </w:rPr>
                          <w:t>Denver, CO 80222</w:t>
                        </w:r>
                      </w:p>
                    </w:tc>
                    <w:tc>
                      <w:tcPr>
                        <w:tcW w:w="3420" w:type="dxa"/>
                        <w:tcBorders>
                          <w:top w:val="nil"/>
                          <w:bottom w:val="nil"/>
                        </w:tcBorders>
                      </w:tcPr>
                      <w:p>
                        <w:pPr>
                          <w:pStyle w:val="TableParagraph"/>
                          <w:ind w:left="0"/>
                          <w:rPr>
                            <w:sz w:val="22"/>
                          </w:rPr>
                        </w:pPr>
                      </w:p>
                    </w:tc>
                  </w:tr>
                  <w:tr>
                    <w:trPr>
                      <w:trHeight w:val="1238" w:hRule="atLeast"/>
                    </w:trPr>
                    <w:tc>
                      <w:tcPr>
                        <w:tcW w:w="5760" w:type="dxa"/>
                        <w:tcBorders>
                          <w:top w:val="nil"/>
                        </w:tcBorders>
                      </w:tcPr>
                      <w:p>
                        <w:pPr>
                          <w:pStyle w:val="TableParagraph"/>
                          <w:spacing w:before="133"/>
                          <w:rPr>
                            <w:sz w:val="24"/>
                          </w:rPr>
                        </w:pPr>
                        <w:r>
                          <w:rPr>
                            <w:sz w:val="24"/>
                          </w:rPr>
                          <w:t>Ph:   (303)</w:t>
                        </w:r>
                        <w:r>
                          <w:rPr>
                            <w:spacing w:val="-4"/>
                            <w:sz w:val="24"/>
                          </w:rPr>
                          <w:t> </w:t>
                        </w:r>
                        <w:r>
                          <w:rPr>
                            <w:sz w:val="24"/>
                          </w:rPr>
                          <w:t>757-2200</w:t>
                        </w:r>
                      </w:p>
                      <w:p>
                        <w:pPr>
                          <w:pStyle w:val="TableParagraph"/>
                          <w:rPr>
                            <w:sz w:val="24"/>
                          </w:rPr>
                        </w:pPr>
                        <w:r>
                          <w:rPr>
                            <w:sz w:val="24"/>
                          </w:rPr>
                          <w:t>Fax: (303)</w:t>
                        </w:r>
                        <w:r>
                          <w:rPr>
                            <w:spacing w:val="-4"/>
                            <w:sz w:val="24"/>
                          </w:rPr>
                          <w:t> </w:t>
                        </w:r>
                        <w:r>
                          <w:rPr>
                            <w:sz w:val="24"/>
                          </w:rPr>
                          <w:t>756-6160</w:t>
                        </w:r>
                      </w:p>
                    </w:tc>
                    <w:tc>
                      <w:tcPr>
                        <w:tcW w:w="3420" w:type="dxa"/>
                        <w:tcBorders>
                          <w:top w:val="nil"/>
                        </w:tcBorders>
                      </w:tcPr>
                      <w:p>
                        <w:pPr>
                          <w:pStyle w:val="TableParagraph"/>
                          <w:ind w:left="0"/>
                          <w:rPr>
                            <w:sz w:val="22"/>
                          </w:rPr>
                        </w:pPr>
                      </w:p>
                    </w:tc>
                  </w:tr>
                  <w:tr>
                    <w:trPr>
                      <w:trHeight w:val="1121" w:hRule="atLeast"/>
                    </w:trPr>
                    <w:tc>
                      <w:tcPr>
                        <w:tcW w:w="9180" w:type="dxa"/>
                        <w:gridSpan w:val="2"/>
                      </w:tcPr>
                      <w:p>
                        <w:pPr>
                          <w:pStyle w:val="TableParagraph"/>
                          <w:spacing w:before="7"/>
                          <w:ind w:left="0"/>
                          <w:rPr>
                            <w:sz w:val="24"/>
                          </w:rPr>
                        </w:pPr>
                      </w:p>
                      <w:p>
                        <w:pPr>
                          <w:pStyle w:val="TableParagraph"/>
                          <w:spacing w:before="1"/>
                          <w:ind w:left="170" w:firstLine="92"/>
                          <w:rPr>
                            <w:b/>
                            <w:sz w:val="24"/>
                          </w:rPr>
                        </w:pPr>
                        <w:r>
                          <w:rPr>
                            <w:b/>
                            <w:sz w:val="24"/>
                          </w:rPr>
                          <w:t>MOTION TO SUPPRESS ILLEGAL STOP, INVOLUNTARY ROADSIDE TESTS, WARRANTLESS ARREST, STATEMENTS AND INVOLUNTARY BREATH TEST</w:t>
                        </w:r>
                      </w:p>
                    </w:tc>
                  </w:tr>
                </w:tbl>
                <w:p>
                  <w:pPr>
                    <w:pStyle w:val="BodyText"/>
                  </w:pPr>
                </w:p>
              </w:txbxContent>
            </v:textbox>
            <w10:wrap type="none"/>
          </v:shape>
        </w:pict>
      </w:r>
      <w:r>
        <w:rPr>
          <w:rFonts w:ascii="Minion Pro"/>
          <w:color w:val="0000FF"/>
          <w:w w:val="105"/>
          <w:sz w:val="19"/>
        </w:rPr>
        <w:t>3:39 PM</w:t>
      </w:r>
    </w:p>
    <w:p>
      <w:pPr>
        <w:pStyle w:val="BodyText"/>
        <w:rPr>
          <w:rFonts w:ascii="Minion Pro"/>
          <w:sz w:val="20"/>
        </w:rPr>
      </w:pPr>
    </w:p>
    <w:p>
      <w:pPr>
        <w:pStyle w:val="BodyText"/>
        <w:rPr>
          <w:rFonts w:ascii="Minion Pro"/>
          <w:sz w:val="20"/>
        </w:rPr>
      </w:pPr>
    </w:p>
    <w:p>
      <w:pPr>
        <w:pStyle w:val="BodyText"/>
        <w:rPr>
          <w:rFonts w:ascii="Minion Pro"/>
          <w:sz w:val="20"/>
        </w:rPr>
      </w:pPr>
    </w:p>
    <w:p>
      <w:pPr>
        <w:pStyle w:val="BodyText"/>
        <w:rPr>
          <w:rFonts w:ascii="Minion Pro"/>
          <w:sz w:val="20"/>
        </w:rPr>
      </w:pPr>
    </w:p>
    <w:p>
      <w:pPr>
        <w:pStyle w:val="BodyText"/>
        <w:rPr>
          <w:rFonts w:ascii="Minion Pro"/>
          <w:sz w:val="20"/>
        </w:rPr>
      </w:pPr>
    </w:p>
    <w:p>
      <w:pPr>
        <w:pStyle w:val="BodyText"/>
        <w:rPr>
          <w:rFonts w:ascii="Minion Pro"/>
          <w:sz w:val="20"/>
        </w:rPr>
      </w:pPr>
    </w:p>
    <w:p>
      <w:pPr>
        <w:pStyle w:val="BodyText"/>
        <w:rPr>
          <w:rFonts w:ascii="Minion Pro"/>
          <w:sz w:val="20"/>
        </w:rPr>
      </w:pPr>
    </w:p>
    <w:p>
      <w:pPr>
        <w:pStyle w:val="BodyText"/>
        <w:spacing w:before="10"/>
        <w:rPr>
          <w:rFonts w:ascii="Minion Pro"/>
        </w:rPr>
      </w:pPr>
      <w:r>
        <w:rPr/>
        <w:pict>
          <v:line style="position:absolute;mso-position-horizontal-relative:page;mso-position-vertical-relative:paragraph;z-index:-1024;mso-wrap-distance-left:0;mso-wrap-distance-right:0" from="380.940002pt,18.913727pt" to="518.940009pt,18.913727pt" stroked="true" strokeweight=".48pt" strokecolor="#000000">
            <v:stroke dashstyle="solid"/>
            <w10:wrap type="topAndBottom"/>
          </v:line>
        </w:pict>
      </w: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rPr>
          <w:rFonts w:ascii="Minion Pro"/>
          <w:sz w:val="26"/>
        </w:rPr>
      </w:pPr>
    </w:p>
    <w:p>
      <w:pPr>
        <w:pStyle w:val="BodyText"/>
        <w:spacing w:before="1"/>
        <w:rPr>
          <w:rFonts w:ascii="Minion Pro"/>
          <w:sz w:val="33"/>
        </w:rPr>
      </w:pPr>
    </w:p>
    <w:p>
      <w:pPr>
        <w:pStyle w:val="BodyText"/>
        <w:ind w:left="200" w:right="762" w:firstLine="720"/>
      </w:pPr>
      <w:r>
        <w:rPr/>
        <w:t>COMES NOW the Defendant, above named, by and through his attorneys, Fife Luneau, P.C., and moves this court for an Order suppressing the illegal stop, involuntary roadside tests and warrantless arrest of Defendant and all evidence obtained as a result of such illegal stop, involuntary roadside tests and warrantless arrest including any statements allegedly made by the defendant as well as the involuntary breath test. As grounds, Defendant states as follows:</w:t>
      </w:r>
    </w:p>
    <w:p>
      <w:pPr>
        <w:pStyle w:val="BodyText"/>
      </w:pPr>
    </w:p>
    <w:p>
      <w:pPr>
        <w:pStyle w:val="ListParagraph"/>
        <w:numPr>
          <w:ilvl w:val="0"/>
          <w:numId w:val="1"/>
        </w:numPr>
        <w:tabs>
          <w:tab w:pos="1220" w:val="left" w:leader="none"/>
        </w:tabs>
        <w:spacing w:line="240" w:lineRule="auto" w:before="0" w:after="0"/>
        <w:ind w:left="200" w:right="1146" w:firstLine="720"/>
        <w:jc w:val="left"/>
        <w:rPr>
          <w:sz w:val="24"/>
        </w:rPr>
      </w:pPr>
      <w:r>
        <w:rPr>
          <w:sz w:val="24"/>
        </w:rPr>
        <w:t>On or about May 30, 2016, at approximately 22:14 hours, Trooper Sullivan of the</w:t>
      </w:r>
      <w:bookmarkStart w:name="_bookmark0" w:id="1"/>
      <w:bookmarkEnd w:id="1"/>
      <w:r>
        <w:rPr>
          <w:sz w:val="24"/>
        </w:rPr>
      </w:r>
      <w:r>
        <w:rPr>
          <w:sz w:val="24"/>
        </w:rPr>
        <w:t> Colorado State Patrol conducted a traffic stop on Mr.</w:t>
      </w:r>
      <w:r>
        <w:rPr>
          <w:spacing w:val="-4"/>
          <w:sz w:val="24"/>
        </w:rPr>
        <w:t> </w:t>
      </w:r>
      <w:r>
        <w:rPr>
          <w:sz w:val="24"/>
        </w:rPr>
        <w:t>Friedlander.</w:t>
      </w:r>
    </w:p>
    <w:p>
      <w:pPr>
        <w:pStyle w:val="BodyText"/>
      </w:pPr>
    </w:p>
    <w:p>
      <w:pPr>
        <w:pStyle w:val="ListParagraph"/>
        <w:numPr>
          <w:ilvl w:val="0"/>
          <w:numId w:val="1"/>
        </w:numPr>
        <w:tabs>
          <w:tab w:pos="1220" w:val="left" w:leader="none"/>
        </w:tabs>
        <w:spacing w:line="240" w:lineRule="auto" w:before="0" w:after="0"/>
        <w:ind w:left="200" w:right="713" w:firstLine="720"/>
        <w:jc w:val="left"/>
        <w:rPr>
          <w:sz w:val="24"/>
        </w:rPr>
      </w:pPr>
      <w:r>
        <w:rPr>
          <w:sz w:val="24"/>
        </w:rPr>
        <w:t>Trooper Sullivan lacked a reasonable articulable suspicion of criminal activity prior to stopping and detaining Mr.</w:t>
      </w:r>
      <w:r>
        <w:rPr>
          <w:spacing w:val="-3"/>
          <w:sz w:val="24"/>
        </w:rPr>
        <w:t> </w:t>
      </w:r>
      <w:r>
        <w:rPr>
          <w:sz w:val="24"/>
        </w:rPr>
        <w:t>Friedlander.</w:t>
      </w:r>
    </w:p>
    <w:p>
      <w:pPr>
        <w:pStyle w:val="BodyText"/>
      </w:pPr>
    </w:p>
    <w:p>
      <w:pPr>
        <w:pStyle w:val="ListParagraph"/>
        <w:numPr>
          <w:ilvl w:val="0"/>
          <w:numId w:val="1"/>
        </w:numPr>
        <w:tabs>
          <w:tab w:pos="1220" w:val="left" w:leader="none"/>
        </w:tabs>
        <w:spacing w:line="240" w:lineRule="auto" w:before="0" w:after="0"/>
        <w:ind w:left="200" w:right="973" w:firstLine="720"/>
        <w:jc w:val="left"/>
        <w:rPr>
          <w:sz w:val="24"/>
        </w:rPr>
      </w:pPr>
      <w:bookmarkStart w:name="_bookmark1" w:id="2"/>
      <w:bookmarkEnd w:id="2"/>
      <w:r>
        <w:rPr/>
      </w:r>
      <w:bookmarkStart w:name="_bookmark1" w:id="3"/>
      <w:bookmarkEnd w:id="3"/>
      <w:r>
        <w:rPr>
          <w:sz w:val="24"/>
        </w:rPr>
        <w:t>A</w:t>
      </w:r>
      <w:r>
        <w:rPr>
          <w:sz w:val="24"/>
        </w:rPr>
        <w:t>s a part of the illegal detention, Trooper Sullivan requested, took and retained Mr. Friedlander’s driver’s license</w:t>
      </w:r>
      <w:hyperlink w:history="true" w:anchor="_bookmark2">
        <w:r>
          <w:rPr>
            <w:sz w:val="24"/>
            <w:vertAlign w:val="superscript"/>
          </w:rPr>
          <w:t>1</w:t>
        </w:r>
        <w:r>
          <w:rPr>
            <w:sz w:val="24"/>
            <w:vertAlign w:val="baseline"/>
          </w:rPr>
          <w:t> </w:t>
        </w:r>
      </w:hyperlink>
      <w:r>
        <w:rPr>
          <w:sz w:val="24"/>
          <w:vertAlign w:val="baseline"/>
        </w:rPr>
        <w:t>registration</w:t>
      </w:r>
      <w:hyperlink w:history="true" w:anchor="_bookmark0">
        <w:r>
          <w:rPr>
            <w:sz w:val="24"/>
            <w:vertAlign w:val="superscript"/>
          </w:rPr>
          <w:t>2</w:t>
        </w:r>
        <w:r>
          <w:rPr>
            <w:sz w:val="24"/>
            <w:vertAlign w:val="baseline"/>
          </w:rPr>
          <w:t> </w:t>
        </w:r>
      </w:hyperlink>
      <w:r>
        <w:rPr>
          <w:sz w:val="24"/>
          <w:vertAlign w:val="baseline"/>
        </w:rPr>
        <w:t>and</w:t>
      </w:r>
      <w:r>
        <w:rPr>
          <w:spacing w:val="-1"/>
          <w:sz w:val="24"/>
          <w:vertAlign w:val="baseline"/>
        </w:rPr>
        <w:t> </w:t>
      </w:r>
      <w:r>
        <w:rPr>
          <w:sz w:val="24"/>
          <w:vertAlign w:val="baseline"/>
        </w:rPr>
        <w:t>insurance.</w:t>
      </w:r>
      <w:hyperlink w:history="true" w:anchor="_bookmark1">
        <w:r>
          <w:rPr>
            <w:sz w:val="24"/>
            <w:vertAlign w:val="superscript"/>
          </w:rPr>
          <w:t>3</w:t>
        </w:r>
      </w:hyperlink>
    </w:p>
    <w:p>
      <w:pPr>
        <w:pStyle w:val="BodyText"/>
        <w:spacing w:before="8"/>
        <w:rPr>
          <w:sz w:val="11"/>
        </w:rPr>
      </w:pPr>
      <w:r>
        <w:rPr/>
        <w:pict>
          <v:line style="position:absolute;mso-position-horizontal-relative:page;mso-position-vertical-relative:paragraph;z-index:-1000;mso-wrap-distance-left:0;mso-wrap-distance-right:0" from="72pt,9.014876pt" to="216pt,9.014876pt" stroked="true" strokeweight=".6pt" strokecolor="#000000">
            <v:stroke dashstyle="solid"/>
            <w10:wrap type="topAndBottom"/>
          </v:line>
        </w:pict>
      </w:r>
    </w:p>
    <w:p>
      <w:pPr>
        <w:pStyle w:val="BodyText"/>
        <w:spacing w:before="38"/>
        <w:ind w:left="200"/>
      </w:pPr>
      <w:bookmarkStart w:name="_bookmark2" w:id="4"/>
      <w:bookmarkEnd w:id="4"/>
      <w:r>
        <w:rPr/>
      </w:r>
      <w:r>
        <w:rPr>
          <w:position w:val="11"/>
          <w:sz w:val="16"/>
        </w:rPr>
        <w:t>1 </w:t>
      </w:r>
      <w:r>
        <w:rPr/>
        <w:t>Section 42-2-115 C.R.S. states as follows:</w:t>
      </w:r>
    </w:p>
    <w:p>
      <w:pPr>
        <w:pStyle w:val="BodyText"/>
        <w:ind w:left="1010"/>
      </w:pPr>
      <w:r>
        <w:rPr>
          <w:b/>
        </w:rPr>
        <w:t>No person </w:t>
      </w:r>
      <w:r>
        <w:rPr/>
        <w:t>who has been issued a driver’s. . . license. . ., who operates a motor vehicle</w:t>
      </w:r>
    </w:p>
    <w:p>
      <w:pPr>
        <w:spacing w:after="0"/>
        <w:sectPr>
          <w:type w:val="continuous"/>
          <w:pgSz w:w="12240" w:h="15840"/>
          <w:pgMar w:top="1500" w:bottom="280" w:left="1240" w:right="780"/>
        </w:sectPr>
      </w:pPr>
    </w:p>
    <w:p>
      <w:pPr>
        <w:pStyle w:val="BodyText"/>
        <w:rPr>
          <w:sz w:val="20"/>
        </w:rPr>
      </w:pPr>
    </w:p>
    <w:p>
      <w:pPr>
        <w:pStyle w:val="BodyText"/>
        <w:rPr>
          <w:sz w:val="20"/>
        </w:rPr>
      </w:pPr>
    </w:p>
    <w:p>
      <w:pPr>
        <w:pStyle w:val="BodyText"/>
        <w:rPr>
          <w:sz w:val="20"/>
        </w:rPr>
      </w:pPr>
    </w:p>
    <w:p>
      <w:pPr>
        <w:pStyle w:val="BodyText"/>
        <w:spacing w:before="1"/>
        <w:rPr>
          <w:sz w:val="21"/>
        </w:rPr>
      </w:pPr>
    </w:p>
    <w:p>
      <w:pPr>
        <w:pStyle w:val="ListParagraph"/>
        <w:numPr>
          <w:ilvl w:val="0"/>
          <w:numId w:val="1"/>
        </w:numPr>
        <w:tabs>
          <w:tab w:pos="1222" w:val="left" w:leader="none"/>
        </w:tabs>
        <w:spacing w:line="240" w:lineRule="auto" w:before="0" w:after="0"/>
        <w:ind w:left="200" w:right="722" w:firstLine="720"/>
        <w:jc w:val="left"/>
        <w:rPr>
          <w:sz w:val="24"/>
        </w:rPr>
      </w:pPr>
      <w:r>
        <w:rPr>
          <w:sz w:val="24"/>
        </w:rPr>
        <w:t>While the officer retained Mr. Friedlander’s driver’s license, registration and proof of insurance, Mr. Friedlander was, as a matter of fact and as a matter of law, not free to</w:t>
      </w:r>
      <w:r>
        <w:rPr>
          <w:spacing w:val="-16"/>
          <w:sz w:val="24"/>
        </w:rPr>
        <w:t> </w:t>
      </w:r>
      <w:r>
        <w:rPr>
          <w:sz w:val="24"/>
        </w:rPr>
        <w:t>leave.</w:t>
      </w:r>
    </w:p>
    <w:p>
      <w:pPr>
        <w:pStyle w:val="BodyText"/>
      </w:pPr>
    </w:p>
    <w:p>
      <w:pPr>
        <w:pStyle w:val="ListParagraph"/>
        <w:numPr>
          <w:ilvl w:val="0"/>
          <w:numId w:val="1"/>
        </w:numPr>
        <w:tabs>
          <w:tab w:pos="1220" w:val="left" w:leader="none"/>
        </w:tabs>
        <w:spacing w:line="240" w:lineRule="auto" w:before="0" w:after="0"/>
        <w:ind w:left="200" w:right="842" w:firstLine="720"/>
        <w:jc w:val="left"/>
        <w:rPr>
          <w:sz w:val="24"/>
        </w:rPr>
      </w:pPr>
      <w:r>
        <w:rPr>
          <w:sz w:val="24"/>
        </w:rPr>
        <w:t>Until the officer returned to Mr. Friedlander his driver’s license, registration or</w:t>
      </w:r>
      <w:r>
        <w:rPr>
          <w:spacing w:val="-27"/>
          <w:sz w:val="24"/>
        </w:rPr>
        <w:t> </w:t>
      </w:r>
      <w:r>
        <w:rPr>
          <w:sz w:val="24"/>
        </w:rPr>
        <w:t>proof of insurance, Mr. Friedlander was unable to end the police officer’s detention of his person.</w:t>
      </w:r>
      <w:r>
        <w:rPr>
          <w:sz w:val="24"/>
          <w:u w:val="single"/>
        </w:rPr>
        <w:t> People v. Jackson</w:t>
      </w:r>
      <w:r>
        <w:rPr>
          <w:sz w:val="24"/>
        </w:rPr>
        <w:t>, 39 P.3d 1174, 1182 (Colo. 2002); </w:t>
      </w:r>
      <w:r>
        <w:rPr>
          <w:sz w:val="24"/>
          <w:u w:val="single"/>
        </w:rPr>
        <w:t>People v. Castaneda</w:t>
      </w:r>
      <w:r>
        <w:rPr>
          <w:sz w:val="24"/>
        </w:rPr>
        <w:t>, 187 P.3d 107 (Colo. 2008).</w:t>
      </w:r>
    </w:p>
    <w:p>
      <w:pPr>
        <w:pStyle w:val="BodyText"/>
      </w:pPr>
    </w:p>
    <w:p>
      <w:pPr>
        <w:pStyle w:val="ListParagraph"/>
        <w:numPr>
          <w:ilvl w:val="0"/>
          <w:numId w:val="1"/>
        </w:numPr>
        <w:tabs>
          <w:tab w:pos="1220" w:val="left" w:leader="none"/>
        </w:tabs>
        <w:spacing w:line="240" w:lineRule="auto" w:before="0" w:after="0"/>
        <w:ind w:left="200" w:right="1321" w:firstLine="720"/>
        <w:jc w:val="left"/>
        <w:rPr>
          <w:sz w:val="24"/>
        </w:rPr>
      </w:pPr>
      <w:r>
        <w:rPr>
          <w:sz w:val="24"/>
        </w:rPr>
        <w:t>Therefore, Mr. Friedlander had no choice but to wait for the officer to finish</w:t>
      </w:r>
      <w:r>
        <w:rPr>
          <w:spacing w:val="-19"/>
          <w:sz w:val="24"/>
        </w:rPr>
        <w:t> </w:t>
      </w:r>
      <w:r>
        <w:rPr>
          <w:sz w:val="24"/>
        </w:rPr>
        <w:t>her business with him before he could go about his own business. As noted in</w:t>
      </w:r>
      <w:r>
        <w:rPr>
          <w:spacing w:val="-13"/>
          <w:sz w:val="24"/>
        </w:rPr>
        <w:t> </w:t>
      </w:r>
      <w:r>
        <w:rPr>
          <w:sz w:val="24"/>
          <w:u w:val="single"/>
        </w:rPr>
        <w:t>Jackson</w:t>
      </w:r>
      <w:r>
        <w:rPr>
          <w:sz w:val="24"/>
        </w:rPr>
        <w:t>:</w:t>
      </w:r>
    </w:p>
    <w:p>
      <w:pPr>
        <w:pStyle w:val="BodyText"/>
        <w:spacing w:before="2"/>
        <w:rPr>
          <w:sz w:val="16"/>
        </w:rPr>
      </w:pPr>
    </w:p>
    <w:p>
      <w:pPr>
        <w:pStyle w:val="BodyText"/>
        <w:spacing w:before="90"/>
        <w:ind w:left="920" w:right="756"/>
      </w:pPr>
      <w:r>
        <w:rPr/>
        <w:t>[It] may strain “strain credulity to imagine” that the driver of an automobile, “directly on the heels of having been pulled over to the side of the road by armed and uniformed police officers in marked patrol cars, would ever feel ‘free to leave’ or ‘at liberty to ignore the police presence and go about his business.’ </w:t>
      </w:r>
      <w:r>
        <w:rPr>
          <w:u w:val="single"/>
        </w:rPr>
        <w:t>Id</w:t>
      </w:r>
      <w:r>
        <w:rPr/>
        <w:t>. at 1185.</w:t>
      </w:r>
    </w:p>
    <w:p>
      <w:pPr>
        <w:pStyle w:val="BodyText"/>
        <w:spacing w:before="2"/>
        <w:rPr>
          <w:sz w:val="16"/>
        </w:rPr>
      </w:pPr>
    </w:p>
    <w:p>
      <w:pPr>
        <w:pStyle w:val="ListParagraph"/>
        <w:numPr>
          <w:ilvl w:val="0"/>
          <w:numId w:val="1"/>
        </w:numPr>
        <w:tabs>
          <w:tab w:pos="1220" w:val="left" w:leader="none"/>
        </w:tabs>
        <w:spacing w:line="240" w:lineRule="auto" w:before="90" w:after="0"/>
        <w:ind w:left="200" w:right="1088" w:firstLine="720"/>
        <w:jc w:val="both"/>
        <w:rPr>
          <w:sz w:val="24"/>
        </w:rPr>
      </w:pPr>
      <w:r>
        <w:rPr>
          <w:sz w:val="24"/>
        </w:rPr>
        <w:t>Mr. Friedlander was not free to leave since the officer had his driver’s license and other documents. Therefore, he had no choice but to wait for the return of the officer and</w:t>
      </w:r>
      <w:r>
        <w:rPr>
          <w:spacing w:val="-18"/>
          <w:sz w:val="24"/>
        </w:rPr>
        <w:t> </w:t>
      </w:r>
      <w:r>
        <w:rPr>
          <w:sz w:val="24"/>
        </w:rPr>
        <w:t>his documents. As noted again in</w:t>
      </w:r>
      <w:r>
        <w:rPr>
          <w:spacing w:val="-2"/>
          <w:sz w:val="24"/>
        </w:rPr>
        <w:t> </w:t>
      </w:r>
      <w:r>
        <w:rPr>
          <w:sz w:val="24"/>
          <w:u w:val="single"/>
        </w:rPr>
        <w:t>Jackson</w:t>
      </w:r>
      <w:r>
        <w:rPr>
          <w:sz w:val="24"/>
        </w:rPr>
        <w:t>:</w:t>
      </w:r>
    </w:p>
    <w:p>
      <w:pPr>
        <w:pStyle w:val="BodyText"/>
        <w:spacing w:before="2"/>
        <w:rPr>
          <w:sz w:val="16"/>
        </w:rPr>
      </w:pPr>
    </w:p>
    <w:p>
      <w:pPr>
        <w:pStyle w:val="BodyText"/>
        <w:spacing w:before="90"/>
        <w:ind w:left="920" w:right="648"/>
      </w:pPr>
      <w:r>
        <w:rPr/>
        <w:t>“[O]nce the identification is handed over to the police and they have had a reasonable opportunity to review it, if the identification is not returned to the detainee it is difficult to imagine that any reasonable person would feel free to leave without it. </w:t>
      </w:r>
      <w:r>
        <w:rPr>
          <w:u w:val="single"/>
        </w:rPr>
        <w:t>Jackson</w:t>
      </w:r>
      <w:r>
        <w:rPr/>
        <w:t> at 1188, citing, </w:t>
      </w:r>
      <w:r>
        <w:rPr>
          <w:u w:val="single"/>
        </w:rPr>
        <w:t>United States v. Savage</w:t>
      </w:r>
      <w:r>
        <w:rPr/>
        <w:t>, 889 F.2d 1113, 1117 (D.C.Cir. 1991).</w:t>
      </w:r>
    </w:p>
    <w:p>
      <w:pPr>
        <w:pStyle w:val="BodyText"/>
        <w:spacing w:before="1"/>
        <w:rPr>
          <w:sz w:val="16"/>
        </w:rPr>
      </w:pPr>
    </w:p>
    <w:p>
      <w:pPr>
        <w:pStyle w:val="BodyText"/>
        <w:spacing w:before="90"/>
        <w:ind w:left="920" w:right="735"/>
      </w:pPr>
      <w:r>
        <w:rPr/>
        <w:t>“[A]bandoning one’s driver’s license . . . is simply not a practical or realistic option for a ‘reasonable’ traveler in this day in age.” citing, </w:t>
      </w:r>
      <w:r>
        <w:rPr>
          <w:u w:val="single"/>
        </w:rPr>
        <w:t>United States v. Jordan</w:t>
      </w:r>
      <w:r>
        <w:rPr/>
        <w:t>, 951 F.2d at 1282</w:t>
      </w:r>
    </w:p>
    <w:p>
      <w:pPr>
        <w:pStyle w:val="BodyText"/>
        <w:spacing w:before="2"/>
        <w:rPr>
          <w:sz w:val="19"/>
        </w:rPr>
      </w:pPr>
      <w:r>
        <w:rPr/>
        <w:pict>
          <v:line style="position:absolute;mso-position-horizontal-relative:page;mso-position-vertical-relative:paragraph;z-index:-952;mso-wrap-distance-left:0;mso-wrap-distance-right:0" from="72pt,13.279533pt" to="540pt,13.279533pt" stroked="true" strokeweight=".599pt" strokecolor="#000000">
            <v:stroke dashstyle="solid"/>
            <w10:wrap type="topAndBottom"/>
          </v:line>
        </w:pict>
      </w:r>
    </w:p>
    <w:p>
      <w:pPr>
        <w:pStyle w:val="BodyText"/>
        <w:spacing w:before="73"/>
        <w:ind w:left="1010" w:right="786"/>
      </w:pPr>
      <w:r>
        <w:rPr/>
        <w:t>in this state, and who has such license, . . . in such person’s immediate possession </w:t>
      </w:r>
      <w:r>
        <w:rPr>
          <w:b/>
        </w:rPr>
        <w:t>shall refuse </w:t>
      </w:r>
      <w:r>
        <w:rPr/>
        <w:t>to remove such license . . . from any billfold, purse cover, or other container and </w:t>
      </w:r>
      <w:r>
        <w:rPr>
          <w:b/>
        </w:rPr>
        <w:t>to hand the same to any peace officer </w:t>
      </w:r>
      <w:r>
        <w:rPr/>
        <w:t>who has requested such person to do so if such peace officer reasonably suspects that such person is committing, has committed, or is about to commit a violation . . . [emphasis added].</w:t>
      </w:r>
    </w:p>
    <w:p>
      <w:pPr>
        <w:pStyle w:val="BodyText"/>
        <w:spacing w:line="276" w:lineRule="exact"/>
        <w:ind w:left="200"/>
      </w:pPr>
      <w:r>
        <w:rPr>
          <w:position w:val="11"/>
          <w:sz w:val="16"/>
        </w:rPr>
        <w:t>2 </w:t>
      </w:r>
      <w:r>
        <w:rPr/>
        <w:t>Section 42-3-112(8) C.R.S. states as follows:</w:t>
      </w:r>
    </w:p>
    <w:p>
      <w:pPr>
        <w:spacing w:before="0"/>
        <w:ind w:left="1010" w:right="904" w:firstLine="0"/>
        <w:jc w:val="left"/>
        <w:rPr>
          <w:sz w:val="24"/>
        </w:rPr>
      </w:pPr>
      <w:r>
        <w:rPr>
          <w:b/>
          <w:sz w:val="24"/>
        </w:rPr>
        <w:t>The registration card </w:t>
      </w:r>
      <w:r>
        <w:rPr>
          <w:sz w:val="24"/>
        </w:rPr>
        <w:t>issued for a vehicle required to be registered under this article </w:t>
      </w:r>
      <w:r>
        <w:rPr>
          <w:b/>
          <w:sz w:val="24"/>
        </w:rPr>
        <w:t>shall</w:t>
      </w:r>
      <w:r>
        <w:rPr>
          <w:sz w:val="24"/>
        </w:rPr>
        <w:t>, at all times while the vehicle is being operated upon a highway within this state, </w:t>
      </w:r>
      <w:r>
        <w:rPr>
          <w:b/>
          <w:sz w:val="24"/>
        </w:rPr>
        <w:t>be in the possession of the driver </w:t>
      </w:r>
      <w:r>
        <w:rPr>
          <w:sz w:val="24"/>
        </w:rPr>
        <w:t>thereof or carried in the vehicle and </w:t>
      </w:r>
      <w:r>
        <w:rPr>
          <w:b/>
          <w:sz w:val="24"/>
        </w:rPr>
        <w:t>subject to inspection by any peace officer</w:t>
      </w:r>
      <w:r>
        <w:rPr>
          <w:sz w:val="24"/>
        </w:rPr>
        <w:t>. [emphasis added].</w:t>
      </w:r>
    </w:p>
    <w:p>
      <w:pPr>
        <w:pStyle w:val="BodyText"/>
        <w:spacing w:line="276" w:lineRule="exact"/>
        <w:ind w:left="200"/>
      </w:pPr>
      <w:r>
        <w:rPr>
          <w:position w:val="11"/>
          <w:sz w:val="16"/>
        </w:rPr>
        <w:t>3 </w:t>
      </w:r>
      <w:r>
        <w:rPr/>
        <w:t>Section 42-4-1409(3) C.R.S. states as follows:</w:t>
      </w:r>
    </w:p>
    <w:p>
      <w:pPr>
        <w:spacing w:before="0"/>
        <w:ind w:left="1010" w:right="698" w:firstLine="0"/>
        <w:jc w:val="left"/>
        <w:rPr>
          <w:sz w:val="24"/>
        </w:rPr>
      </w:pPr>
      <w:r>
        <w:rPr>
          <w:sz w:val="24"/>
        </w:rPr>
        <w:t>When . . . </w:t>
      </w:r>
      <w:r>
        <w:rPr>
          <w:b/>
          <w:sz w:val="24"/>
        </w:rPr>
        <w:t>requested </w:t>
      </w:r>
      <w:r>
        <w:rPr>
          <w:sz w:val="24"/>
        </w:rPr>
        <w:t>to do so following any lawful traffic contact or during any traffic investigation </w:t>
      </w:r>
      <w:r>
        <w:rPr>
          <w:b/>
          <w:sz w:val="24"/>
        </w:rPr>
        <w:t>by a peace officer</w:t>
      </w:r>
      <w:r>
        <w:rPr>
          <w:sz w:val="24"/>
        </w:rPr>
        <w:t>, </w:t>
      </w:r>
      <w:r>
        <w:rPr>
          <w:b/>
          <w:sz w:val="24"/>
        </w:rPr>
        <w:t>no owner or operator of a motor vehicle shall fail to present to the requesting officer immediate evidence of a complying policy </w:t>
      </w:r>
      <w:r>
        <w:rPr>
          <w:sz w:val="24"/>
        </w:rPr>
        <w:t>. . . as required by law. [emphasis added].</w:t>
      </w:r>
    </w:p>
    <w:p>
      <w:pPr>
        <w:spacing w:after="0"/>
        <w:jc w:val="left"/>
        <w:rPr>
          <w:sz w:val="24"/>
        </w:rPr>
        <w:sectPr>
          <w:pgSz w:w="12240" w:h="15840"/>
          <w:pgMar w:top="1500" w:bottom="280" w:left="1240" w:right="780"/>
        </w:sectPr>
      </w:pPr>
    </w:p>
    <w:p>
      <w:pPr>
        <w:pStyle w:val="BodyText"/>
        <w:rPr>
          <w:sz w:val="20"/>
        </w:rPr>
      </w:pPr>
    </w:p>
    <w:p>
      <w:pPr>
        <w:pStyle w:val="BodyText"/>
        <w:spacing w:before="3"/>
        <w:rPr>
          <w:sz w:val="29"/>
        </w:rPr>
      </w:pPr>
    </w:p>
    <w:p>
      <w:pPr>
        <w:pStyle w:val="BodyText"/>
        <w:spacing w:before="90"/>
        <w:ind w:left="920" w:right="735"/>
      </w:pPr>
      <w:r>
        <w:rPr/>
        <w:t>“[O]nce the identification is handed over to the police and they have had a reasonable opportunity to review it, if the identification is not returned to the detainee [it is] difficult to imagine that any reasonable person would feel free to leave without it.” </w:t>
      </w:r>
      <w:r>
        <w:rPr>
          <w:u w:val="single"/>
        </w:rPr>
        <w:t>Id</w:t>
      </w:r>
      <w:r>
        <w:rPr/>
        <w:t>., citing, </w:t>
      </w:r>
      <w:r>
        <w:rPr>
          <w:u w:val="single"/>
        </w:rPr>
        <w:t>Richmond</w:t>
      </w:r>
      <w:r>
        <w:rPr/>
        <w:t>, 468 S.E.2d at 710.</w:t>
      </w:r>
    </w:p>
    <w:p>
      <w:pPr>
        <w:pStyle w:val="BodyText"/>
        <w:spacing w:before="2"/>
        <w:rPr>
          <w:sz w:val="16"/>
        </w:rPr>
      </w:pPr>
    </w:p>
    <w:p>
      <w:pPr>
        <w:pStyle w:val="ListParagraph"/>
        <w:numPr>
          <w:ilvl w:val="0"/>
          <w:numId w:val="1"/>
        </w:numPr>
        <w:tabs>
          <w:tab w:pos="1162" w:val="left" w:leader="none"/>
        </w:tabs>
        <w:spacing w:line="240" w:lineRule="auto" w:before="90" w:after="0"/>
        <w:ind w:left="200" w:right="840" w:firstLine="720"/>
        <w:jc w:val="left"/>
        <w:rPr>
          <w:sz w:val="24"/>
        </w:rPr>
      </w:pPr>
      <w:r>
        <w:rPr>
          <w:sz w:val="24"/>
        </w:rPr>
        <w:t>While still retaining Mr. Friedlander’s legal documents, Trooper Sullivan asked Mr. Friedlander to do roadside manuevers. Even though posed in the form of a question, the request constituted a legal command which Mr. Friedlander could not legally refuse. </w:t>
      </w:r>
      <w:r>
        <w:rPr>
          <w:sz w:val="24"/>
          <w:u w:val="single"/>
        </w:rPr>
        <w:t>Pennsylvania v. Mimms</w:t>
      </w:r>
      <w:r>
        <w:rPr>
          <w:sz w:val="24"/>
        </w:rPr>
        <w:t>, 434 U.S. 106, 98 S.Ct. 330, 54 L.Ed.2d 331 (1977); </w:t>
      </w:r>
      <w:r>
        <w:rPr>
          <w:sz w:val="24"/>
          <w:u w:val="single"/>
        </w:rPr>
        <w:t>People v. Carlson</w:t>
      </w:r>
      <w:r>
        <w:rPr>
          <w:sz w:val="24"/>
        </w:rPr>
        <w:t>, 677 P.2d 310, 314 (Colo.</w:t>
      </w:r>
      <w:r>
        <w:rPr>
          <w:spacing w:val="-1"/>
          <w:sz w:val="24"/>
        </w:rPr>
        <w:t> </w:t>
      </w:r>
      <w:r>
        <w:rPr>
          <w:sz w:val="24"/>
        </w:rPr>
        <w:t>1984).</w:t>
      </w:r>
    </w:p>
    <w:p>
      <w:pPr>
        <w:pStyle w:val="BodyText"/>
      </w:pPr>
    </w:p>
    <w:p>
      <w:pPr>
        <w:pStyle w:val="ListParagraph"/>
        <w:numPr>
          <w:ilvl w:val="0"/>
          <w:numId w:val="1"/>
        </w:numPr>
        <w:tabs>
          <w:tab w:pos="1220" w:val="left" w:leader="none"/>
        </w:tabs>
        <w:spacing w:line="240" w:lineRule="auto" w:before="0" w:after="0"/>
        <w:ind w:left="200" w:right="1213" w:firstLine="720"/>
        <w:jc w:val="left"/>
        <w:rPr>
          <w:sz w:val="24"/>
        </w:rPr>
      </w:pPr>
      <w:r>
        <w:rPr>
          <w:sz w:val="24"/>
        </w:rPr>
        <w:t>Mr. Friedlander “cannot be compelled to take a roadside sobriety test against his wishes.” </w:t>
      </w:r>
      <w:r>
        <w:rPr>
          <w:sz w:val="24"/>
          <w:u w:val="single"/>
        </w:rPr>
        <w:t>People v. Ramirez</w:t>
      </w:r>
      <w:r>
        <w:rPr>
          <w:sz w:val="24"/>
        </w:rPr>
        <w:t>, 609 P.2d 616, 618 (Colo.</w:t>
      </w:r>
      <w:r>
        <w:rPr>
          <w:spacing w:val="-3"/>
          <w:sz w:val="24"/>
        </w:rPr>
        <w:t> </w:t>
      </w:r>
      <w:r>
        <w:rPr>
          <w:sz w:val="24"/>
        </w:rPr>
        <w:t>1980).</w:t>
      </w:r>
    </w:p>
    <w:p>
      <w:pPr>
        <w:pStyle w:val="BodyText"/>
        <w:spacing w:before="2"/>
        <w:rPr>
          <w:sz w:val="16"/>
        </w:rPr>
      </w:pPr>
    </w:p>
    <w:p>
      <w:pPr>
        <w:pStyle w:val="ListParagraph"/>
        <w:numPr>
          <w:ilvl w:val="0"/>
          <w:numId w:val="1"/>
        </w:numPr>
        <w:tabs>
          <w:tab w:pos="1340" w:val="left" w:leader="none"/>
        </w:tabs>
        <w:spacing w:line="240" w:lineRule="auto" w:before="90" w:after="0"/>
        <w:ind w:left="200" w:right="693" w:firstLine="720"/>
        <w:jc w:val="left"/>
        <w:rPr>
          <w:sz w:val="24"/>
        </w:rPr>
      </w:pPr>
      <w:r>
        <w:rPr>
          <w:sz w:val="24"/>
        </w:rPr>
        <w:t>Furthermore, Mr. Friedlander’s decision to perform them must be intelligently and freely given, without any duress, coercion or subtle promises or threats which could flaw the free and unconstrained decision. </w:t>
      </w:r>
      <w:r>
        <w:rPr>
          <w:sz w:val="24"/>
          <w:u w:val="single"/>
        </w:rPr>
        <w:t>Turbyne v. People</w:t>
      </w:r>
      <w:r>
        <w:rPr>
          <w:sz w:val="24"/>
        </w:rPr>
        <w:t>, 151 P.3d 563, 572 (Colo. 2007), citing </w:t>
      </w:r>
      <w:r>
        <w:rPr>
          <w:sz w:val="24"/>
          <w:u w:val="single"/>
        </w:rPr>
        <w:t>People v. Helm</w:t>
      </w:r>
      <w:r>
        <w:rPr>
          <w:sz w:val="24"/>
        </w:rPr>
        <w:t>, 633 P.2d 1071, 1077 (Colo. 1981); </w:t>
      </w:r>
      <w:r>
        <w:rPr>
          <w:sz w:val="24"/>
          <w:u w:val="single"/>
        </w:rPr>
        <w:t>People v. Carlson</w:t>
      </w:r>
      <w:r>
        <w:rPr>
          <w:sz w:val="24"/>
        </w:rPr>
        <w:t>, 677 P.2d 310, 318</w:t>
      </w:r>
      <w:r>
        <w:rPr>
          <w:spacing w:val="-6"/>
          <w:sz w:val="24"/>
        </w:rPr>
        <w:t> </w:t>
      </w:r>
      <w:r>
        <w:rPr>
          <w:sz w:val="24"/>
        </w:rPr>
        <w:t>(1984).</w:t>
      </w:r>
    </w:p>
    <w:p>
      <w:pPr>
        <w:pStyle w:val="BodyText"/>
        <w:spacing w:before="2"/>
        <w:rPr>
          <w:sz w:val="16"/>
        </w:rPr>
      </w:pPr>
    </w:p>
    <w:p>
      <w:pPr>
        <w:pStyle w:val="ListParagraph"/>
        <w:numPr>
          <w:ilvl w:val="0"/>
          <w:numId w:val="1"/>
        </w:numPr>
        <w:tabs>
          <w:tab w:pos="1340" w:val="left" w:leader="none"/>
        </w:tabs>
        <w:spacing w:line="240" w:lineRule="auto" w:before="90" w:after="0"/>
        <w:ind w:left="200" w:right="1150" w:firstLine="720"/>
        <w:jc w:val="both"/>
        <w:rPr>
          <w:sz w:val="24"/>
        </w:rPr>
      </w:pPr>
      <w:r>
        <w:rPr>
          <w:sz w:val="24"/>
        </w:rPr>
        <w:t>Enacted to take effect after April 29, 2010, the Colorado General Assembly</w:t>
      </w:r>
      <w:r>
        <w:rPr>
          <w:spacing w:val="-19"/>
          <w:sz w:val="24"/>
        </w:rPr>
        <w:t> </w:t>
      </w:r>
      <w:r>
        <w:rPr>
          <w:sz w:val="24"/>
        </w:rPr>
        <w:t>now requires all police officers to comply with the provisions of this statute prior to conducting a search of any person or such person’s vehicle who is not under</w:t>
      </w:r>
      <w:r>
        <w:rPr>
          <w:spacing w:val="-5"/>
          <w:sz w:val="24"/>
        </w:rPr>
        <w:t> </w:t>
      </w:r>
      <w:r>
        <w:rPr>
          <w:sz w:val="24"/>
        </w:rPr>
        <w:t>arrest.</w:t>
      </w:r>
    </w:p>
    <w:p>
      <w:pPr>
        <w:pStyle w:val="BodyText"/>
      </w:pPr>
    </w:p>
    <w:p>
      <w:pPr>
        <w:pStyle w:val="ListParagraph"/>
        <w:numPr>
          <w:ilvl w:val="0"/>
          <w:numId w:val="1"/>
        </w:numPr>
        <w:tabs>
          <w:tab w:pos="1340" w:val="left" w:leader="none"/>
        </w:tabs>
        <w:spacing w:line="240" w:lineRule="auto" w:before="1" w:after="0"/>
        <w:ind w:left="1340" w:right="0" w:hanging="420"/>
        <w:jc w:val="left"/>
        <w:rPr>
          <w:sz w:val="24"/>
        </w:rPr>
      </w:pPr>
      <w:r>
        <w:rPr>
          <w:sz w:val="24"/>
        </w:rPr>
        <w:t>Specifically, Trooper Sullivan failed to inform Mr.</w:t>
      </w:r>
      <w:r>
        <w:rPr>
          <w:spacing w:val="-6"/>
          <w:sz w:val="24"/>
        </w:rPr>
        <w:t> </w:t>
      </w:r>
      <w:r>
        <w:rPr>
          <w:sz w:val="24"/>
        </w:rPr>
        <w:t>Friedlander:</w:t>
      </w:r>
    </w:p>
    <w:p>
      <w:pPr>
        <w:pStyle w:val="BodyText"/>
        <w:spacing w:before="11"/>
        <w:rPr>
          <w:sz w:val="23"/>
        </w:rPr>
      </w:pPr>
    </w:p>
    <w:p>
      <w:pPr>
        <w:pStyle w:val="ListParagraph"/>
        <w:numPr>
          <w:ilvl w:val="1"/>
          <w:numId w:val="1"/>
        </w:numPr>
        <w:tabs>
          <w:tab w:pos="2707" w:val="left" w:leader="none"/>
        </w:tabs>
        <w:spacing w:line="240" w:lineRule="auto" w:before="0" w:after="0"/>
        <w:ind w:left="2706" w:right="0" w:hanging="346"/>
        <w:jc w:val="left"/>
        <w:rPr>
          <w:sz w:val="24"/>
        </w:rPr>
      </w:pPr>
      <w:r>
        <w:rPr>
          <w:sz w:val="24"/>
        </w:rPr>
        <w:t>That he was being asked to voluntarily consent to a</w:t>
      </w:r>
      <w:r>
        <w:rPr>
          <w:spacing w:val="-4"/>
          <w:sz w:val="24"/>
        </w:rPr>
        <w:t> </w:t>
      </w:r>
      <w:r>
        <w:rPr>
          <w:sz w:val="24"/>
        </w:rPr>
        <w:t>search;</w:t>
      </w:r>
    </w:p>
    <w:p>
      <w:pPr>
        <w:pStyle w:val="BodyText"/>
        <w:spacing w:before="10"/>
        <w:rPr>
          <w:sz w:val="23"/>
        </w:rPr>
      </w:pPr>
    </w:p>
    <w:p>
      <w:pPr>
        <w:pStyle w:val="ListParagraph"/>
        <w:numPr>
          <w:ilvl w:val="1"/>
          <w:numId w:val="1"/>
        </w:numPr>
        <w:tabs>
          <w:tab w:pos="2660" w:val="left" w:leader="none"/>
        </w:tabs>
        <w:spacing w:line="240" w:lineRule="auto" w:before="0" w:after="0"/>
        <w:ind w:left="2660" w:right="0" w:hanging="300"/>
        <w:jc w:val="left"/>
        <w:rPr>
          <w:sz w:val="24"/>
        </w:rPr>
      </w:pPr>
      <w:r>
        <w:rPr>
          <w:sz w:val="24"/>
        </w:rPr>
        <w:t>That he had a right to refuse the request to the</w:t>
      </w:r>
      <w:r>
        <w:rPr>
          <w:spacing w:val="-8"/>
          <w:sz w:val="24"/>
        </w:rPr>
        <w:t> </w:t>
      </w:r>
      <w:r>
        <w:rPr>
          <w:sz w:val="24"/>
        </w:rPr>
        <w:t>search.</w:t>
      </w:r>
    </w:p>
    <w:p>
      <w:pPr>
        <w:pStyle w:val="BodyText"/>
      </w:pPr>
    </w:p>
    <w:p>
      <w:pPr>
        <w:pStyle w:val="ListParagraph"/>
        <w:numPr>
          <w:ilvl w:val="0"/>
          <w:numId w:val="1"/>
        </w:numPr>
        <w:tabs>
          <w:tab w:pos="1340" w:val="left" w:leader="none"/>
        </w:tabs>
        <w:spacing w:line="240" w:lineRule="auto" w:before="0" w:after="0"/>
        <w:ind w:left="200" w:right="1299" w:firstLine="720"/>
        <w:jc w:val="left"/>
        <w:rPr>
          <w:sz w:val="24"/>
        </w:rPr>
      </w:pPr>
      <w:r>
        <w:rPr>
          <w:sz w:val="24"/>
        </w:rPr>
        <w:t>Pursuant to §16-3-310 C.R.S., this Honorable Court </w:t>
      </w:r>
      <w:r>
        <w:rPr>
          <w:b/>
          <w:sz w:val="24"/>
        </w:rPr>
        <w:t>shall </w:t>
      </w:r>
      <w:r>
        <w:rPr>
          <w:sz w:val="24"/>
        </w:rPr>
        <w:t>take into account</w:t>
      </w:r>
      <w:r>
        <w:rPr>
          <w:spacing w:val="-22"/>
          <w:sz w:val="24"/>
        </w:rPr>
        <w:t> </w:t>
      </w:r>
      <w:r>
        <w:rPr>
          <w:sz w:val="24"/>
        </w:rPr>
        <w:t>the officer’s failure to comply with the provisions of this statute if Mr. Friedlander moves to suppress the fruit of the search. Ms. Friedlander moves to suppress the fruit of the</w:t>
      </w:r>
      <w:r>
        <w:rPr>
          <w:spacing w:val="-17"/>
          <w:sz w:val="24"/>
        </w:rPr>
        <w:t> </w:t>
      </w:r>
      <w:r>
        <w:rPr>
          <w:sz w:val="24"/>
        </w:rPr>
        <w:t>search.</w:t>
      </w:r>
    </w:p>
    <w:p>
      <w:pPr>
        <w:pStyle w:val="BodyText"/>
      </w:pPr>
    </w:p>
    <w:p>
      <w:pPr>
        <w:pStyle w:val="ListParagraph"/>
        <w:numPr>
          <w:ilvl w:val="0"/>
          <w:numId w:val="1"/>
        </w:numPr>
        <w:tabs>
          <w:tab w:pos="1340" w:val="left" w:leader="none"/>
        </w:tabs>
        <w:spacing w:line="240" w:lineRule="auto" w:before="1" w:after="0"/>
        <w:ind w:left="1340" w:right="0" w:hanging="420"/>
        <w:jc w:val="left"/>
        <w:rPr>
          <w:sz w:val="24"/>
        </w:rPr>
      </w:pPr>
      <w:r>
        <w:rPr>
          <w:sz w:val="24"/>
        </w:rPr>
        <w:t>Section 16-3-310 C.R.S. states as</w:t>
      </w:r>
      <w:r>
        <w:rPr>
          <w:spacing w:val="-3"/>
          <w:sz w:val="24"/>
        </w:rPr>
        <w:t> </w:t>
      </w:r>
      <w:r>
        <w:rPr>
          <w:sz w:val="24"/>
        </w:rPr>
        <w:t>follows:</w:t>
      </w:r>
    </w:p>
    <w:p>
      <w:pPr>
        <w:pStyle w:val="BodyText"/>
        <w:spacing w:before="4"/>
      </w:pPr>
    </w:p>
    <w:p>
      <w:pPr>
        <w:pStyle w:val="Heading1"/>
        <w:spacing w:line="237" w:lineRule="auto"/>
        <w:ind w:right="700"/>
        <w:rPr>
          <w:b w:val="0"/>
        </w:rPr>
      </w:pPr>
      <w:r>
        <w:rPr/>
        <w:t>Oral advisement and consent prior to search of a vehicle or a person during a police contact</w:t>
      </w:r>
      <w:r>
        <w:rPr>
          <w:b w:val="0"/>
        </w:rPr>
        <w:t>.</w:t>
      </w:r>
    </w:p>
    <w:p>
      <w:pPr>
        <w:pStyle w:val="BodyText"/>
        <w:spacing w:before="1"/>
      </w:pPr>
    </w:p>
    <w:p>
      <w:pPr>
        <w:pStyle w:val="BodyText"/>
        <w:ind w:left="920" w:right="1069"/>
      </w:pPr>
      <w:r>
        <w:rPr/>
        <w:t>(1)(a) Prior to conducting a consensual search of a person who is not under arrest, the person's effects, or a vehicle, a peace officer shall comply with paragraph (b) of this subsection (1).</w:t>
      </w:r>
    </w:p>
    <w:p>
      <w:pPr>
        <w:pStyle w:val="ListParagraph"/>
        <w:numPr>
          <w:ilvl w:val="0"/>
          <w:numId w:val="2"/>
        </w:numPr>
        <w:tabs>
          <w:tab w:pos="1261" w:val="left" w:leader="none"/>
        </w:tabs>
        <w:spacing w:line="240" w:lineRule="auto" w:before="101" w:after="0"/>
        <w:ind w:left="920" w:right="748" w:firstLine="0"/>
        <w:jc w:val="left"/>
        <w:rPr>
          <w:sz w:val="24"/>
        </w:rPr>
      </w:pPr>
      <w:r>
        <w:rPr>
          <w:sz w:val="24"/>
        </w:rPr>
        <w:t>A peace officer may conduct a consensual search only after articulating the following factors to, and subsequently receiving consent from, the person subject to the search</w:t>
      </w:r>
      <w:r>
        <w:rPr>
          <w:spacing w:val="-17"/>
          <w:sz w:val="24"/>
        </w:rPr>
        <w:t> </w:t>
      </w:r>
      <w:r>
        <w:rPr>
          <w:sz w:val="24"/>
        </w:rPr>
        <w:t>or</w:t>
      </w:r>
    </w:p>
    <w:p>
      <w:pPr>
        <w:spacing w:after="0" w:line="240" w:lineRule="auto"/>
        <w:jc w:val="left"/>
        <w:rPr>
          <w:sz w:val="24"/>
        </w:rPr>
        <w:sectPr>
          <w:pgSz w:w="12240" w:h="15840"/>
          <w:pgMar w:top="1500" w:bottom="280" w:left="1240" w:right="780"/>
        </w:sectPr>
      </w:pPr>
    </w:p>
    <w:p>
      <w:pPr>
        <w:pStyle w:val="BodyText"/>
        <w:rPr>
          <w:sz w:val="20"/>
        </w:rPr>
      </w:pPr>
    </w:p>
    <w:p>
      <w:pPr>
        <w:pStyle w:val="BodyText"/>
        <w:spacing w:before="3"/>
        <w:rPr>
          <w:sz w:val="29"/>
        </w:rPr>
      </w:pPr>
    </w:p>
    <w:p>
      <w:pPr>
        <w:pStyle w:val="BodyText"/>
        <w:spacing w:before="90"/>
        <w:ind w:left="920" w:right="1315"/>
      </w:pPr>
      <w:r>
        <w:rPr/>
        <w:t>the person with the apparent or actual authority to provide permission to search the vehicle or effects. The factors are:</w:t>
      </w:r>
    </w:p>
    <w:p>
      <w:pPr>
        <w:pStyle w:val="ListParagraph"/>
        <w:numPr>
          <w:ilvl w:val="1"/>
          <w:numId w:val="2"/>
        </w:numPr>
        <w:tabs>
          <w:tab w:pos="1942" w:val="left" w:leader="none"/>
        </w:tabs>
        <w:spacing w:line="240" w:lineRule="auto" w:before="101" w:after="0"/>
        <w:ind w:left="1941" w:right="0" w:hanging="301"/>
        <w:jc w:val="left"/>
        <w:rPr>
          <w:sz w:val="24"/>
        </w:rPr>
      </w:pPr>
      <w:r>
        <w:rPr>
          <w:sz w:val="24"/>
        </w:rPr>
        <w:t>The person is being asked to voluntarily consent to a search;</w:t>
      </w:r>
      <w:r>
        <w:rPr>
          <w:spacing w:val="-6"/>
          <w:sz w:val="24"/>
        </w:rPr>
        <w:t> </w:t>
      </w:r>
      <w:r>
        <w:rPr>
          <w:sz w:val="24"/>
        </w:rPr>
        <w:t>and</w:t>
      </w:r>
    </w:p>
    <w:p>
      <w:pPr>
        <w:pStyle w:val="ListParagraph"/>
        <w:numPr>
          <w:ilvl w:val="1"/>
          <w:numId w:val="2"/>
        </w:numPr>
        <w:tabs>
          <w:tab w:pos="2021" w:val="left" w:leader="none"/>
        </w:tabs>
        <w:spacing w:line="240" w:lineRule="auto" w:before="99" w:after="0"/>
        <w:ind w:left="2020" w:right="0" w:hanging="380"/>
        <w:jc w:val="left"/>
        <w:rPr>
          <w:sz w:val="24"/>
        </w:rPr>
      </w:pPr>
      <w:r>
        <w:rPr>
          <w:sz w:val="24"/>
        </w:rPr>
        <w:t>The person has the right to refuse the request to</w:t>
      </w:r>
      <w:r>
        <w:rPr>
          <w:spacing w:val="-3"/>
          <w:sz w:val="24"/>
        </w:rPr>
        <w:t> </w:t>
      </w:r>
      <w:r>
        <w:rPr>
          <w:sz w:val="24"/>
        </w:rPr>
        <w:t>search.</w:t>
      </w:r>
    </w:p>
    <w:p>
      <w:pPr>
        <w:pStyle w:val="ListParagraph"/>
        <w:numPr>
          <w:ilvl w:val="0"/>
          <w:numId w:val="2"/>
        </w:numPr>
        <w:tabs>
          <w:tab w:pos="1248" w:val="left" w:leader="none"/>
        </w:tabs>
        <w:spacing w:line="240" w:lineRule="auto" w:before="101" w:after="0"/>
        <w:ind w:left="920" w:right="781" w:firstLine="0"/>
        <w:jc w:val="left"/>
        <w:rPr>
          <w:sz w:val="24"/>
        </w:rPr>
      </w:pPr>
      <w:r>
        <w:rPr>
          <w:sz w:val="24"/>
        </w:rPr>
        <w:t>After providing the advisement required in paragraph (b) of this subsection (1), a peace officer may conduct the requested search only if the person subject to the search voluntarily provides verbal or written consent. Other evidence of knowing and</w:t>
      </w:r>
      <w:r>
        <w:rPr>
          <w:spacing w:val="-17"/>
          <w:sz w:val="24"/>
        </w:rPr>
        <w:t> </w:t>
      </w:r>
      <w:r>
        <w:rPr>
          <w:sz w:val="24"/>
        </w:rPr>
        <w:t>voluntary consent may be acceptable, if the person is unable to provide written or verbal</w:t>
      </w:r>
      <w:r>
        <w:rPr>
          <w:spacing w:val="-15"/>
          <w:sz w:val="24"/>
        </w:rPr>
        <w:t> </w:t>
      </w:r>
      <w:r>
        <w:rPr>
          <w:sz w:val="24"/>
        </w:rPr>
        <w:t>consent.</w:t>
      </w:r>
    </w:p>
    <w:p>
      <w:pPr>
        <w:pStyle w:val="ListParagraph"/>
        <w:numPr>
          <w:ilvl w:val="0"/>
          <w:numId w:val="3"/>
        </w:numPr>
        <w:tabs>
          <w:tab w:pos="1261" w:val="left" w:leader="none"/>
        </w:tabs>
        <w:spacing w:line="240" w:lineRule="auto" w:before="100" w:after="0"/>
        <w:ind w:left="920" w:right="909" w:firstLine="0"/>
        <w:jc w:val="both"/>
        <w:rPr>
          <w:sz w:val="24"/>
        </w:rPr>
      </w:pPr>
      <w:r>
        <w:rPr>
          <w:sz w:val="24"/>
        </w:rPr>
        <w:t>A peace officer providing the advisement required pursuant to subsection (1) of</w:t>
      </w:r>
      <w:r>
        <w:rPr>
          <w:spacing w:val="-20"/>
          <w:sz w:val="24"/>
        </w:rPr>
        <w:t> </w:t>
      </w:r>
      <w:r>
        <w:rPr>
          <w:sz w:val="24"/>
        </w:rPr>
        <w:t>this section need not provide a specific recitation of the advisement; substantial compliance with the substance of the factors is sufficient to comply with the</w:t>
      </w:r>
      <w:r>
        <w:rPr>
          <w:spacing w:val="-11"/>
          <w:sz w:val="24"/>
        </w:rPr>
        <w:t> </w:t>
      </w:r>
      <w:r>
        <w:rPr>
          <w:sz w:val="24"/>
        </w:rPr>
        <w:t>requirement.</w:t>
      </w:r>
    </w:p>
    <w:p>
      <w:pPr>
        <w:pStyle w:val="ListParagraph"/>
        <w:numPr>
          <w:ilvl w:val="0"/>
          <w:numId w:val="3"/>
        </w:numPr>
        <w:tabs>
          <w:tab w:pos="1261" w:val="left" w:leader="none"/>
        </w:tabs>
        <w:spacing w:line="240" w:lineRule="auto" w:before="100" w:after="0"/>
        <w:ind w:left="920" w:right="969" w:firstLine="0"/>
        <w:jc w:val="both"/>
        <w:rPr>
          <w:sz w:val="24"/>
        </w:rPr>
      </w:pPr>
      <w:r>
        <w:rPr>
          <w:sz w:val="24"/>
        </w:rPr>
        <w:t>If a defendant moves to suppress any evidence obtained in the course of the</w:t>
      </w:r>
      <w:r>
        <w:rPr>
          <w:spacing w:val="-17"/>
          <w:sz w:val="24"/>
        </w:rPr>
        <w:t> </w:t>
      </w:r>
      <w:r>
        <w:rPr>
          <w:sz w:val="24"/>
        </w:rPr>
        <w:t>search, the court shall consider the failure to comply with the requirements of this section as a factor in determining the voluntariness of the</w:t>
      </w:r>
      <w:r>
        <w:rPr>
          <w:spacing w:val="-4"/>
          <w:sz w:val="24"/>
        </w:rPr>
        <w:t> </w:t>
      </w:r>
      <w:r>
        <w:rPr>
          <w:sz w:val="24"/>
        </w:rPr>
        <w:t>consent.</w:t>
      </w:r>
    </w:p>
    <w:p>
      <w:pPr>
        <w:pStyle w:val="BodyText"/>
        <w:spacing w:before="10"/>
        <w:rPr>
          <w:sz w:val="23"/>
        </w:rPr>
      </w:pPr>
    </w:p>
    <w:p>
      <w:pPr>
        <w:pStyle w:val="ListParagraph"/>
        <w:numPr>
          <w:ilvl w:val="0"/>
          <w:numId w:val="1"/>
        </w:numPr>
        <w:tabs>
          <w:tab w:pos="1340" w:val="left" w:leader="none"/>
        </w:tabs>
        <w:spacing w:line="240" w:lineRule="auto" w:before="0" w:after="0"/>
        <w:ind w:left="200" w:right="915" w:firstLine="720"/>
        <w:jc w:val="left"/>
        <w:rPr>
          <w:sz w:val="24"/>
        </w:rPr>
      </w:pPr>
      <w:r>
        <w:rPr>
          <w:sz w:val="24"/>
        </w:rPr>
        <w:t>Factors this Court can use to determine by clear and convincing evidence whether Mr. Friedlander’s decision to do roadside manuevers was knowing, intelligent and freely</w:t>
      </w:r>
      <w:r>
        <w:rPr>
          <w:spacing w:val="-23"/>
          <w:sz w:val="24"/>
        </w:rPr>
        <w:t> </w:t>
      </w:r>
      <w:r>
        <w:rPr>
          <w:sz w:val="24"/>
        </w:rPr>
        <w:t>made without any constraints</w:t>
      </w:r>
      <w:r>
        <w:rPr>
          <w:spacing w:val="-3"/>
          <w:sz w:val="24"/>
        </w:rPr>
        <w:t> </w:t>
      </w:r>
      <w:r>
        <w:rPr>
          <w:sz w:val="24"/>
        </w:rPr>
        <w:t>include:</w:t>
      </w:r>
    </w:p>
    <w:p>
      <w:pPr>
        <w:pStyle w:val="BodyText"/>
      </w:pPr>
    </w:p>
    <w:p>
      <w:pPr>
        <w:pStyle w:val="ListParagraph"/>
        <w:numPr>
          <w:ilvl w:val="0"/>
          <w:numId w:val="4"/>
        </w:numPr>
        <w:tabs>
          <w:tab w:pos="1639" w:val="left" w:leader="none"/>
          <w:tab w:pos="1640" w:val="left" w:leader="none"/>
        </w:tabs>
        <w:spacing w:line="240" w:lineRule="auto" w:before="0" w:after="0"/>
        <w:ind w:left="1640" w:right="867" w:hanging="720"/>
        <w:jc w:val="left"/>
        <w:rPr>
          <w:sz w:val="24"/>
        </w:rPr>
      </w:pPr>
      <w:r>
        <w:rPr>
          <w:sz w:val="24"/>
        </w:rPr>
        <w:t>Could the police conduct have reasonably appeared to be coercive to a person in Mr. Friedlander’s</w:t>
      </w:r>
      <w:r>
        <w:rPr>
          <w:spacing w:val="-1"/>
          <w:sz w:val="24"/>
        </w:rPr>
        <w:t> </w:t>
      </w:r>
      <w:r>
        <w:rPr>
          <w:sz w:val="24"/>
        </w:rPr>
        <w:t>circumstances</w:t>
      </w:r>
      <w:hyperlink w:history="true" w:anchor="_bookmark3">
        <w:r>
          <w:rPr>
            <w:sz w:val="24"/>
            <w:vertAlign w:val="superscript"/>
          </w:rPr>
          <w:t>4</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Was Mr. Friedlander under the</w:t>
      </w:r>
      <w:r>
        <w:rPr>
          <w:spacing w:val="-2"/>
          <w:sz w:val="24"/>
        </w:rPr>
        <w:t> </w:t>
      </w:r>
      <w:r>
        <w:rPr>
          <w:sz w:val="24"/>
        </w:rPr>
        <w:t>influence</w:t>
      </w:r>
      <w:hyperlink w:history="true" w:anchor="_bookmark4">
        <w:r>
          <w:rPr>
            <w:sz w:val="24"/>
            <w:vertAlign w:val="superscript"/>
          </w:rPr>
          <w:t>5</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What was his level of</w:t>
      </w:r>
      <w:r>
        <w:rPr>
          <w:spacing w:val="-1"/>
          <w:sz w:val="24"/>
        </w:rPr>
        <w:t> </w:t>
      </w:r>
      <w:r>
        <w:rPr>
          <w:sz w:val="24"/>
        </w:rPr>
        <w:t>intoxication</w:t>
      </w:r>
      <w:hyperlink w:history="true" w:anchor="_bookmark5">
        <w:r>
          <w:rPr>
            <w:sz w:val="24"/>
            <w:vertAlign w:val="superscript"/>
          </w:rPr>
          <w:t>6</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Was he under arrest</w:t>
      </w:r>
      <w:hyperlink w:history="true" w:anchor="_bookmark6">
        <w:r>
          <w:rPr>
            <w:sz w:val="24"/>
            <w:vertAlign w:val="superscript"/>
          </w:rPr>
          <w:t>7</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Did Mr. Friedlander know he could</w:t>
      </w:r>
      <w:r>
        <w:rPr>
          <w:spacing w:val="-2"/>
          <w:sz w:val="24"/>
        </w:rPr>
        <w:t> </w:t>
      </w:r>
      <w:r>
        <w:rPr>
          <w:sz w:val="24"/>
        </w:rPr>
        <w:t>refuse</w:t>
      </w:r>
      <w:hyperlink w:history="true" w:anchor="_bookmark7">
        <w:r>
          <w:rPr>
            <w:sz w:val="24"/>
            <w:vertAlign w:val="superscript"/>
          </w:rPr>
          <w:t>8</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What is Mr. Friedlander’s</w:t>
      </w:r>
      <w:r>
        <w:rPr>
          <w:spacing w:val="-2"/>
          <w:sz w:val="24"/>
        </w:rPr>
        <w:t> </w:t>
      </w:r>
      <w:r>
        <w:rPr>
          <w:sz w:val="24"/>
        </w:rPr>
        <w:t>age</w:t>
      </w:r>
      <w:hyperlink w:history="true" w:anchor="_bookmark8">
        <w:r>
          <w:rPr>
            <w:sz w:val="24"/>
            <w:vertAlign w:val="superscript"/>
          </w:rPr>
          <w:t>9</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What is his</w:t>
      </w:r>
      <w:r>
        <w:rPr>
          <w:spacing w:val="-1"/>
          <w:sz w:val="24"/>
        </w:rPr>
        <w:t> </w:t>
      </w:r>
      <w:r>
        <w:rPr>
          <w:sz w:val="24"/>
        </w:rPr>
        <w:t>education</w:t>
      </w:r>
      <w:hyperlink w:history="true" w:anchor="_bookmark9">
        <w:r>
          <w:rPr>
            <w:sz w:val="24"/>
            <w:vertAlign w:val="superscript"/>
          </w:rPr>
          <w:t>10</w:t>
        </w:r>
      </w:hyperlink>
      <w:r>
        <w:rPr>
          <w:sz w:val="24"/>
          <w:vertAlign w:val="baseline"/>
        </w:rPr>
        <w:t>?</w:t>
      </w:r>
    </w:p>
    <w:p>
      <w:pPr>
        <w:pStyle w:val="BodyText"/>
        <w:rPr>
          <w:sz w:val="20"/>
        </w:rPr>
      </w:pPr>
    </w:p>
    <w:p>
      <w:pPr>
        <w:pStyle w:val="BodyText"/>
        <w:spacing w:before="7"/>
        <w:rPr>
          <w:sz w:val="27"/>
        </w:rPr>
      </w:pPr>
      <w:r>
        <w:rPr/>
        <w:pict>
          <v:line style="position:absolute;mso-position-horizontal-relative:page;mso-position-vertical-relative:paragraph;z-index:-928;mso-wrap-distance-left:0;mso-wrap-distance-right:0" from="72pt,18.161993pt" to="216pt,18.161993pt" stroked="true" strokeweight=".6pt" strokecolor="#000000">
            <v:stroke dashstyle="solid"/>
            <w10:wrap type="topAndBottom"/>
          </v:line>
        </w:pict>
      </w:r>
    </w:p>
    <w:p>
      <w:pPr>
        <w:pStyle w:val="BodyText"/>
        <w:spacing w:line="294" w:lineRule="exact" w:before="38"/>
        <w:ind w:left="200"/>
      </w:pPr>
      <w:bookmarkStart w:name="_bookmark3" w:id="5"/>
      <w:bookmarkEnd w:id="5"/>
      <w:r>
        <w:rPr/>
      </w:r>
      <w:r>
        <w:rPr>
          <w:position w:val="11"/>
          <w:sz w:val="16"/>
        </w:rPr>
        <w:t>4 </w:t>
      </w:r>
      <w:r>
        <w:rPr>
          <w:u w:val="single"/>
        </w:rPr>
        <w:t>Turbyne</w:t>
      </w:r>
      <w:r>
        <w:rPr/>
        <w:t>, at 572.</w:t>
      </w:r>
    </w:p>
    <w:p>
      <w:pPr>
        <w:pStyle w:val="BodyText"/>
        <w:spacing w:line="276" w:lineRule="exact"/>
        <w:ind w:left="200"/>
      </w:pPr>
      <w:bookmarkStart w:name="_bookmark4" w:id="6"/>
      <w:bookmarkEnd w:id="6"/>
      <w:r>
        <w:rPr/>
      </w:r>
      <w:r>
        <w:rPr>
          <w:position w:val="11"/>
          <w:sz w:val="16"/>
        </w:rPr>
        <w:t>5 </w:t>
      </w:r>
      <w:r>
        <w:rPr>
          <w:u w:val="single"/>
        </w:rPr>
        <w:t>Helm</w:t>
      </w:r>
      <w:r>
        <w:rPr/>
        <w:t> at 1077.</w:t>
      </w:r>
    </w:p>
    <w:p>
      <w:pPr>
        <w:pStyle w:val="BodyText"/>
        <w:spacing w:line="276" w:lineRule="exact"/>
        <w:ind w:left="200"/>
      </w:pPr>
      <w:bookmarkStart w:name="_bookmark5" w:id="7"/>
      <w:bookmarkEnd w:id="7"/>
      <w:r>
        <w:rPr/>
      </w:r>
      <w:r>
        <w:rPr>
          <w:position w:val="11"/>
          <w:sz w:val="16"/>
        </w:rPr>
        <w:t>6 </w:t>
      </w:r>
      <w:r>
        <w:rPr>
          <w:u w:val="single"/>
        </w:rPr>
        <w:t>Turbyne</w:t>
      </w:r>
      <w:r>
        <w:rPr/>
        <w:t> at 572.</w:t>
      </w:r>
    </w:p>
    <w:p>
      <w:pPr>
        <w:pStyle w:val="BodyText"/>
        <w:spacing w:line="276" w:lineRule="exact"/>
        <w:ind w:left="200"/>
      </w:pPr>
      <w:bookmarkStart w:name="_bookmark6" w:id="8"/>
      <w:bookmarkEnd w:id="8"/>
      <w:r>
        <w:rPr/>
      </w:r>
      <w:r>
        <w:rPr>
          <w:position w:val="11"/>
          <w:sz w:val="16"/>
        </w:rPr>
        <w:t>7 </w:t>
      </w:r>
      <w:r>
        <w:rPr>
          <w:u w:val="single"/>
        </w:rPr>
        <w:t>Helm</w:t>
      </w:r>
      <w:r>
        <w:rPr/>
        <w:t> at 1076.</w:t>
      </w:r>
    </w:p>
    <w:p>
      <w:pPr>
        <w:pStyle w:val="BodyText"/>
        <w:spacing w:line="276" w:lineRule="exact"/>
        <w:ind w:left="200"/>
      </w:pPr>
      <w:bookmarkStart w:name="_bookmark7" w:id="9"/>
      <w:bookmarkEnd w:id="9"/>
      <w:r>
        <w:rPr/>
      </w:r>
      <w:r>
        <w:rPr>
          <w:position w:val="11"/>
          <w:sz w:val="16"/>
        </w:rPr>
        <w:t>8 </w:t>
      </w:r>
      <w:r>
        <w:rPr>
          <w:u w:val="single"/>
        </w:rPr>
        <w:t>Helm</w:t>
      </w:r>
      <w:r>
        <w:rPr/>
        <w:t> at 1077; </w:t>
      </w:r>
      <w:r>
        <w:rPr>
          <w:u w:val="single"/>
        </w:rPr>
        <w:t>Carlson</w:t>
      </w:r>
      <w:r>
        <w:rPr/>
        <w:t> at 318.</w:t>
      </w:r>
    </w:p>
    <w:p>
      <w:pPr>
        <w:pStyle w:val="BodyText"/>
        <w:spacing w:line="276" w:lineRule="exact"/>
        <w:ind w:left="200"/>
      </w:pPr>
      <w:bookmarkStart w:name="_bookmark8" w:id="10"/>
      <w:bookmarkEnd w:id="10"/>
      <w:r>
        <w:rPr/>
      </w:r>
      <w:r>
        <w:rPr>
          <w:position w:val="11"/>
          <w:sz w:val="16"/>
        </w:rPr>
        <w:t>9 </w:t>
      </w:r>
      <w:r>
        <w:rPr>
          <w:u w:val="single"/>
        </w:rPr>
        <w:t>Turbyne</w:t>
      </w:r>
      <w:r>
        <w:rPr/>
        <w:t> at 572; </w:t>
      </w:r>
      <w:r>
        <w:rPr>
          <w:u w:val="single"/>
        </w:rPr>
        <w:t>Helm</w:t>
      </w:r>
      <w:r>
        <w:rPr/>
        <w:t> at 1077; </w:t>
      </w:r>
      <w:r>
        <w:rPr>
          <w:u w:val="single"/>
        </w:rPr>
        <w:t>Carlson</w:t>
      </w:r>
      <w:r>
        <w:rPr/>
        <w:t> at 318.</w:t>
      </w:r>
    </w:p>
    <w:p>
      <w:pPr>
        <w:pStyle w:val="BodyText"/>
        <w:spacing w:line="294" w:lineRule="exact"/>
        <w:ind w:left="200"/>
      </w:pPr>
      <w:bookmarkStart w:name="_bookmark9" w:id="11"/>
      <w:bookmarkEnd w:id="11"/>
      <w:r>
        <w:rPr/>
      </w:r>
      <w:r>
        <w:rPr>
          <w:position w:val="11"/>
          <w:sz w:val="16"/>
        </w:rPr>
        <w:t>10 </w:t>
      </w:r>
      <w:r>
        <w:rPr>
          <w:u w:val="single"/>
        </w:rPr>
        <w:t>Turbyne</w:t>
      </w:r>
      <w:r>
        <w:rPr/>
        <w:t> at 572; </w:t>
      </w:r>
      <w:r>
        <w:rPr>
          <w:u w:val="single"/>
        </w:rPr>
        <w:t>Helm</w:t>
      </w:r>
      <w:r>
        <w:rPr/>
        <w:t> at 1077; </w:t>
      </w:r>
      <w:r>
        <w:rPr>
          <w:u w:val="single"/>
        </w:rPr>
        <w:t>Carlson</w:t>
      </w:r>
      <w:r>
        <w:rPr/>
        <w:t> at 318.</w:t>
      </w:r>
    </w:p>
    <w:p>
      <w:pPr>
        <w:spacing w:after="0" w:line="294" w:lineRule="exact"/>
        <w:sectPr>
          <w:pgSz w:w="12240" w:h="15840"/>
          <w:pgMar w:top="1500" w:bottom="280" w:left="1240" w:right="780"/>
        </w:sectPr>
      </w:pPr>
    </w:p>
    <w:p>
      <w:pPr>
        <w:pStyle w:val="BodyText"/>
        <w:rPr>
          <w:sz w:val="20"/>
        </w:rPr>
      </w:pPr>
    </w:p>
    <w:p>
      <w:pPr>
        <w:pStyle w:val="BodyText"/>
        <w:spacing w:before="10"/>
        <w:rPr>
          <w:sz w:val="25"/>
        </w:rPr>
      </w:pPr>
    </w:p>
    <w:p>
      <w:pPr>
        <w:pStyle w:val="ListParagraph"/>
        <w:numPr>
          <w:ilvl w:val="0"/>
          <w:numId w:val="4"/>
        </w:numPr>
        <w:tabs>
          <w:tab w:pos="1639" w:val="left" w:leader="none"/>
          <w:tab w:pos="1640" w:val="left" w:leader="none"/>
        </w:tabs>
        <w:spacing w:line="240" w:lineRule="auto" w:before="129" w:after="0"/>
        <w:ind w:left="1640" w:right="0" w:hanging="720"/>
        <w:jc w:val="left"/>
        <w:rPr>
          <w:sz w:val="24"/>
        </w:rPr>
      </w:pPr>
      <w:r>
        <w:rPr>
          <w:sz w:val="24"/>
        </w:rPr>
        <w:t>What is his</w:t>
      </w:r>
      <w:r>
        <w:rPr>
          <w:spacing w:val="-1"/>
          <w:sz w:val="24"/>
        </w:rPr>
        <w:t> </w:t>
      </w:r>
      <w:r>
        <w:rPr>
          <w:sz w:val="24"/>
        </w:rPr>
        <w:t>intelligence</w:t>
      </w:r>
      <w:hyperlink w:history="true" w:anchor="_bookmark10">
        <w:r>
          <w:rPr>
            <w:sz w:val="24"/>
            <w:vertAlign w:val="superscript"/>
          </w:rPr>
          <w:t>11</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What was the duration of the</w:t>
      </w:r>
      <w:r>
        <w:rPr>
          <w:spacing w:val="-1"/>
          <w:sz w:val="24"/>
        </w:rPr>
        <w:t> </w:t>
      </w:r>
      <w:r>
        <w:rPr>
          <w:sz w:val="24"/>
        </w:rPr>
        <w:t>stop</w:t>
      </w:r>
      <w:hyperlink w:history="true" w:anchor="_bookmark11">
        <w:r>
          <w:rPr>
            <w:sz w:val="24"/>
            <w:vertAlign w:val="superscript"/>
          </w:rPr>
          <w:t>12</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What was the location of the</w:t>
      </w:r>
      <w:r>
        <w:rPr>
          <w:spacing w:val="-1"/>
          <w:sz w:val="24"/>
        </w:rPr>
        <w:t> </w:t>
      </w:r>
      <w:r>
        <w:rPr>
          <w:sz w:val="24"/>
        </w:rPr>
        <w:t>stop</w:t>
      </w:r>
      <w:hyperlink w:history="true" w:anchor="_bookmark12">
        <w:r>
          <w:rPr>
            <w:sz w:val="24"/>
            <w:vertAlign w:val="superscript"/>
          </w:rPr>
          <w:t>13</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What were the circumstances of the</w:t>
      </w:r>
      <w:r>
        <w:rPr>
          <w:spacing w:val="-2"/>
          <w:sz w:val="24"/>
        </w:rPr>
        <w:t> </w:t>
      </w:r>
      <w:r>
        <w:rPr>
          <w:sz w:val="24"/>
        </w:rPr>
        <w:t>search</w:t>
      </w:r>
      <w:hyperlink w:history="true" w:anchor="_bookmark13">
        <w:r>
          <w:rPr>
            <w:sz w:val="24"/>
            <w:vertAlign w:val="superscript"/>
          </w:rPr>
          <w:t>14</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0" w:hanging="720"/>
        <w:jc w:val="left"/>
        <w:rPr>
          <w:sz w:val="24"/>
        </w:rPr>
      </w:pPr>
      <w:r>
        <w:rPr>
          <w:sz w:val="24"/>
        </w:rPr>
        <w:t>What was Mr. Friedlander’s state of</w:t>
      </w:r>
      <w:r>
        <w:rPr>
          <w:spacing w:val="-3"/>
          <w:sz w:val="24"/>
        </w:rPr>
        <w:t> </w:t>
      </w:r>
      <w:r>
        <w:rPr>
          <w:sz w:val="24"/>
        </w:rPr>
        <w:t>mind</w:t>
      </w:r>
      <w:hyperlink w:history="true" w:anchor="_bookmark14">
        <w:r>
          <w:rPr>
            <w:sz w:val="24"/>
            <w:vertAlign w:val="superscript"/>
          </w:rPr>
          <w:t>15</w:t>
        </w:r>
      </w:hyperlink>
      <w:r>
        <w:rPr>
          <w:sz w:val="24"/>
          <w:vertAlign w:val="baseline"/>
        </w:rPr>
        <w:t>?</w:t>
      </w:r>
    </w:p>
    <w:p>
      <w:pPr>
        <w:pStyle w:val="BodyText"/>
      </w:pPr>
    </w:p>
    <w:p>
      <w:pPr>
        <w:pStyle w:val="ListParagraph"/>
        <w:numPr>
          <w:ilvl w:val="0"/>
          <w:numId w:val="4"/>
        </w:numPr>
        <w:tabs>
          <w:tab w:pos="1639" w:val="left" w:leader="none"/>
          <w:tab w:pos="1640" w:val="left" w:leader="none"/>
        </w:tabs>
        <w:spacing w:line="240" w:lineRule="auto" w:before="0" w:after="0"/>
        <w:ind w:left="1640" w:right="869" w:hanging="720"/>
        <w:jc w:val="left"/>
        <w:rPr>
          <w:sz w:val="24"/>
        </w:rPr>
      </w:pPr>
      <w:r>
        <w:rPr>
          <w:sz w:val="24"/>
        </w:rPr>
        <w:t>Were there any other factors that might have affected Mr. Friedlander’s free</w:t>
      </w:r>
      <w:r>
        <w:rPr>
          <w:spacing w:val="-16"/>
          <w:sz w:val="24"/>
        </w:rPr>
        <w:t> </w:t>
      </w:r>
      <w:r>
        <w:rPr>
          <w:sz w:val="24"/>
        </w:rPr>
        <w:t>and unconstrained choice</w:t>
      </w:r>
      <w:hyperlink w:history="true" w:anchor="_bookmark15">
        <w:r>
          <w:rPr>
            <w:sz w:val="24"/>
            <w:vertAlign w:val="superscript"/>
          </w:rPr>
          <w:t>16</w:t>
        </w:r>
      </w:hyperlink>
      <w:r>
        <w:rPr>
          <w:sz w:val="24"/>
          <w:vertAlign w:val="baseline"/>
        </w:rPr>
        <w:t>?</w:t>
      </w:r>
    </w:p>
    <w:p>
      <w:pPr>
        <w:pStyle w:val="BodyText"/>
        <w:spacing w:before="2"/>
        <w:rPr>
          <w:sz w:val="16"/>
        </w:rPr>
      </w:pPr>
    </w:p>
    <w:p>
      <w:pPr>
        <w:pStyle w:val="ListParagraph"/>
        <w:numPr>
          <w:ilvl w:val="0"/>
          <w:numId w:val="1"/>
        </w:numPr>
        <w:tabs>
          <w:tab w:pos="1250" w:val="left" w:leader="none"/>
        </w:tabs>
        <w:spacing w:line="240" w:lineRule="auto" w:before="90" w:after="0"/>
        <w:ind w:left="110" w:right="683" w:firstLine="720"/>
        <w:jc w:val="left"/>
        <w:rPr>
          <w:sz w:val="24"/>
        </w:rPr>
      </w:pPr>
      <w:r>
        <w:rPr>
          <w:sz w:val="24"/>
        </w:rPr>
        <w:t>“Suppression of the evidence is an appropriate sanction when consent to the search is not voluntary.” </w:t>
      </w:r>
      <w:r>
        <w:rPr>
          <w:sz w:val="24"/>
          <w:u w:val="single"/>
        </w:rPr>
        <w:t>Turbyne v. People</w:t>
      </w:r>
      <w:r>
        <w:rPr>
          <w:sz w:val="24"/>
        </w:rPr>
        <w:t>, 151 P.3d 563, 572 (Colo. 2007), citing </w:t>
      </w:r>
      <w:r>
        <w:rPr>
          <w:sz w:val="24"/>
          <w:u w:val="single"/>
        </w:rPr>
        <w:t>People v. Diaz</w:t>
      </w:r>
      <w:r>
        <w:rPr>
          <w:sz w:val="24"/>
        </w:rPr>
        <w:t>, 53</w:t>
      </w:r>
      <w:r>
        <w:rPr>
          <w:spacing w:val="-15"/>
          <w:sz w:val="24"/>
        </w:rPr>
        <w:t> </w:t>
      </w:r>
      <w:r>
        <w:rPr>
          <w:sz w:val="24"/>
        </w:rPr>
        <w:t>P.3d 1171, 1175 (Colo.</w:t>
      </w:r>
      <w:r>
        <w:rPr>
          <w:spacing w:val="-1"/>
          <w:sz w:val="24"/>
        </w:rPr>
        <w:t> </w:t>
      </w:r>
      <w:r>
        <w:rPr>
          <w:sz w:val="24"/>
        </w:rPr>
        <w:t>2002).</w:t>
      </w:r>
    </w:p>
    <w:p>
      <w:pPr>
        <w:pStyle w:val="BodyText"/>
      </w:pPr>
    </w:p>
    <w:p>
      <w:pPr>
        <w:pStyle w:val="ListParagraph"/>
        <w:numPr>
          <w:ilvl w:val="0"/>
          <w:numId w:val="1"/>
        </w:numPr>
        <w:tabs>
          <w:tab w:pos="1250" w:val="left" w:leader="none"/>
        </w:tabs>
        <w:spacing w:line="240" w:lineRule="auto" w:before="0" w:after="0"/>
        <w:ind w:left="110" w:right="795" w:firstLine="720"/>
        <w:jc w:val="left"/>
        <w:rPr>
          <w:sz w:val="24"/>
        </w:rPr>
      </w:pPr>
      <w:r>
        <w:rPr>
          <w:sz w:val="24"/>
        </w:rPr>
        <w:t>Any observations made by law enforcement personnel constituted an illegal search and seizure. Further, that such roadside maneuvers violated the defendant's right against self- incrimination. In support of these contentions, Defendant cites the Fourth, Fifth and Sixth Amendments to the U.S. Constitution, Article II, Sections 7 and 18 of the Colorado Constitution, and </w:t>
      </w:r>
      <w:r>
        <w:rPr>
          <w:sz w:val="24"/>
          <w:u w:val="single"/>
        </w:rPr>
        <w:t>People v. Carlson</w:t>
      </w:r>
      <w:r>
        <w:rPr>
          <w:sz w:val="24"/>
        </w:rPr>
        <w:t>, 677 P.2d 310</w:t>
      </w:r>
      <w:r>
        <w:rPr>
          <w:spacing w:val="-2"/>
          <w:sz w:val="24"/>
        </w:rPr>
        <w:t> </w:t>
      </w:r>
      <w:r>
        <w:rPr>
          <w:sz w:val="24"/>
        </w:rPr>
        <w:t>(1984).</w:t>
      </w:r>
    </w:p>
    <w:p>
      <w:pPr>
        <w:pStyle w:val="BodyText"/>
        <w:spacing w:before="3"/>
        <w:rPr>
          <w:sz w:val="16"/>
        </w:rPr>
      </w:pPr>
    </w:p>
    <w:p>
      <w:pPr>
        <w:pStyle w:val="ListParagraph"/>
        <w:numPr>
          <w:ilvl w:val="0"/>
          <w:numId w:val="1"/>
        </w:numPr>
        <w:tabs>
          <w:tab w:pos="1250" w:val="left" w:leader="none"/>
        </w:tabs>
        <w:spacing w:line="240" w:lineRule="auto" w:before="90" w:after="0"/>
        <w:ind w:left="110" w:right="1509" w:firstLine="720"/>
        <w:jc w:val="left"/>
        <w:rPr>
          <w:sz w:val="24"/>
        </w:rPr>
      </w:pPr>
      <w:r>
        <w:rPr>
          <w:sz w:val="24"/>
        </w:rPr>
        <w:t>Subsequently, Trooper Sullivan arrested Mr. Friedlander without a warrant or probable</w:t>
      </w:r>
      <w:r>
        <w:rPr>
          <w:spacing w:val="-1"/>
          <w:sz w:val="24"/>
        </w:rPr>
        <w:t> </w:t>
      </w:r>
      <w:r>
        <w:rPr>
          <w:sz w:val="24"/>
        </w:rPr>
        <w:t>cause.</w:t>
      </w:r>
    </w:p>
    <w:p>
      <w:pPr>
        <w:pStyle w:val="BodyText"/>
        <w:spacing w:before="10"/>
        <w:rPr>
          <w:sz w:val="23"/>
        </w:rPr>
      </w:pPr>
    </w:p>
    <w:p>
      <w:pPr>
        <w:pStyle w:val="ListParagraph"/>
        <w:numPr>
          <w:ilvl w:val="0"/>
          <w:numId w:val="1"/>
        </w:numPr>
        <w:tabs>
          <w:tab w:pos="1250" w:val="left" w:leader="none"/>
        </w:tabs>
        <w:spacing w:line="240" w:lineRule="auto" w:before="0" w:after="0"/>
        <w:ind w:left="110" w:right="1334" w:firstLine="720"/>
        <w:jc w:val="left"/>
        <w:rPr>
          <w:sz w:val="24"/>
        </w:rPr>
      </w:pPr>
      <w:r>
        <w:rPr>
          <w:sz w:val="24"/>
        </w:rPr>
        <w:t>Any evidence obtained as a result of this illegal contact and arrest was obtained unconstitutionally and must be</w:t>
      </w:r>
      <w:r>
        <w:rPr>
          <w:spacing w:val="-3"/>
          <w:sz w:val="24"/>
        </w:rPr>
        <w:t> </w:t>
      </w:r>
      <w:r>
        <w:rPr>
          <w:sz w:val="24"/>
        </w:rPr>
        <w:t>suppressed.</w:t>
      </w:r>
    </w:p>
    <w:p>
      <w:pPr>
        <w:pStyle w:val="BodyText"/>
      </w:pPr>
    </w:p>
    <w:p>
      <w:pPr>
        <w:pStyle w:val="ListParagraph"/>
        <w:numPr>
          <w:ilvl w:val="0"/>
          <w:numId w:val="1"/>
        </w:numPr>
        <w:tabs>
          <w:tab w:pos="1250" w:val="left" w:leader="none"/>
        </w:tabs>
        <w:spacing w:line="240" w:lineRule="auto" w:before="0" w:after="0"/>
        <w:ind w:left="110" w:right="750" w:firstLine="720"/>
        <w:jc w:val="left"/>
        <w:rPr>
          <w:sz w:val="24"/>
        </w:rPr>
      </w:pPr>
      <w:r>
        <w:rPr>
          <w:sz w:val="24"/>
        </w:rPr>
        <w:t>In support of the above, Defendant cites </w:t>
      </w:r>
      <w:r>
        <w:rPr>
          <w:sz w:val="24"/>
          <w:u w:val="single"/>
        </w:rPr>
        <w:t>Terry v. Ohio</w:t>
      </w:r>
      <w:r>
        <w:rPr>
          <w:sz w:val="24"/>
        </w:rPr>
        <w:t>, 392 U.S. 1, 88 S.Ct., 20</w:t>
      </w:r>
      <w:r>
        <w:rPr>
          <w:spacing w:val="-17"/>
          <w:sz w:val="24"/>
        </w:rPr>
        <w:t> </w:t>
      </w:r>
      <w:r>
        <w:rPr>
          <w:sz w:val="24"/>
        </w:rPr>
        <w:t>L.Ed. 2d 899 (1968); </w:t>
      </w:r>
      <w:r>
        <w:rPr>
          <w:sz w:val="24"/>
          <w:u w:val="single"/>
        </w:rPr>
        <w:t>People v. Carlson</w:t>
      </w:r>
      <w:r>
        <w:rPr>
          <w:sz w:val="24"/>
        </w:rPr>
        <w:t>, 677 P.2d 310 (Colo. 1984); </w:t>
      </w:r>
      <w:r>
        <w:rPr>
          <w:sz w:val="24"/>
          <w:u w:val="single"/>
        </w:rPr>
        <w:t>People v. Lewis</w:t>
      </w:r>
      <w:r>
        <w:rPr>
          <w:sz w:val="24"/>
        </w:rPr>
        <w:t>, 659 P.2d 676 (Colo. 1983); </w:t>
      </w:r>
      <w:r>
        <w:rPr>
          <w:sz w:val="24"/>
          <w:u w:val="single"/>
        </w:rPr>
        <w:t>Stone v. People</w:t>
      </w:r>
      <w:r>
        <w:rPr>
          <w:sz w:val="24"/>
        </w:rPr>
        <w:t>, 485 P.2d 495 (1971), </w:t>
      </w:r>
      <w:r>
        <w:rPr>
          <w:sz w:val="24"/>
          <w:u w:val="single"/>
        </w:rPr>
        <w:t>People v. Ralphson</w:t>
      </w:r>
      <w:r>
        <w:rPr>
          <w:sz w:val="24"/>
        </w:rPr>
        <w:t>, 605 P.2d 46 (Colo. 1985); </w:t>
      </w:r>
      <w:r>
        <w:rPr>
          <w:sz w:val="24"/>
          <w:u w:val="single"/>
        </w:rPr>
        <w:t>People v. Hazelhurst</w:t>
      </w:r>
      <w:r>
        <w:rPr>
          <w:sz w:val="24"/>
        </w:rPr>
        <w:t>, 662 P.2d 1081 (Colo. 1983), </w:t>
      </w:r>
      <w:r>
        <w:rPr>
          <w:sz w:val="24"/>
          <w:u w:val="single"/>
        </w:rPr>
        <w:t>People v. Archuleta</w:t>
      </w:r>
      <w:r>
        <w:rPr>
          <w:sz w:val="24"/>
        </w:rPr>
        <w:t>, 719 P.2d 1091 (Colo. 1986), Colorado Constitution; Article II, Section 7, United States Constitution Amendments Four, Five,</w:t>
      </w:r>
      <w:r>
        <w:rPr>
          <w:spacing w:val="-3"/>
          <w:sz w:val="24"/>
        </w:rPr>
        <w:t> </w:t>
      </w:r>
      <w:r>
        <w:rPr>
          <w:sz w:val="24"/>
        </w:rPr>
        <w:t>Fourteen.</w:t>
      </w:r>
    </w:p>
    <w:p>
      <w:pPr>
        <w:pStyle w:val="BodyText"/>
      </w:pPr>
    </w:p>
    <w:p>
      <w:pPr>
        <w:pStyle w:val="ListParagraph"/>
        <w:numPr>
          <w:ilvl w:val="0"/>
          <w:numId w:val="1"/>
        </w:numPr>
        <w:tabs>
          <w:tab w:pos="1250" w:val="left" w:leader="none"/>
        </w:tabs>
        <w:spacing w:line="240" w:lineRule="auto" w:before="0" w:after="0"/>
        <w:ind w:left="1250" w:right="0" w:hanging="420"/>
        <w:jc w:val="left"/>
        <w:rPr>
          <w:sz w:val="24"/>
        </w:rPr>
      </w:pPr>
      <w:r>
        <w:rPr>
          <w:sz w:val="24"/>
        </w:rPr>
        <w:t>Subsequent to the arrest, Officer Sanchez obtained Mr. Friedlander’s consent to take</w:t>
      </w:r>
      <w:r>
        <w:rPr>
          <w:spacing w:val="-15"/>
          <w:sz w:val="24"/>
        </w:rPr>
        <w:t> </w:t>
      </w:r>
      <w:r>
        <w:rPr>
          <w:sz w:val="24"/>
        </w:rPr>
        <w:t>a</w:t>
      </w:r>
    </w:p>
    <w:p>
      <w:pPr>
        <w:pStyle w:val="BodyText"/>
        <w:spacing w:before="1"/>
        <w:rPr>
          <w:sz w:val="19"/>
        </w:rPr>
      </w:pPr>
      <w:r>
        <w:rPr/>
        <w:pict>
          <v:line style="position:absolute;mso-position-horizontal-relative:page;mso-position-vertical-relative:paragraph;z-index:-904;mso-wrap-distance-left:0;mso-wrap-distance-right:0" from="72pt,13.265226pt" to="216pt,13.265226pt" stroked="true" strokeweight=".599pt" strokecolor="#000000">
            <v:stroke dashstyle="solid"/>
            <w10:wrap type="topAndBottom"/>
          </v:line>
        </w:pict>
      </w:r>
    </w:p>
    <w:p>
      <w:pPr>
        <w:pStyle w:val="BodyText"/>
        <w:spacing w:line="294" w:lineRule="exact" w:before="38"/>
        <w:ind w:left="200"/>
      </w:pPr>
      <w:bookmarkStart w:name="_bookmark10" w:id="12"/>
      <w:bookmarkEnd w:id="12"/>
      <w:r>
        <w:rPr/>
      </w:r>
      <w:r>
        <w:rPr>
          <w:position w:val="11"/>
          <w:sz w:val="16"/>
        </w:rPr>
        <w:t>11 </w:t>
      </w:r>
      <w:r>
        <w:rPr>
          <w:u w:val="single"/>
        </w:rPr>
        <w:t>Turbyne</w:t>
      </w:r>
      <w:r>
        <w:rPr/>
        <w:t> at 572; </w:t>
      </w:r>
      <w:r>
        <w:rPr>
          <w:u w:val="single"/>
        </w:rPr>
        <w:t>Helm</w:t>
      </w:r>
      <w:r>
        <w:rPr/>
        <w:t> at 1077; </w:t>
      </w:r>
      <w:r>
        <w:rPr>
          <w:u w:val="single"/>
        </w:rPr>
        <w:t>Carlson</w:t>
      </w:r>
      <w:r>
        <w:rPr/>
        <w:t> at 318.</w:t>
      </w:r>
    </w:p>
    <w:p>
      <w:pPr>
        <w:pStyle w:val="BodyText"/>
        <w:spacing w:line="276" w:lineRule="exact"/>
        <w:ind w:left="200"/>
      </w:pPr>
      <w:bookmarkStart w:name="_bookmark11" w:id="13"/>
      <w:bookmarkEnd w:id="13"/>
      <w:r>
        <w:rPr/>
      </w:r>
      <w:r>
        <w:rPr>
          <w:position w:val="11"/>
          <w:sz w:val="16"/>
        </w:rPr>
        <w:t>12  </w:t>
      </w:r>
      <w:r>
        <w:rPr>
          <w:u w:val="single"/>
        </w:rPr>
        <w:t>Helm</w:t>
      </w:r>
      <w:r>
        <w:rPr/>
        <w:t>, 633 P.2d at 1077; </w:t>
      </w:r>
      <w:r>
        <w:rPr>
          <w:u w:val="single"/>
        </w:rPr>
        <w:t>Carlson</w:t>
      </w:r>
      <w:r>
        <w:rPr/>
        <w:t>, 677 P.2d at</w:t>
      </w:r>
      <w:r>
        <w:rPr>
          <w:spacing w:val="-28"/>
        </w:rPr>
        <w:t> </w:t>
      </w:r>
      <w:r>
        <w:rPr/>
        <w:t>318.</w:t>
      </w:r>
    </w:p>
    <w:p>
      <w:pPr>
        <w:pStyle w:val="BodyText"/>
        <w:spacing w:line="276" w:lineRule="exact"/>
        <w:ind w:left="200"/>
      </w:pPr>
      <w:bookmarkStart w:name="_bookmark12" w:id="14"/>
      <w:bookmarkEnd w:id="14"/>
      <w:r>
        <w:rPr/>
      </w:r>
      <w:r>
        <w:rPr>
          <w:position w:val="11"/>
          <w:sz w:val="16"/>
        </w:rPr>
        <w:t>13  </w:t>
      </w:r>
      <w:r>
        <w:rPr>
          <w:u w:val="single"/>
        </w:rPr>
        <w:t>Helm</w:t>
      </w:r>
      <w:r>
        <w:rPr/>
        <w:t>, 633 P.2d at 1077; </w:t>
      </w:r>
      <w:r>
        <w:rPr>
          <w:u w:val="single"/>
        </w:rPr>
        <w:t>Carlson</w:t>
      </w:r>
      <w:r>
        <w:rPr/>
        <w:t>, 677 P.2d at</w:t>
      </w:r>
      <w:r>
        <w:rPr>
          <w:spacing w:val="-28"/>
        </w:rPr>
        <w:t> </w:t>
      </w:r>
      <w:r>
        <w:rPr/>
        <w:t>318.</w:t>
      </w:r>
    </w:p>
    <w:p>
      <w:pPr>
        <w:pStyle w:val="BodyText"/>
        <w:spacing w:line="276" w:lineRule="exact"/>
        <w:ind w:left="200"/>
      </w:pPr>
      <w:bookmarkStart w:name="_bookmark13" w:id="15"/>
      <w:bookmarkEnd w:id="15"/>
      <w:r>
        <w:rPr/>
      </w:r>
      <w:r>
        <w:rPr>
          <w:position w:val="11"/>
          <w:sz w:val="16"/>
        </w:rPr>
        <w:t>14 </w:t>
      </w:r>
      <w:r>
        <w:rPr>
          <w:u w:val="single"/>
        </w:rPr>
        <w:t>Turbyne</w:t>
      </w:r>
      <w:r>
        <w:rPr/>
        <w:t> at 572; </w:t>
      </w:r>
      <w:r>
        <w:rPr>
          <w:u w:val="single"/>
        </w:rPr>
        <w:t>Helm</w:t>
      </w:r>
      <w:r>
        <w:rPr/>
        <w:t>, 633 P.2d at 1077; </w:t>
      </w:r>
      <w:r>
        <w:rPr>
          <w:u w:val="single"/>
        </w:rPr>
        <w:t>Carlson</w:t>
      </w:r>
      <w:r>
        <w:rPr/>
        <w:t>, 677 P.2d at 318.</w:t>
      </w:r>
    </w:p>
    <w:p>
      <w:pPr>
        <w:spacing w:line="276" w:lineRule="exact" w:before="0"/>
        <w:ind w:left="200" w:right="0" w:firstLine="0"/>
        <w:jc w:val="left"/>
        <w:rPr>
          <w:sz w:val="24"/>
        </w:rPr>
      </w:pPr>
      <w:bookmarkStart w:name="_bookmark14" w:id="16"/>
      <w:bookmarkEnd w:id="16"/>
      <w:r>
        <w:rPr/>
      </w:r>
      <w:r>
        <w:rPr>
          <w:position w:val="11"/>
          <w:sz w:val="16"/>
        </w:rPr>
        <w:t>15  </w:t>
      </w:r>
      <w:r>
        <w:rPr>
          <w:sz w:val="24"/>
          <w:u w:val="single"/>
        </w:rPr>
        <w:t>Carlson</w:t>
      </w:r>
      <w:r>
        <w:rPr>
          <w:sz w:val="24"/>
        </w:rPr>
        <w:t> at</w:t>
      </w:r>
      <w:r>
        <w:rPr>
          <w:spacing w:val="-25"/>
          <w:sz w:val="24"/>
        </w:rPr>
        <w:t> </w:t>
      </w:r>
      <w:r>
        <w:rPr>
          <w:sz w:val="24"/>
        </w:rPr>
        <w:t>318.</w:t>
      </w:r>
    </w:p>
    <w:p>
      <w:pPr>
        <w:spacing w:line="294" w:lineRule="exact" w:before="0"/>
        <w:ind w:left="200" w:right="0" w:firstLine="0"/>
        <w:jc w:val="left"/>
        <w:rPr>
          <w:sz w:val="24"/>
        </w:rPr>
      </w:pPr>
      <w:bookmarkStart w:name="_bookmark15" w:id="17"/>
      <w:bookmarkEnd w:id="17"/>
      <w:r>
        <w:rPr/>
      </w:r>
      <w:r>
        <w:rPr>
          <w:position w:val="11"/>
          <w:sz w:val="16"/>
        </w:rPr>
        <w:t>16  </w:t>
      </w:r>
      <w:r>
        <w:rPr>
          <w:sz w:val="24"/>
          <w:u w:val="single"/>
        </w:rPr>
        <w:t>Carlson</w:t>
      </w:r>
      <w:r>
        <w:rPr>
          <w:sz w:val="24"/>
        </w:rPr>
        <w:t> at</w:t>
      </w:r>
      <w:r>
        <w:rPr>
          <w:spacing w:val="-25"/>
          <w:sz w:val="24"/>
        </w:rPr>
        <w:t> </w:t>
      </w:r>
      <w:r>
        <w:rPr>
          <w:sz w:val="24"/>
        </w:rPr>
        <w:t>318.</w:t>
      </w:r>
    </w:p>
    <w:p>
      <w:pPr>
        <w:spacing w:after="0" w:line="294" w:lineRule="exact"/>
        <w:jc w:val="left"/>
        <w:rPr>
          <w:sz w:val="24"/>
        </w:rPr>
        <w:sectPr>
          <w:pgSz w:w="12240" w:h="15840"/>
          <w:pgMar w:top="1500" w:bottom="280" w:left="1240" w:right="7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7"/>
        <w:ind w:left="110"/>
      </w:pPr>
      <w:r>
        <w:rPr/>
        <w:t>breath test without obtaining his legal consent as required by the Colorado’s Express Consent law.</w:t>
      </w:r>
    </w:p>
    <w:p>
      <w:pPr>
        <w:pStyle w:val="BodyText"/>
        <w:spacing w:before="11"/>
        <w:rPr>
          <w:sz w:val="23"/>
        </w:rPr>
      </w:pPr>
    </w:p>
    <w:p>
      <w:pPr>
        <w:pStyle w:val="ListParagraph"/>
        <w:numPr>
          <w:ilvl w:val="0"/>
          <w:numId w:val="1"/>
        </w:numPr>
        <w:tabs>
          <w:tab w:pos="1310" w:val="left" w:leader="none"/>
        </w:tabs>
        <w:spacing w:line="240" w:lineRule="auto" w:before="0" w:after="0"/>
        <w:ind w:left="110" w:right="1117" w:firstLine="720"/>
        <w:jc w:val="both"/>
        <w:rPr>
          <w:sz w:val="24"/>
        </w:rPr>
      </w:pPr>
      <w:r>
        <w:rPr>
          <w:sz w:val="24"/>
        </w:rPr>
        <w:t>Consent obtained after an erroneous advisement of law cannot be introduced into evidence. </w:t>
      </w:r>
      <w:r>
        <w:rPr>
          <w:sz w:val="24"/>
          <w:u w:val="single"/>
        </w:rPr>
        <w:t>Turbyne v. People</w:t>
      </w:r>
      <w:r>
        <w:rPr>
          <w:sz w:val="24"/>
        </w:rPr>
        <w:t>, 151 P.3d 563, 572 (Colo. 2007), citing </w:t>
      </w:r>
      <w:r>
        <w:rPr>
          <w:sz w:val="24"/>
          <w:u w:val="single"/>
        </w:rPr>
        <w:t>People v. Diaz</w:t>
      </w:r>
      <w:r>
        <w:rPr>
          <w:sz w:val="24"/>
        </w:rPr>
        <w:t>, 53 P.3d 1171, 1175 (Colo.</w:t>
      </w:r>
      <w:r>
        <w:rPr>
          <w:spacing w:val="-1"/>
          <w:sz w:val="24"/>
        </w:rPr>
        <w:t> </w:t>
      </w:r>
      <w:r>
        <w:rPr>
          <w:sz w:val="24"/>
        </w:rPr>
        <w:t>2002).</w:t>
      </w:r>
    </w:p>
    <w:p>
      <w:pPr>
        <w:pStyle w:val="BodyText"/>
      </w:pPr>
    </w:p>
    <w:p>
      <w:pPr>
        <w:pStyle w:val="ListParagraph"/>
        <w:numPr>
          <w:ilvl w:val="0"/>
          <w:numId w:val="1"/>
        </w:numPr>
        <w:tabs>
          <w:tab w:pos="1250" w:val="left" w:leader="none"/>
        </w:tabs>
        <w:spacing w:line="240" w:lineRule="auto" w:before="0" w:after="0"/>
        <w:ind w:left="110" w:right="1015" w:firstLine="720"/>
        <w:jc w:val="left"/>
        <w:rPr>
          <w:sz w:val="24"/>
        </w:rPr>
      </w:pPr>
      <w:r>
        <w:rPr>
          <w:sz w:val="24"/>
        </w:rPr>
        <w:t>Furthermore, absent a predicate allegation pursuant to §42-4-1301.1 (3) C.R.S., however, an involuntary chemical test cannot be used against the Defendant in a prosecution pursuant to §42-4-1301(6) (e) C.R.S.. </w:t>
      </w:r>
      <w:r>
        <w:rPr>
          <w:sz w:val="24"/>
          <w:u w:val="single"/>
        </w:rPr>
        <w:t>Compton v. People</w:t>
      </w:r>
      <w:r>
        <w:rPr>
          <w:sz w:val="24"/>
        </w:rPr>
        <w:t>, 444 P.2d 263 (Colo. 1968); </w:t>
      </w:r>
      <w:r>
        <w:rPr>
          <w:sz w:val="24"/>
          <w:u w:val="single"/>
        </w:rPr>
        <w:t>Hess v. Tice</w:t>
      </w:r>
      <w:r>
        <w:rPr>
          <w:sz w:val="24"/>
        </w:rPr>
        <w:t>, 598 P.2d 536 (Colo.App. 1979); </w:t>
      </w:r>
      <w:r>
        <w:rPr>
          <w:sz w:val="24"/>
          <w:u w:val="single"/>
        </w:rPr>
        <w:t>Augustino v. Colorado Dept. Of Revenue</w:t>
      </w:r>
      <w:r>
        <w:rPr>
          <w:sz w:val="24"/>
        </w:rPr>
        <w:t>, 565 P.2d 933 (Colo. 1977); </w:t>
      </w:r>
      <w:r>
        <w:rPr>
          <w:sz w:val="24"/>
          <w:u w:val="single"/>
        </w:rPr>
        <w:t>Zahtila v. Motor Vehicle Div., Dept. Of Revenue</w:t>
      </w:r>
      <w:r>
        <w:rPr>
          <w:sz w:val="24"/>
        </w:rPr>
        <w:t>, (Colo. App.</w:t>
      </w:r>
      <w:r>
        <w:rPr>
          <w:spacing w:val="-10"/>
          <w:sz w:val="24"/>
        </w:rPr>
        <w:t> </w:t>
      </w:r>
      <w:r>
        <w:rPr>
          <w:sz w:val="24"/>
        </w:rPr>
        <w:t>1977).</w:t>
      </w:r>
    </w:p>
    <w:p>
      <w:pPr>
        <w:pStyle w:val="BodyText"/>
        <w:spacing w:before="2"/>
        <w:rPr>
          <w:sz w:val="16"/>
        </w:rPr>
      </w:pPr>
    </w:p>
    <w:p>
      <w:pPr>
        <w:pStyle w:val="ListParagraph"/>
        <w:numPr>
          <w:ilvl w:val="0"/>
          <w:numId w:val="1"/>
        </w:numPr>
        <w:tabs>
          <w:tab w:pos="1250" w:val="left" w:leader="none"/>
        </w:tabs>
        <w:spacing w:line="240" w:lineRule="auto" w:before="90" w:after="0"/>
        <w:ind w:left="1250" w:right="0" w:hanging="420"/>
        <w:jc w:val="left"/>
        <w:rPr>
          <w:sz w:val="24"/>
        </w:rPr>
      </w:pPr>
      <w:r>
        <w:rPr>
          <w:sz w:val="24"/>
        </w:rPr>
        <w:t>In </w:t>
      </w:r>
      <w:r>
        <w:rPr>
          <w:sz w:val="24"/>
          <w:u w:val="single"/>
        </w:rPr>
        <w:t>Compton</w:t>
      </w:r>
      <w:r>
        <w:rPr>
          <w:sz w:val="24"/>
        </w:rPr>
        <w:t>, 444 P.2d 263 (Colo. 1968) the Colorado Supreme Court</w:t>
      </w:r>
      <w:r>
        <w:rPr>
          <w:spacing w:val="-4"/>
          <w:sz w:val="24"/>
        </w:rPr>
        <w:t> </w:t>
      </w:r>
      <w:r>
        <w:rPr>
          <w:sz w:val="24"/>
        </w:rPr>
        <w:t>held:</w:t>
      </w:r>
    </w:p>
    <w:p>
      <w:pPr>
        <w:pStyle w:val="BodyText"/>
        <w:spacing w:before="2"/>
        <w:rPr>
          <w:sz w:val="16"/>
        </w:rPr>
      </w:pPr>
    </w:p>
    <w:p>
      <w:pPr>
        <w:pStyle w:val="BodyText"/>
        <w:spacing w:before="90"/>
        <w:ind w:left="830" w:right="759"/>
      </w:pPr>
      <w:r>
        <w:rPr/>
        <w:t>Absent an affirmative finding that the defendant gave [his] consent to the taking of a blood alcohol test, it was error for the trial court to admit into evidence the results of such a test. </w:t>
      </w:r>
      <w:r>
        <w:rPr>
          <w:u w:val="single"/>
        </w:rPr>
        <w:t>Id</w:t>
      </w:r>
      <w:r>
        <w:rPr/>
        <w:t>. At 266.</w:t>
      </w:r>
    </w:p>
    <w:p>
      <w:pPr>
        <w:pStyle w:val="BodyText"/>
        <w:spacing w:before="2"/>
        <w:rPr>
          <w:sz w:val="16"/>
        </w:rPr>
      </w:pPr>
    </w:p>
    <w:p>
      <w:pPr>
        <w:pStyle w:val="ListParagraph"/>
        <w:numPr>
          <w:ilvl w:val="0"/>
          <w:numId w:val="1"/>
        </w:numPr>
        <w:tabs>
          <w:tab w:pos="1250" w:val="left" w:leader="none"/>
        </w:tabs>
        <w:spacing w:line="240" w:lineRule="auto" w:before="90" w:after="0"/>
        <w:ind w:left="110" w:right="670" w:firstLine="720"/>
        <w:jc w:val="left"/>
        <w:rPr>
          <w:sz w:val="24"/>
        </w:rPr>
      </w:pPr>
      <w:r>
        <w:rPr>
          <w:sz w:val="24"/>
        </w:rPr>
        <w:t>Any chemical test done on any sample of breath from Mr. Friedlander’s body, without his consent, cannot be admitted into evidence at trial. </w:t>
      </w:r>
      <w:r>
        <w:rPr>
          <w:sz w:val="24"/>
          <w:u w:val="single"/>
        </w:rPr>
        <w:t>Turbyne v. People</w:t>
      </w:r>
      <w:r>
        <w:rPr>
          <w:sz w:val="24"/>
        </w:rPr>
        <w:t>, 151 P.3d 563, 572 (Colo. 2007), citing </w:t>
      </w:r>
      <w:r>
        <w:rPr>
          <w:sz w:val="24"/>
          <w:u w:val="single"/>
        </w:rPr>
        <w:t>People v. Diaz</w:t>
      </w:r>
      <w:r>
        <w:rPr>
          <w:sz w:val="24"/>
        </w:rPr>
        <w:t>, 53 P.3d 1171, 1175 (Colo.</w:t>
      </w:r>
      <w:r>
        <w:rPr>
          <w:spacing w:val="-4"/>
          <w:sz w:val="24"/>
        </w:rPr>
        <w:t> </w:t>
      </w:r>
      <w:r>
        <w:rPr>
          <w:sz w:val="24"/>
        </w:rPr>
        <w:t>2002).</w:t>
      </w:r>
    </w:p>
    <w:p>
      <w:pPr>
        <w:pStyle w:val="BodyText"/>
        <w:spacing w:before="3"/>
        <w:rPr>
          <w:sz w:val="16"/>
        </w:rPr>
      </w:pPr>
    </w:p>
    <w:p>
      <w:pPr>
        <w:pStyle w:val="ListParagraph"/>
        <w:numPr>
          <w:ilvl w:val="0"/>
          <w:numId w:val="1"/>
        </w:numPr>
        <w:tabs>
          <w:tab w:pos="1250" w:val="left" w:leader="none"/>
        </w:tabs>
        <w:spacing w:line="240" w:lineRule="auto" w:before="89" w:after="0"/>
        <w:ind w:left="110" w:right="812" w:firstLine="720"/>
        <w:jc w:val="left"/>
        <w:rPr>
          <w:sz w:val="24"/>
        </w:rPr>
      </w:pPr>
      <w:r>
        <w:rPr>
          <w:sz w:val="24"/>
        </w:rPr>
        <w:t>Before, during, and after the arrest, officers from the Colorado State Patrol may</w:t>
      </w:r>
      <w:r>
        <w:rPr>
          <w:spacing w:val="-20"/>
          <w:sz w:val="24"/>
        </w:rPr>
        <w:t> </w:t>
      </w:r>
      <w:r>
        <w:rPr>
          <w:sz w:val="24"/>
        </w:rPr>
        <w:t>have obtained statements from the</w:t>
      </w:r>
      <w:r>
        <w:rPr>
          <w:spacing w:val="-4"/>
          <w:sz w:val="24"/>
        </w:rPr>
        <w:t> </w:t>
      </w:r>
      <w:r>
        <w:rPr>
          <w:sz w:val="24"/>
        </w:rPr>
        <w:t>defendant.</w:t>
      </w:r>
    </w:p>
    <w:p>
      <w:pPr>
        <w:pStyle w:val="BodyText"/>
      </w:pPr>
    </w:p>
    <w:p>
      <w:pPr>
        <w:pStyle w:val="ListParagraph"/>
        <w:numPr>
          <w:ilvl w:val="0"/>
          <w:numId w:val="1"/>
        </w:numPr>
        <w:tabs>
          <w:tab w:pos="1250" w:val="left" w:leader="none"/>
        </w:tabs>
        <w:spacing w:line="240" w:lineRule="auto" w:before="1" w:after="0"/>
        <w:ind w:left="110" w:right="976" w:firstLine="720"/>
        <w:jc w:val="left"/>
        <w:rPr>
          <w:sz w:val="24"/>
        </w:rPr>
      </w:pPr>
      <w:r>
        <w:rPr>
          <w:sz w:val="24"/>
        </w:rPr>
        <w:t>At no time did Mr. Friedlander expressly or implicitly express a desire to waive his right to remain</w:t>
      </w:r>
      <w:r>
        <w:rPr>
          <w:spacing w:val="-2"/>
          <w:sz w:val="24"/>
        </w:rPr>
        <w:t> </w:t>
      </w:r>
      <w:r>
        <w:rPr>
          <w:sz w:val="24"/>
        </w:rPr>
        <w:t>silent.</w:t>
      </w:r>
    </w:p>
    <w:p>
      <w:pPr>
        <w:pStyle w:val="BodyText"/>
        <w:spacing w:before="10"/>
        <w:rPr>
          <w:sz w:val="23"/>
        </w:rPr>
      </w:pPr>
    </w:p>
    <w:p>
      <w:pPr>
        <w:pStyle w:val="ListParagraph"/>
        <w:numPr>
          <w:ilvl w:val="0"/>
          <w:numId w:val="1"/>
        </w:numPr>
        <w:tabs>
          <w:tab w:pos="1250" w:val="left" w:leader="none"/>
        </w:tabs>
        <w:spacing w:line="240" w:lineRule="auto" w:before="0" w:after="0"/>
        <w:ind w:left="110" w:right="1837" w:firstLine="720"/>
        <w:jc w:val="left"/>
        <w:rPr>
          <w:sz w:val="24"/>
        </w:rPr>
      </w:pPr>
      <w:r>
        <w:rPr>
          <w:sz w:val="24"/>
        </w:rPr>
        <w:t>Consequently, any and all statements made by Mr. Friedlander were</w:t>
      </w:r>
      <w:r>
        <w:rPr>
          <w:spacing w:val="-16"/>
          <w:sz w:val="24"/>
        </w:rPr>
        <w:t> </w:t>
      </w:r>
      <w:r>
        <w:rPr>
          <w:sz w:val="24"/>
        </w:rPr>
        <w:t>made involuntarily and without a valid waiver of his right to remain</w:t>
      </w:r>
      <w:r>
        <w:rPr>
          <w:spacing w:val="-8"/>
          <w:sz w:val="24"/>
        </w:rPr>
        <w:t> </w:t>
      </w:r>
      <w:r>
        <w:rPr>
          <w:sz w:val="24"/>
        </w:rPr>
        <w:t>silent.</w:t>
      </w:r>
    </w:p>
    <w:p>
      <w:pPr>
        <w:pStyle w:val="BodyText"/>
      </w:pPr>
    </w:p>
    <w:p>
      <w:pPr>
        <w:pStyle w:val="ListParagraph"/>
        <w:numPr>
          <w:ilvl w:val="0"/>
          <w:numId w:val="1"/>
        </w:numPr>
        <w:tabs>
          <w:tab w:pos="1250" w:val="left" w:leader="none"/>
        </w:tabs>
        <w:spacing w:line="240" w:lineRule="auto" w:before="0" w:after="0"/>
        <w:ind w:left="110" w:right="1258" w:firstLine="720"/>
        <w:jc w:val="left"/>
        <w:rPr>
          <w:sz w:val="24"/>
        </w:rPr>
      </w:pPr>
      <w:r>
        <w:rPr>
          <w:sz w:val="24"/>
        </w:rPr>
        <w:t>Any statements made while the defendant was in custody were obtained</w:t>
      </w:r>
      <w:r>
        <w:rPr>
          <w:spacing w:val="-17"/>
          <w:sz w:val="24"/>
        </w:rPr>
        <w:t> </w:t>
      </w:r>
      <w:r>
        <w:rPr>
          <w:sz w:val="24"/>
        </w:rPr>
        <w:t>without adequate warning and valid waiver of rights pursuant to </w:t>
      </w:r>
      <w:r>
        <w:rPr>
          <w:sz w:val="24"/>
          <w:u w:val="single"/>
        </w:rPr>
        <w:t>Miranda v. Arizona</w:t>
      </w:r>
      <w:r>
        <w:rPr>
          <w:sz w:val="24"/>
        </w:rPr>
        <w:t>, 384 U.S. 436 (1966).</w:t>
      </w:r>
    </w:p>
    <w:p>
      <w:pPr>
        <w:pStyle w:val="BodyText"/>
      </w:pPr>
    </w:p>
    <w:p>
      <w:pPr>
        <w:pStyle w:val="ListParagraph"/>
        <w:numPr>
          <w:ilvl w:val="0"/>
          <w:numId w:val="1"/>
        </w:numPr>
        <w:tabs>
          <w:tab w:pos="1250" w:val="left" w:leader="none"/>
        </w:tabs>
        <w:spacing w:line="240" w:lineRule="auto" w:before="0" w:after="0"/>
        <w:ind w:left="110" w:right="693" w:firstLine="720"/>
        <w:jc w:val="left"/>
        <w:rPr>
          <w:sz w:val="24"/>
        </w:rPr>
      </w:pPr>
      <w:r>
        <w:rPr>
          <w:sz w:val="24"/>
        </w:rPr>
        <w:t>Any statements made by Mr. Friedlander were obtained in violation of the defendant's right to counsel under the Fifth, Sixth and Fourteenth Amendments to the United States Constitution, </w:t>
      </w:r>
      <w:r>
        <w:rPr>
          <w:sz w:val="24"/>
          <w:u w:val="single"/>
        </w:rPr>
        <w:t>Miranda v. Arizona</w:t>
      </w:r>
      <w:r>
        <w:rPr>
          <w:sz w:val="24"/>
        </w:rPr>
        <w:t>, 384 U.S. 436 (1966) 16-3-401 et. seq., 8 C.R.S. and are presumptively involuntary and</w:t>
      </w:r>
      <w:r>
        <w:rPr>
          <w:spacing w:val="-1"/>
          <w:sz w:val="24"/>
        </w:rPr>
        <w:t> </w:t>
      </w:r>
      <w:r>
        <w:rPr>
          <w:sz w:val="24"/>
        </w:rPr>
        <w:t>inadmissable.</w:t>
      </w:r>
    </w:p>
    <w:p>
      <w:pPr>
        <w:spacing w:after="0" w:line="240" w:lineRule="auto"/>
        <w:jc w:val="left"/>
        <w:rPr>
          <w:sz w:val="24"/>
        </w:rPr>
        <w:sectPr>
          <w:pgSz w:w="12240" w:h="15840"/>
          <w:pgMar w:top="1500" w:bottom="280" w:left="1240" w:right="7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7"/>
        <w:ind w:left="110" w:right="879" w:firstLine="720"/>
      </w:pPr>
      <w:r>
        <w:rPr/>
        <w:t>WHEREFORE, Defendant requests that the Court enter an Order suppressing the illegal stop, involuntary roadside tests, warrantless arrest of Defendant and all evidence derived as a result thereof of said illegal stop, involuntary roadside tests and warrantless arrest including any test performed on any breath sample and all statements made by Mr. Friedlander.</w:t>
      </w:r>
    </w:p>
    <w:p>
      <w:pPr>
        <w:pStyle w:val="BodyText"/>
        <w:spacing w:before="11"/>
        <w:rPr>
          <w:sz w:val="23"/>
        </w:rPr>
      </w:pPr>
    </w:p>
    <w:p>
      <w:pPr>
        <w:pStyle w:val="BodyText"/>
        <w:ind w:left="830"/>
      </w:pPr>
      <w:r>
        <w:rPr/>
        <w:t>DATED THIS 20th DAY OF December, 2016.</w:t>
      </w:r>
    </w:p>
    <w:p>
      <w:pPr>
        <w:pStyle w:val="BodyText"/>
      </w:pPr>
    </w:p>
    <w:p>
      <w:pPr>
        <w:pStyle w:val="BodyText"/>
        <w:ind w:left="5150"/>
      </w:pPr>
      <w:r>
        <w:rPr/>
        <w:t>Respectfully submitted,</w:t>
      </w:r>
    </w:p>
    <w:p>
      <w:pPr>
        <w:pStyle w:val="BodyText"/>
      </w:pPr>
    </w:p>
    <w:p>
      <w:pPr>
        <w:pStyle w:val="BodyText"/>
        <w:ind w:left="5150" w:right="3364"/>
      </w:pPr>
      <w:r>
        <w:rPr>
          <w:u w:val="single"/>
        </w:rPr>
        <w:t>/s/Danny Luneau</w:t>
      </w:r>
      <w:r>
        <w:rPr/>
        <w:t> Charles L. Fife Daniel E. Luneau</w:t>
      </w:r>
    </w:p>
    <w:p>
      <w:pPr>
        <w:pStyle w:val="BodyText"/>
      </w:pPr>
    </w:p>
    <w:p>
      <w:pPr>
        <w:pStyle w:val="BodyText"/>
        <w:ind w:left="5150"/>
      </w:pPr>
      <w:r>
        <w:rPr/>
        <w:t>ATTORNEYS FOR DEFENDANT</w:t>
      </w:r>
    </w:p>
    <w:p>
      <w:pPr>
        <w:pStyle w:val="BodyText"/>
        <w:rPr>
          <w:sz w:val="26"/>
        </w:rPr>
      </w:pPr>
    </w:p>
    <w:p>
      <w:pPr>
        <w:pStyle w:val="BodyText"/>
        <w:rPr>
          <w:sz w:val="22"/>
        </w:rPr>
      </w:pPr>
    </w:p>
    <w:p>
      <w:pPr>
        <w:pStyle w:val="BodyText"/>
        <w:ind w:left="3335"/>
      </w:pPr>
      <w:r>
        <w:rPr>
          <w:u w:val="single"/>
        </w:rPr>
        <w:t>CERTIFICATE OF MAILING</w:t>
      </w:r>
    </w:p>
    <w:p>
      <w:pPr>
        <w:pStyle w:val="BodyText"/>
        <w:spacing w:before="2"/>
        <w:rPr>
          <w:sz w:val="16"/>
        </w:rPr>
      </w:pPr>
    </w:p>
    <w:p>
      <w:pPr>
        <w:spacing w:line="240" w:lineRule="auto" w:before="90"/>
        <w:ind w:left="110" w:right="1035" w:firstLine="720"/>
        <w:jc w:val="left"/>
        <w:rPr>
          <w:sz w:val="24"/>
        </w:rPr>
      </w:pPr>
      <w:r>
        <w:rPr>
          <w:sz w:val="24"/>
        </w:rPr>
        <w:t>I do hereby state and affirm that a copy of the foregoing </w:t>
      </w:r>
      <w:r>
        <w:rPr>
          <w:b/>
          <w:sz w:val="24"/>
        </w:rPr>
        <w:t>MOTION TO SUPPRESS ILLEGAL STOP, INVOLUNTARY ROADSIDE TESTS, WARRANTLESS ARREST, STATEMENTS AND INVOLUNTARY BLOOD TEST </w:t>
      </w:r>
      <w:r>
        <w:rPr>
          <w:sz w:val="24"/>
        </w:rPr>
        <w:t>was served, via ICCESS, this 20th</w:t>
      </w:r>
    </w:p>
    <w:p>
      <w:pPr>
        <w:pStyle w:val="BodyText"/>
        <w:ind w:left="110"/>
      </w:pPr>
      <w:r>
        <w:rPr/>
        <w:t>day of December, 2016, to the following:</w:t>
      </w:r>
    </w:p>
    <w:p>
      <w:pPr>
        <w:pStyle w:val="BodyText"/>
      </w:pPr>
    </w:p>
    <w:p>
      <w:pPr>
        <w:pStyle w:val="BodyText"/>
        <w:spacing w:before="1"/>
        <w:ind w:left="110" w:right="7170"/>
      </w:pPr>
      <w:r>
        <w:rPr/>
        <w:t>Office of the District Attorney County of Gilpin</w:t>
      </w:r>
    </w:p>
    <w:p>
      <w:pPr>
        <w:pStyle w:val="BodyText"/>
        <w:spacing w:before="1"/>
      </w:pPr>
    </w:p>
    <w:p>
      <w:pPr>
        <w:spacing w:before="0"/>
        <w:ind w:left="5150" w:right="0" w:firstLine="0"/>
        <w:jc w:val="left"/>
        <w:rPr>
          <w:b/>
          <w:sz w:val="24"/>
        </w:rPr>
      </w:pPr>
      <w:r>
        <w:rPr>
          <w:b/>
          <w:sz w:val="24"/>
          <w:u w:val="thick"/>
        </w:rPr>
        <w:t>/s/Danny Luneau</w:t>
      </w:r>
    </w:p>
    <w:sectPr>
      <w:pgSz w:w="12240" w:h="15840"/>
      <w:pgMar w:top="1500" w:bottom="280" w:left="12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Minion Pro">
    <w:altName w:val="Minion Pro"/>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640" w:hanging="720"/>
        <w:jc w:val="left"/>
      </w:pPr>
      <w:rPr>
        <w:rFonts w:hint="default" w:ascii="Times New Roman" w:hAnsi="Times New Roman" w:eastAsia="Times New Roman" w:cs="Times New Roman"/>
        <w:spacing w:val="-2"/>
        <w:w w:val="97"/>
        <w:sz w:val="24"/>
        <w:szCs w:val="24"/>
      </w:rPr>
    </w:lvl>
    <w:lvl w:ilvl="1">
      <w:start w:val="0"/>
      <w:numFmt w:val="bullet"/>
      <w:lvlText w:val="•"/>
      <w:lvlJc w:val="left"/>
      <w:pPr>
        <w:ind w:left="2498" w:hanging="720"/>
      </w:pPr>
      <w:rPr>
        <w:rFonts w:hint="default"/>
      </w:rPr>
    </w:lvl>
    <w:lvl w:ilvl="2">
      <w:start w:val="0"/>
      <w:numFmt w:val="bullet"/>
      <w:lvlText w:val="•"/>
      <w:lvlJc w:val="left"/>
      <w:pPr>
        <w:ind w:left="3356" w:hanging="720"/>
      </w:pPr>
      <w:rPr>
        <w:rFonts w:hint="default"/>
      </w:rPr>
    </w:lvl>
    <w:lvl w:ilvl="3">
      <w:start w:val="0"/>
      <w:numFmt w:val="bullet"/>
      <w:lvlText w:val="•"/>
      <w:lvlJc w:val="left"/>
      <w:pPr>
        <w:ind w:left="4214" w:hanging="720"/>
      </w:pPr>
      <w:rPr>
        <w:rFonts w:hint="default"/>
      </w:rPr>
    </w:lvl>
    <w:lvl w:ilvl="4">
      <w:start w:val="0"/>
      <w:numFmt w:val="bullet"/>
      <w:lvlText w:val="•"/>
      <w:lvlJc w:val="left"/>
      <w:pPr>
        <w:ind w:left="5072" w:hanging="720"/>
      </w:pPr>
      <w:rPr>
        <w:rFonts w:hint="default"/>
      </w:rPr>
    </w:lvl>
    <w:lvl w:ilvl="5">
      <w:start w:val="0"/>
      <w:numFmt w:val="bullet"/>
      <w:lvlText w:val="•"/>
      <w:lvlJc w:val="left"/>
      <w:pPr>
        <w:ind w:left="5930" w:hanging="720"/>
      </w:pPr>
      <w:rPr>
        <w:rFonts w:hint="default"/>
      </w:rPr>
    </w:lvl>
    <w:lvl w:ilvl="6">
      <w:start w:val="0"/>
      <w:numFmt w:val="bullet"/>
      <w:lvlText w:val="•"/>
      <w:lvlJc w:val="left"/>
      <w:pPr>
        <w:ind w:left="6788" w:hanging="720"/>
      </w:pPr>
      <w:rPr>
        <w:rFonts w:hint="default"/>
      </w:rPr>
    </w:lvl>
    <w:lvl w:ilvl="7">
      <w:start w:val="0"/>
      <w:numFmt w:val="bullet"/>
      <w:lvlText w:val="•"/>
      <w:lvlJc w:val="left"/>
      <w:pPr>
        <w:ind w:left="7646" w:hanging="720"/>
      </w:pPr>
      <w:rPr>
        <w:rFonts w:hint="default"/>
      </w:rPr>
    </w:lvl>
    <w:lvl w:ilvl="8">
      <w:start w:val="0"/>
      <w:numFmt w:val="bullet"/>
      <w:lvlText w:val="•"/>
      <w:lvlJc w:val="left"/>
      <w:pPr>
        <w:ind w:left="8504" w:hanging="720"/>
      </w:pPr>
      <w:rPr>
        <w:rFonts w:hint="default"/>
      </w:rPr>
    </w:lvl>
  </w:abstractNum>
  <w:abstractNum w:abstractNumId="2">
    <w:multiLevelType w:val="hybridMultilevel"/>
    <w:lvl w:ilvl="0">
      <w:start w:val="2"/>
      <w:numFmt w:val="decimal"/>
      <w:lvlText w:val="(%1)"/>
      <w:lvlJc w:val="left"/>
      <w:pPr>
        <w:ind w:left="920" w:hanging="341"/>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850" w:hanging="341"/>
      </w:pPr>
      <w:rPr>
        <w:rFonts w:hint="default"/>
      </w:rPr>
    </w:lvl>
    <w:lvl w:ilvl="2">
      <w:start w:val="0"/>
      <w:numFmt w:val="bullet"/>
      <w:lvlText w:val="•"/>
      <w:lvlJc w:val="left"/>
      <w:pPr>
        <w:ind w:left="2780" w:hanging="341"/>
      </w:pPr>
      <w:rPr>
        <w:rFonts w:hint="default"/>
      </w:rPr>
    </w:lvl>
    <w:lvl w:ilvl="3">
      <w:start w:val="0"/>
      <w:numFmt w:val="bullet"/>
      <w:lvlText w:val="•"/>
      <w:lvlJc w:val="left"/>
      <w:pPr>
        <w:ind w:left="3710" w:hanging="341"/>
      </w:pPr>
      <w:rPr>
        <w:rFonts w:hint="default"/>
      </w:rPr>
    </w:lvl>
    <w:lvl w:ilvl="4">
      <w:start w:val="0"/>
      <w:numFmt w:val="bullet"/>
      <w:lvlText w:val="•"/>
      <w:lvlJc w:val="left"/>
      <w:pPr>
        <w:ind w:left="4640" w:hanging="341"/>
      </w:pPr>
      <w:rPr>
        <w:rFonts w:hint="default"/>
      </w:rPr>
    </w:lvl>
    <w:lvl w:ilvl="5">
      <w:start w:val="0"/>
      <w:numFmt w:val="bullet"/>
      <w:lvlText w:val="•"/>
      <w:lvlJc w:val="left"/>
      <w:pPr>
        <w:ind w:left="5570" w:hanging="341"/>
      </w:pPr>
      <w:rPr>
        <w:rFonts w:hint="default"/>
      </w:rPr>
    </w:lvl>
    <w:lvl w:ilvl="6">
      <w:start w:val="0"/>
      <w:numFmt w:val="bullet"/>
      <w:lvlText w:val="•"/>
      <w:lvlJc w:val="left"/>
      <w:pPr>
        <w:ind w:left="6500" w:hanging="341"/>
      </w:pPr>
      <w:rPr>
        <w:rFonts w:hint="default"/>
      </w:rPr>
    </w:lvl>
    <w:lvl w:ilvl="7">
      <w:start w:val="0"/>
      <w:numFmt w:val="bullet"/>
      <w:lvlText w:val="•"/>
      <w:lvlJc w:val="left"/>
      <w:pPr>
        <w:ind w:left="7430" w:hanging="341"/>
      </w:pPr>
      <w:rPr>
        <w:rFonts w:hint="default"/>
      </w:rPr>
    </w:lvl>
    <w:lvl w:ilvl="8">
      <w:start w:val="0"/>
      <w:numFmt w:val="bullet"/>
      <w:lvlText w:val="•"/>
      <w:lvlJc w:val="left"/>
      <w:pPr>
        <w:ind w:left="8360" w:hanging="341"/>
      </w:pPr>
      <w:rPr>
        <w:rFonts w:hint="default"/>
      </w:rPr>
    </w:lvl>
  </w:abstractNum>
  <w:abstractNum w:abstractNumId="1">
    <w:multiLevelType w:val="hybridMultilevel"/>
    <w:lvl w:ilvl="0">
      <w:start w:val="2"/>
      <w:numFmt w:val="lowerLetter"/>
      <w:lvlText w:val="(%1)"/>
      <w:lvlJc w:val="left"/>
      <w:pPr>
        <w:ind w:left="920" w:hanging="341"/>
        <w:jc w:val="left"/>
      </w:pPr>
      <w:rPr>
        <w:rFonts w:hint="default" w:ascii="Times New Roman" w:hAnsi="Times New Roman" w:eastAsia="Times New Roman" w:cs="Times New Roman"/>
        <w:spacing w:val="-2"/>
        <w:w w:val="99"/>
        <w:sz w:val="24"/>
        <w:szCs w:val="24"/>
      </w:rPr>
    </w:lvl>
    <w:lvl w:ilvl="1">
      <w:start w:val="1"/>
      <w:numFmt w:val="upperRoman"/>
      <w:lvlText w:val="(%2)"/>
      <w:lvlJc w:val="left"/>
      <w:pPr>
        <w:ind w:left="1941" w:hanging="302"/>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2860" w:hanging="302"/>
      </w:pPr>
      <w:rPr>
        <w:rFonts w:hint="default"/>
      </w:rPr>
    </w:lvl>
    <w:lvl w:ilvl="3">
      <w:start w:val="0"/>
      <w:numFmt w:val="bullet"/>
      <w:lvlText w:val="•"/>
      <w:lvlJc w:val="left"/>
      <w:pPr>
        <w:ind w:left="3780" w:hanging="302"/>
      </w:pPr>
      <w:rPr>
        <w:rFonts w:hint="default"/>
      </w:rPr>
    </w:lvl>
    <w:lvl w:ilvl="4">
      <w:start w:val="0"/>
      <w:numFmt w:val="bullet"/>
      <w:lvlText w:val="•"/>
      <w:lvlJc w:val="left"/>
      <w:pPr>
        <w:ind w:left="4700" w:hanging="302"/>
      </w:pPr>
      <w:rPr>
        <w:rFonts w:hint="default"/>
      </w:rPr>
    </w:lvl>
    <w:lvl w:ilvl="5">
      <w:start w:val="0"/>
      <w:numFmt w:val="bullet"/>
      <w:lvlText w:val="•"/>
      <w:lvlJc w:val="left"/>
      <w:pPr>
        <w:ind w:left="5620" w:hanging="302"/>
      </w:pPr>
      <w:rPr>
        <w:rFonts w:hint="default"/>
      </w:rPr>
    </w:lvl>
    <w:lvl w:ilvl="6">
      <w:start w:val="0"/>
      <w:numFmt w:val="bullet"/>
      <w:lvlText w:val="•"/>
      <w:lvlJc w:val="left"/>
      <w:pPr>
        <w:ind w:left="6540" w:hanging="302"/>
      </w:pPr>
      <w:rPr>
        <w:rFonts w:hint="default"/>
      </w:rPr>
    </w:lvl>
    <w:lvl w:ilvl="7">
      <w:start w:val="0"/>
      <w:numFmt w:val="bullet"/>
      <w:lvlText w:val="•"/>
      <w:lvlJc w:val="left"/>
      <w:pPr>
        <w:ind w:left="7460" w:hanging="302"/>
      </w:pPr>
      <w:rPr>
        <w:rFonts w:hint="default"/>
      </w:rPr>
    </w:lvl>
    <w:lvl w:ilvl="8">
      <w:start w:val="0"/>
      <w:numFmt w:val="bullet"/>
      <w:lvlText w:val="•"/>
      <w:lvlJc w:val="left"/>
      <w:pPr>
        <w:ind w:left="8380" w:hanging="302"/>
      </w:pPr>
      <w:rPr>
        <w:rFonts w:hint="default"/>
      </w:rPr>
    </w:lvl>
  </w:abstractNum>
  <w:abstractNum w:abstractNumId="0">
    <w:multiLevelType w:val="hybridMultilevel"/>
    <w:lvl w:ilvl="0">
      <w:start w:val="1"/>
      <w:numFmt w:val="decimal"/>
      <w:lvlText w:val="%1."/>
      <w:lvlJc w:val="left"/>
      <w:pPr>
        <w:ind w:left="200" w:hanging="300"/>
        <w:jc w:val="right"/>
      </w:pPr>
      <w:rPr>
        <w:rFonts w:hint="default" w:ascii="Times New Roman" w:hAnsi="Times New Roman" w:eastAsia="Times New Roman" w:cs="Times New Roman"/>
        <w:spacing w:val="-2"/>
        <w:w w:val="99"/>
        <w:sz w:val="24"/>
        <w:szCs w:val="24"/>
      </w:rPr>
    </w:lvl>
    <w:lvl w:ilvl="1">
      <w:start w:val="1"/>
      <w:numFmt w:val="lowerLetter"/>
      <w:lvlText w:val="%2."/>
      <w:lvlJc w:val="left"/>
      <w:pPr>
        <w:ind w:left="2706" w:hanging="347"/>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3535" w:hanging="347"/>
      </w:pPr>
      <w:rPr>
        <w:rFonts w:hint="default"/>
      </w:rPr>
    </w:lvl>
    <w:lvl w:ilvl="3">
      <w:start w:val="0"/>
      <w:numFmt w:val="bullet"/>
      <w:lvlText w:val="•"/>
      <w:lvlJc w:val="left"/>
      <w:pPr>
        <w:ind w:left="4371" w:hanging="347"/>
      </w:pPr>
      <w:rPr>
        <w:rFonts w:hint="default"/>
      </w:rPr>
    </w:lvl>
    <w:lvl w:ilvl="4">
      <w:start w:val="0"/>
      <w:numFmt w:val="bullet"/>
      <w:lvlText w:val="•"/>
      <w:lvlJc w:val="left"/>
      <w:pPr>
        <w:ind w:left="5206" w:hanging="347"/>
      </w:pPr>
      <w:rPr>
        <w:rFonts w:hint="default"/>
      </w:rPr>
    </w:lvl>
    <w:lvl w:ilvl="5">
      <w:start w:val="0"/>
      <w:numFmt w:val="bullet"/>
      <w:lvlText w:val="•"/>
      <w:lvlJc w:val="left"/>
      <w:pPr>
        <w:ind w:left="6042" w:hanging="347"/>
      </w:pPr>
      <w:rPr>
        <w:rFonts w:hint="default"/>
      </w:rPr>
    </w:lvl>
    <w:lvl w:ilvl="6">
      <w:start w:val="0"/>
      <w:numFmt w:val="bullet"/>
      <w:lvlText w:val="•"/>
      <w:lvlJc w:val="left"/>
      <w:pPr>
        <w:ind w:left="6877" w:hanging="347"/>
      </w:pPr>
      <w:rPr>
        <w:rFonts w:hint="default"/>
      </w:rPr>
    </w:lvl>
    <w:lvl w:ilvl="7">
      <w:start w:val="0"/>
      <w:numFmt w:val="bullet"/>
      <w:lvlText w:val="•"/>
      <w:lvlJc w:val="left"/>
      <w:pPr>
        <w:ind w:left="7713" w:hanging="347"/>
      </w:pPr>
      <w:rPr>
        <w:rFonts w:hint="default"/>
      </w:rPr>
    </w:lvl>
    <w:lvl w:ilvl="8">
      <w:start w:val="0"/>
      <w:numFmt w:val="bullet"/>
      <w:lvlText w:val="•"/>
      <w:lvlJc w:val="left"/>
      <w:pPr>
        <w:ind w:left="8548" w:hanging="347"/>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9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10" w:firstLine="720"/>
    </w:pPr>
    <w:rPr>
      <w:rFonts w:ascii="Times New Roman" w:hAnsi="Times New Roman" w:eastAsia="Times New Roman" w:cs="Times New Roman"/>
    </w:rPr>
  </w:style>
  <w:style w:styleId="TableParagraph" w:type="paragraph">
    <w:name w:val="Table Paragraph"/>
    <w:basedOn w:val="Normal"/>
    <w:uiPriority w:val="1"/>
    <w:qFormat/>
    <w:pPr>
      <w:ind w:left="116"/>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Luneau</dc:creator>
  <dcterms:created xsi:type="dcterms:W3CDTF">2019-03-20T17:57:00Z</dcterms:created>
  <dcterms:modified xsi:type="dcterms:W3CDTF">2019-03-20T17:57:00Z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Acrobat PDFMaker 10.1 for Word</vt:lpwstr>
  </property>
  <property fmtid="{D5CDD505-2E9C-101B-9397-08002B2CF9AE}" pid="4" name="LastSaved">
    <vt:filetime>2019-03-20T00:00:00Z</vt:filetime>
  </property>
</Properties>
</file>