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83"/>
        <w:gridCol w:w="2069"/>
        <w:gridCol w:w="1260"/>
      </w:tblGrid>
      <w:tr>
        <w:trPr>
          <w:trHeight w:val="596" w:hRule="atLeast"/>
        </w:trPr>
        <w:tc>
          <w:tcPr>
            <w:tcW w:w="6483" w:type="dxa"/>
            <w:tcBorders>
              <w:bottom w:val="single" w:sz="6" w:space="0" w:color="000000"/>
              <w:right w:val="single" w:sz="6" w:space="0" w:color="000000"/>
            </w:tcBorders>
            <w:shd w:val="clear" w:color="auto" w:fill="404040"/>
          </w:tcPr>
          <w:p>
            <w:pPr>
              <w:pStyle w:val="TableParagraph"/>
              <w:spacing w:line="244" w:lineRule="exact" w:before="97"/>
              <w:ind w:left="1422" w:right="1409"/>
              <w:jc w:val="center"/>
              <w:rPr>
                <w:b/>
                <w:i/>
                <w:sz w:val="20"/>
              </w:rPr>
            </w:pPr>
            <w:r>
              <w:rPr>
                <w:b/>
                <w:i/>
                <w:color w:val="FFFFFF"/>
                <w:sz w:val="20"/>
              </w:rPr>
              <w:t>DNA Standard Operating Procedure (DSOP)</w:t>
            </w:r>
          </w:p>
          <w:p>
            <w:pPr>
              <w:pStyle w:val="TableParagraph"/>
              <w:spacing w:line="195" w:lineRule="exact"/>
              <w:ind w:left="1422" w:right="1406"/>
              <w:jc w:val="center"/>
              <w:rPr>
                <w:b/>
                <w:sz w:val="16"/>
              </w:rPr>
            </w:pPr>
            <w:r>
              <w:rPr>
                <w:b/>
                <w:color w:val="FFFFFF"/>
                <w:sz w:val="16"/>
              </w:rPr>
              <w:t>Mock Regional Crime Laboratory</w:t>
            </w:r>
          </w:p>
        </w:tc>
        <w:tc>
          <w:tcPr>
            <w:tcW w:w="2069" w:type="dxa"/>
            <w:tcBorders>
              <w:left w:val="single" w:sz="6" w:space="0" w:color="000000"/>
              <w:bottom w:val="single" w:sz="6" w:space="0" w:color="000000"/>
              <w:right w:val="single" w:sz="6" w:space="0" w:color="000000"/>
            </w:tcBorders>
          </w:tcPr>
          <w:p>
            <w:pPr>
              <w:pStyle w:val="TableParagraph"/>
              <w:spacing w:before="120"/>
              <w:ind w:left="112"/>
              <w:rPr>
                <w:b/>
                <w:sz w:val="14"/>
              </w:rPr>
            </w:pPr>
            <w:r>
              <w:rPr>
                <w:b/>
                <w:sz w:val="14"/>
              </w:rPr>
              <w:t>Issue Date:</w:t>
            </w:r>
          </w:p>
          <w:p>
            <w:pPr>
              <w:pStyle w:val="TableParagraph"/>
              <w:ind w:left="556"/>
              <w:rPr>
                <w:sz w:val="20"/>
              </w:rPr>
            </w:pPr>
            <w:r>
              <w:rPr>
                <w:sz w:val="20"/>
              </w:rPr>
              <w:t>12/16/2014</w:t>
            </w:r>
          </w:p>
        </w:tc>
        <w:tc>
          <w:tcPr>
            <w:tcW w:w="1260" w:type="dxa"/>
            <w:tcBorders>
              <w:left w:val="single" w:sz="6" w:space="0" w:color="000000"/>
              <w:bottom w:val="single" w:sz="6" w:space="0" w:color="000000"/>
            </w:tcBorders>
          </w:tcPr>
          <w:p>
            <w:pPr>
              <w:pStyle w:val="TableParagraph"/>
              <w:spacing w:before="120"/>
              <w:ind w:left="115"/>
              <w:rPr>
                <w:b/>
                <w:sz w:val="14"/>
              </w:rPr>
            </w:pPr>
            <w:r>
              <w:rPr>
                <w:b/>
                <w:sz w:val="14"/>
              </w:rPr>
              <w:t>Rev.:</w:t>
            </w:r>
          </w:p>
          <w:p>
            <w:pPr>
              <w:pStyle w:val="TableParagraph"/>
              <w:ind w:left="35"/>
              <w:jc w:val="center"/>
              <w:rPr>
                <w:b/>
                <w:sz w:val="20"/>
              </w:rPr>
            </w:pPr>
            <w:r>
              <w:rPr>
                <w:b/>
                <w:w w:val="99"/>
                <w:sz w:val="20"/>
              </w:rPr>
              <w:t>4</w:t>
            </w:r>
          </w:p>
        </w:tc>
      </w:tr>
      <w:tr>
        <w:trPr>
          <w:trHeight w:val="474" w:hRule="atLeast"/>
        </w:trPr>
        <w:tc>
          <w:tcPr>
            <w:tcW w:w="6483" w:type="dxa"/>
            <w:tcBorders>
              <w:top w:val="single" w:sz="6" w:space="0" w:color="000000"/>
              <w:right w:val="single" w:sz="6" w:space="0" w:color="000000"/>
            </w:tcBorders>
          </w:tcPr>
          <w:p>
            <w:pPr>
              <w:pStyle w:val="TableParagraph"/>
              <w:spacing w:before="90"/>
              <w:rPr>
                <w:b/>
                <w:sz w:val="24"/>
              </w:rPr>
            </w:pPr>
            <w:r>
              <w:rPr>
                <w:b/>
                <w:sz w:val="24"/>
              </w:rPr>
              <w:t>11. Results Interpretation Guidelines</w:t>
            </w:r>
          </w:p>
        </w:tc>
        <w:tc>
          <w:tcPr>
            <w:tcW w:w="2069" w:type="dxa"/>
            <w:tcBorders>
              <w:top w:val="single" w:sz="6" w:space="0" w:color="000000"/>
              <w:left w:val="single" w:sz="6" w:space="0" w:color="000000"/>
              <w:right w:val="single" w:sz="6" w:space="0" w:color="000000"/>
            </w:tcBorders>
          </w:tcPr>
          <w:p>
            <w:pPr>
              <w:pStyle w:val="TableParagraph"/>
              <w:spacing w:before="60"/>
              <w:ind w:left="115"/>
              <w:rPr>
                <w:b/>
                <w:sz w:val="14"/>
              </w:rPr>
            </w:pPr>
            <w:r>
              <w:rPr>
                <w:b/>
                <w:sz w:val="14"/>
              </w:rPr>
              <w:t>Approved By:</w:t>
            </w:r>
          </w:p>
          <w:p>
            <w:pPr>
              <w:pStyle w:val="TableParagraph"/>
              <w:spacing w:line="223" w:lineRule="exact" w:before="1"/>
              <w:ind w:left="710"/>
              <w:rPr>
                <w:sz w:val="20"/>
              </w:rPr>
            </w:pPr>
            <w:r>
              <w:rPr>
                <w:sz w:val="20"/>
              </w:rPr>
              <w:t>Li. Reviewer</w:t>
            </w:r>
          </w:p>
        </w:tc>
        <w:tc>
          <w:tcPr>
            <w:tcW w:w="1260" w:type="dxa"/>
            <w:tcBorders>
              <w:top w:val="single" w:sz="6" w:space="0" w:color="000000"/>
              <w:left w:val="single" w:sz="6" w:space="0" w:color="000000"/>
            </w:tcBorders>
          </w:tcPr>
          <w:p>
            <w:pPr>
              <w:pStyle w:val="TableParagraph"/>
              <w:spacing w:before="48"/>
              <w:ind w:left="115"/>
              <w:rPr>
                <w:sz w:val="14"/>
              </w:rPr>
            </w:pPr>
            <w:r>
              <w:rPr>
                <w:sz w:val="14"/>
              </w:rPr>
              <w:t>Page #:</w:t>
            </w:r>
          </w:p>
          <w:p>
            <w:pPr>
              <w:pStyle w:val="TableParagraph"/>
              <w:spacing w:line="235" w:lineRule="exact" w:before="1"/>
              <w:ind w:left="353"/>
              <w:rPr>
                <w:b/>
                <w:sz w:val="20"/>
              </w:rPr>
            </w:pPr>
            <w:r>
              <w:rPr>
                <w:b/>
                <w:sz w:val="20"/>
              </w:rPr>
              <w:t>1 of 11</w:t>
            </w:r>
          </w:p>
        </w:tc>
      </w:tr>
    </w:tbl>
    <w:p>
      <w:pPr>
        <w:pStyle w:val="BodyText"/>
        <w:spacing w:before="3"/>
        <w:ind w:left="0"/>
        <w:jc w:val="left"/>
        <w:rPr>
          <w:rFonts w:ascii="Times New Roman"/>
          <w:sz w:val="10"/>
        </w:rPr>
      </w:pPr>
    </w:p>
    <w:p>
      <w:pPr>
        <w:pStyle w:val="BodyText"/>
        <w:tabs>
          <w:tab w:pos="9961" w:val="left" w:leader="none"/>
        </w:tabs>
        <w:spacing w:line="264" w:lineRule="auto" w:before="52"/>
        <w:ind w:left="228" w:right="196" w:hanging="29"/>
      </w:pPr>
      <w:r>
        <w:rPr>
          <w:b/>
          <w:spacing w:val="-26"/>
          <w:sz w:val="24"/>
          <w:shd w:fill="CCCCCC" w:color="auto" w:val="clear"/>
        </w:rPr>
        <w:t> </w:t>
      </w:r>
      <w:r>
        <w:rPr>
          <w:b/>
          <w:sz w:val="24"/>
          <w:shd w:fill="CCCCCC" w:color="auto" w:val="clear"/>
        </w:rPr>
        <w:t>Scope</w:t>
        <w:tab/>
      </w:r>
      <w:r>
        <w:rPr>
          <w:b/>
          <w:sz w:val="24"/>
        </w:rPr>
        <w:t> </w:t>
      </w:r>
      <w:r>
        <w:rPr/>
        <w:t>This procedure outlines the guidelines used to interpret the results obtained from the GeneMapper® ID-X analysis software.</w:t>
      </w:r>
    </w:p>
    <w:p>
      <w:pPr>
        <w:pStyle w:val="BodyText"/>
        <w:spacing w:before="10"/>
        <w:ind w:left="0"/>
        <w:jc w:val="left"/>
        <w:rPr>
          <w:sz w:val="19"/>
        </w:rPr>
      </w:pPr>
    </w:p>
    <w:p>
      <w:pPr>
        <w:pStyle w:val="Heading1"/>
        <w:tabs>
          <w:tab w:pos="9961" w:val="left" w:leader="none"/>
        </w:tabs>
        <w:spacing w:before="52"/>
      </w:pPr>
      <w:r>
        <w:rPr>
          <w:spacing w:val="-26"/>
          <w:shd w:fill="CCCCCC" w:color="auto" w:val="clear"/>
        </w:rPr>
        <w:t> </w:t>
      </w:r>
      <w:r>
        <w:rPr>
          <w:shd w:fill="CCCCCC" w:color="auto" w:val="clear"/>
        </w:rPr>
        <w:t>Background</w:t>
        <w:tab/>
      </w:r>
    </w:p>
    <w:p>
      <w:pPr>
        <w:pStyle w:val="BodyText"/>
        <w:spacing w:before="117"/>
        <w:ind w:left="228" w:right="219"/>
      </w:pPr>
      <w:r>
        <w:rPr/>
        <w:t>The interpretation of results in casework is a matter of professional judgment and expertise. Not every situation can, or should be, covered by a pre-set rule; nor is it expected that competent analysts will always be in full agreement in a particular case. However, it is important that the Laboratory develop and adhere  to basic criteria for the interpretation of analytical results. The principles will be based on validation studies, literature references, and casework experience and will be developed with maximum input from  analysts. As the collective experience of the Laboratory with various analytical procedures grows, it is to be expected that interpretation guidelines will also continue to</w:t>
      </w:r>
      <w:r>
        <w:rPr>
          <w:spacing w:val="-4"/>
        </w:rPr>
        <w:t> </w:t>
      </w:r>
      <w:r>
        <w:rPr/>
        <w:t>evolve.</w:t>
      </w:r>
    </w:p>
    <w:p>
      <w:pPr>
        <w:pStyle w:val="BodyText"/>
        <w:spacing w:before="120"/>
        <w:ind w:left="228" w:right="222"/>
      </w:pPr>
      <w:r>
        <w:rPr/>
        <w:t>Once the testing controls have been evaluated and confirmed, the results of the individual samples can be interpreted and compared using the established guidelines. Utilizing the data obtained from the GeneMapper® ID-X analysis, the sample’s results are interpreted through a three-step process that determines the outcome of a profile. First, the overall profile is evaluated to resolve the quality and number of contributors associated with the sample. Due to their reciprocal nature, this process must occur in conjunction with the peak evaluation. Secondly, artifacts both inherent to the PCR process as well as those generated by the detection instrumentation can be isolated and eliminated during the analysis and interpretation of individual peaks, validating the authenticity of a genuine allele. And finally, the interpreted profile is compared to the known profiles jointly submitted in the case to make a forensic conclusion regarding the contributor(s) of each sample. In the case of multiple contributors, deducing guidelines may also be applied to assist in distinguishing between the individuals associated with the profile.</w:t>
      </w:r>
    </w:p>
    <w:p>
      <w:pPr>
        <w:pStyle w:val="BodyText"/>
        <w:ind w:left="228" w:right="226"/>
      </w:pPr>
      <w:r>
        <w:rPr/>
        <w:t>The purpose of these guidelines is to establish a general framework outlining minimum standards to ensure that:</w:t>
      </w:r>
    </w:p>
    <w:p>
      <w:pPr>
        <w:pStyle w:val="ListParagraph"/>
        <w:numPr>
          <w:ilvl w:val="0"/>
          <w:numId w:val="1"/>
        </w:numPr>
        <w:tabs>
          <w:tab w:pos="948" w:val="left" w:leader="none"/>
          <w:tab w:pos="949" w:val="left" w:leader="none"/>
        </w:tabs>
        <w:spacing w:line="237" w:lineRule="auto" w:before="123" w:after="0"/>
        <w:ind w:left="948" w:right="228" w:hanging="360"/>
        <w:jc w:val="left"/>
        <w:rPr>
          <w:sz w:val="22"/>
        </w:rPr>
      </w:pPr>
      <w:r>
        <w:rPr>
          <w:sz w:val="22"/>
        </w:rPr>
        <w:t>Conclusions in casework reports are scientifically supported by the analytical data, including data from appropriate standards and</w:t>
      </w:r>
      <w:r>
        <w:rPr>
          <w:spacing w:val="-3"/>
          <w:sz w:val="22"/>
        </w:rPr>
        <w:t> </w:t>
      </w:r>
      <w:r>
        <w:rPr>
          <w:sz w:val="22"/>
        </w:rPr>
        <w:t>controls.</w:t>
      </w:r>
    </w:p>
    <w:p>
      <w:pPr>
        <w:pStyle w:val="ListParagraph"/>
        <w:numPr>
          <w:ilvl w:val="0"/>
          <w:numId w:val="1"/>
        </w:numPr>
        <w:tabs>
          <w:tab w:pos="948" w:val="left" w:leader="none"/>
          <w:tab w:pos="949" w:val="left" w:leader="none"/>
        </w:tabs>
        <w:spacing w:line="240" w:lineRule="auto" w:before="121" w:after="0"/>
        <w:ind w:left="948" w:right="223" w:hanging="360"/>
        <w:jc w:val="left"/>
        <w:rPr>
          <w:sz w:val="22"/>
        </w:rPr>
      </w:pPr>
      <w:r>
        <w:rPr>
          <w:sz w:val="22"/>
        </w:rPr>
        <w:t>Interpretations are made as objectively as possible, consistently from analyst to analyst, and within previously agreed</w:t>
      </w:r>
      <w:r>
        <w:rPr>
          <w:spacing w:val="-2"/>
          <w:sz w:val="22"/>
        </w:rPr>
        <w:t> </w:t>
      </w:r>
      <w:r>
        <w:rPr>
          <w:sz w:val="22"/>
        </w:rPr>
        <w:t>limits.</w:t>
      </w:r>
    </w:p>
    <w:p>
      <w:pPr>
        <w:pStyle w:val="BodyText"/>
        <w:ind w:left="228" w:right="226"/>
      </w:pPr>
      <w:r>
        <w:rPr/>
        <w:t>Note: The AmpFlSTR® Identifiler® Plus and Identifiler® Direct User’s Manuals provide further details on the interpretation process.</w:t>
      </w:r>
    </w:p>
    <w:p>
      <w:pPr>
        <w:pStyle w:val="BodyText"/>
        <w:spacing w:before="0"/>
        <w:ind w:left="0"/>
        <w:jc w:val="left"/>
        <w:rPr>
          <w:sz w:val="20"/>
        </w:rPr>
      </w:pPr>
    </w:p>
    <w:p>
      <w:pPr>
        <w:pStyle w:val="Heading1"/>
        <w:tabs>
          <w:tab w:pos="9961" w:val="left" w:leader="none"/>
        </w:tabs>
        <w:spacing w:before="194"/>
      </w:pPr>
      <w:r>
        <w:rPr>
          <w:spacing w:val="-26"/>
          <w:shd w:fill="CCCCCC" w:color="auto" w:val="clear"/>
        </w:rPr>
        <w:t> </w:t>
      </w:r>
      <w:r>
        <w:rPr>
          <w:shd w:fill="CCCCCC" w:color="auto" w:val="clear"/>
        </w:rPr>
        <w:t>Guidelines</w:t>
        <w:tab/>
      </w:r>
    </w:p>
    <w:p>
      <w:pPr>
        <w:pStyle w:val="BodyText"/>
        <w:spacing w:before="5"/>
        <w:ind w:left="0"/>
        <w:jc w:val="left"/>
        <w:rPr>
          <w:b/>
          <w:sz w:val="19"/>
        </w:rPr>
      </w:pPr>
    </w:p>
    <w:p>
      <w:pPr>
        <w:pStyle w:val="Heading2"/>
        <w:numPr>
          <w:ilvl w:val="0"/>
          <w:numId w:val="2"/>
        </w:numPr>
        <w:tabs>
          <w:tab w:pos="546" w:val="left" w:leader="none"/>
        </w:tabs>
        <w:spacing w:line="240" w:lineRule="auto" w:before="0" w:after="0"/>
        <w:ind w:left="545" w:right="0" w:hanging="317"/>
        <w:jc w:val="left"/>
      </w:pPr>
      <w:r>
        <w:rPr>
          <w:u w:val="single"/>
        </w:rPr>
        <w:t>ANALYTICAL</w:t>
      </w:r>
      <w:r>
        <w:rPr>
          <w:spacing w:val="-1"/>
          <w:u w:val="single"/>
        </w:rPr>
        <w:t> </w:t>
      </w:r>
      <w:r>
        <w:rPr>
          <w:u w:val="single"/>
        </w:rPr>
        <w:t>CONTROLS</w:t>
      </w:r>
    </w:p>
    <w:p>
      <w:pPr>
        <w:pStyle w:val="BodyText"/>
        <w:spacing w:before="120"/>
        <w:ind w:left="228" w:right="225"/>
      </w:pPr>
      <w:r>
        <w:rPr/>
        <w:t>A variety of controls are required to assess the quantity and quality of each sample as well as the effectiveness, accuracy and precision of the analytical procedures. Evaluation of the controls is essential to the proper interpretation of the data. The following controls should be evaluated and printed to document that proper results were obtained.</w:t>
      </w:r>
    </w:p>
    <w:p>
      <w:pPr>
        <w:spacing w:after="0"/>
        <w:sectPr>
          <w:footerReference w:type="default" r:id="rId5"/>
          <w:type w:val="continuous"/>
          <w:pgSz w:w="12240" w:h="15840"/>
          <w:pgMar w:footer="810" w:top="720" w:bottom="1000" w:left="1500" w:right="580"/>
        </w:sectPr>
      </w:pPr>
    </w:p>
    <w:p>
      <w:pPr>
        <w:pStyle w:val="Heading2"/>
        <w:spacing w:before="61"/>
        <w:jc w:val="both"/>
      </w:pPr>
      <w:r>
        <w:rPr/>
        <w:t>Negative Controls:</w:t>
      </w:r>
    </w:p>
    <w:p>
      <w:pPr>
        <w:pStyle w:val="Heading3"/>
        <w:numPr>
          <w:ilvl w:val="1"/>
          <w:numId w:val="2"/>
        </w:numPr>
        <w:tabs>
          <w:tab w:pos="948" w:val="left" w:leader="none"/>
          <w:tab w:pos="949" w:val="left" w:leader="none"/>
        </w:tabs>
        <w:spacing w:line="240" w:lineRule="auto" w:before="121" w:after="0"/>
        <w:ind w:left="948" w:right="0" w:hanging="360"/>
        <w:jc w:val="left"/>
        <w:rPr>
          <w:i/>
        </w:rPr>
      </w:pPr>
      <w:r>
        <w:rPr>
          <w:i/>
        </w:rPr>
        <w:t>Reagent Blank (extraction</w:t>
      </w:r>
      <w:r>
        <w:rPr>
          <w:i/>
          <w:spacing w:val="-9"/>
        </w:rPr>
        <w:t> </w:t>
      </w:r>
      <w:r>
        <w:rPr>
          <w:i/>
        </w:rPr>
        <w:t>control)</w:t>
      </w:r>
    </w:p>
    <w:p>
      <w:pPr>
        <w:pStyle w:val="BodyText"/>
        <w:spacing w:before="120"/>
        <w:ind w:right="227"/>
      </w:pPr>
      <w:r>
        <w:rPr/>
        <w:t>The reagent blank is a check for possible contamination of the extraction reagents by human DNA or by amplified STR product. The reagent blank is created by carrying out the DNA extraction in a tube containing no sample. This “blank” extract is then amplified and typed along with the test samples.</w:t>
      </w:r>
    </w:p>
    <w:p>
      <w:pPr>
        <w:pStyle w:val="BodyText"/>
      </w:pPr>
      <w:r>
        <w:rPr/>
        <w:t>The appearance of typeable test results in the reagent blank may indicate that:</w:t>
      </w:r>
    </w:p>
    <w:p>
      <w:pPr>
        <w:pStyle w:val="ListParagraph"/>
        <w:numPr>
          <w:ilvl w:val="2"/>
          <w:numId w:val="2"/>
        </w:numPr>
        <w:tabs>
          <w:tab w:pos="1668" w:val="left" w:leader="none"/>
          <w:tab w:pos="1669" w:val="left" w:leader="none"/>
        </w:tabs>
        <w:spacing w:line="240" w:lineRule="auto" w:before="120" w:after="0"/>
        <w:ind w:left="1668" w:right="0" w:hanging="360"/>
        <w:jc w:val="left"/>
        <w:rPr>
          <w:sz w:val="22"/>
        </w:rPr>
      </w:pPr>
      <w:r>
        <w:rPr>
          <w:sz w:val="22"/>
        </w:rPr>
        <w:t>The sample preparation reagents have been</w:t>
      </w:r>
      <w:r>
        <w:rPr>
          <w:spacing w:val="-2"/>
          <w:sz w:val="22"/>
        </w:rPr>
        <w:t> </w:t>
      </w:r>
      <w:r>
        <w:rPr>
          <w:sz w:val="22"/>
        </w:rPr>
        <w:t>contaminated.</w:t>
      </w:r>
    </w:p>
    <w:p>
      <w:pPr>
        <w:pStyle w:val="ListParagraph"/>
        <w:numPr>
          <w:ilvl w:val="2"/>
          <w:numId w:val="2"/>
        </w:numPr>
        <w:tabs>
          <w:tab w:pos="1668" w:val="left" w:leader="none"/>
          <w:tab w:pos="1669" w:val="left" w:leader="none"/>
        </w:tabs>
        <w:spacing w:line="240" w:lineRule="auto" w:before="111" w:after="0"/>
        <w:ind w:left="1668" w:right="0" w:hanging="360"/>
        <w:jc w:val="left"/>
        <w:rPr>
          <w:sz w:val="22"/>
        </w:rPr>
      </w:pPr>
      <w:r>
        <w:rPr>
          <w:sz w:val="22"/>
        </w:rPr>
        <w:t>Cross-contamination between samples occurred during</w:t>
      </w:r>
      <w:r>
        <w:rPr>
          <w:spacing w:val="-7"/>
          <w:sz w:val="22"/>
        </w:rPr>
        <w:t> </w:t>
      </w:r>
      <w:r>
        <w:rPr>
          <w:sz w:val="22"/>
        </w:rPr>
        <w:t>preparation.</w:t>
      </w:r>
    </w:p>
    <w:p>
      <w:pPr>
        <w:pStyle w:val="ListParagraph"/>
        <w:numPr>
          <w:ilvl w:val="2"/>
          <w:numId w:val="2"/>
        </w:numPr>
        <w:tabs>
          <w:tab w:pos="1668" w:val="left" w:leader="none"/>
          <w:tab w:pos="1669" w:val="left" w:leader="none"/>
        </w:tabs>
        <w:spacing w:line="240" w:lineRule="auto" w:before="113" w:after="0"/>
        <w:ind w:left="1668" w:right="0" w:hanging="360"/>
        <w:jc w:val="left"/>
        <w:rPr>
          <w:sz w:val="22"/>
        </w:rPr>
      </w:pPr>
      <w:r>
        <w:rPr>
          <w:sz w:val="22"/>
        </w:rPr>
        <w:t>Human DNA or STR product is getting into samples from some other</w:t>
      </w:r>
      <w:r>
        <w:rPr>
          <w:spacing w:val="-12"/>
          <w:sz w:val="22"/>
        </w:rPr>
        <w:t> </w:t>
      </w:r>
      <w:r>
        <w:rPr>
          <w:sz w:val="22"/>
        </w:rPr>
        <w:t>source.</w:t>
      </w:r>
    </w:p>
    <w:p>
      <w:pPr>
        <w:pStyle w:val="Heading3"/>
        <w:numPr>
          <w:ilvl w:val="1"/>
          <w:numId w:val="2"/>
        </w:numPr>
        <w:tabs>
          <w:tab w:pos="948" w:val="left" w:leader="none"/>
          <w:tab w:pos="949" w:val="left" w:leader="none"/>
        </w:tabs>
        <w:spacing w:line="240" w:lineRule="auto" w:before="114" w:after="0"/>
        <w:ind w:left="948" w:right="0" w:hanging="360"/>
        <w:jc w:val="left"/>
        <w:rPr>
          <w:i/>
        </w:rPr>
      </w:pPr>
      <w:r>
        <w:rPr>
          <w:i/>
        </w:rPr>
        <w:t>Negative Amplification</w:t>
      </w:r>
      <w:r>
        <w:rPr>
          <w:i/>
          <w:spacing w:val="-1"/>
        </w:rPr>
        <w:t> </w:t>
      </w:r>
      <w:r>
        <w:rPr>
          <w:i/>
        </w:rPr>
        <w:t>Control</w:t>
      </w:r>
    </w:p>
    <w:p>
      <w:pPr>
        <w:pStyle w:val="BodyText"/>
        <w:ind w:right="223"/>
      </w:pPr>
      <w:r>
        <w:rPr/>
        <w:t>The negative amplification control is a check for contamination during set up of the PCR amplification reaction. It essentially monitors the “environment” in that process for possible  sources of contamination. If typing results reproducibly occur in this control, then the PCR reaction set up area, equipment and amplification reagents should be considered possible sources of contamination. Testing will resume when it is concluded that the procedure is free of contamination. The test set where the contamination is noted should be evaluated closely to establish if the results are reliable. If feasible and warranted, the original results may be considered inconclusive and the analysis may need to be</w:t>
      </w:r>
      <w:r>
        <w:rPr>
          <w:spacing w:val="-3"/>
        </w:rPr>
        <w:t> </w:t>
      </w:r>
      <w:r>
        <w:rPr/>
        <w:t>repeated.</w:t>
      </w:r>
    </w:p>
    <w:p>
      <w:pPr>
        <w:pStyle w:val="BodyText"/>
        <w:spacing w:before="119"/>
        <w:ind w:left="228" w:right="224"/>
      </w:pPr>
      <w:r>
        <w:rPr/>
        <w:t>Typeable signals (reproducible signals above the analytical threshold) occurring in a negative control indicate that the contamination problem is critical and corrective action(s) must be taken. When possible, steps must be taken to determine the source of contamination before further testing can be conducted. Examples of various corrective actions can include the testing of all reagents (e.g., extraction, amplification, typing), a thorough cleaning of all work surfaces and equipment, and the evaluation of procedures to rule out other possible avenues of contamination (e.g., sample-to-sample mixing, switched samples, etc.). Testing will resume when it is concluded that the entire procedure is free of contamination. The test set where the contamination is noted should be evaluated closely to establish if the results are</w:t>
      </w:r>
      <w:r>
        <w:rPr>
          <w:spacing w:val="-15"/>
        </w:rPr>
        <w:t> </w:t>
      </w:r>
      <w:r>
        <w:rPr/>
        <w:t>reliable.</w:t>
      </w:r>
    </w:p>
    <w:p>
      <w:pPr>
        <w:pStyle w:val="BodyText"/>
        <w:spacing w:before="120"/>
        <w:ind w:left="228" w:right="227"/>
      </w:pPr>
      <w:r>
        <w:rPr/>
        <w:t>The appearance of signals in the negative controls does not necessarily mean that the types obtained from the test samples are incorrect. The contamination might be due to a single event limited to the control. Alternatively, even if a reagent used to prepare all the samples was contaminated, the level of contamination might be inconsequential compared to the amount of DNA being amplified and typed in the test samples. However, further testing may be necessary to support these hypotheses.</w:t>
      </w:r>
    </w:p>
    <w:p>
      <w:pPr>
        <w:pStyle w:val="BodyText"/>
        <w:spacing w:before="122"/>
        <w:ind w:left="228" w:right="222"/>
      </w:pPr>
      <w:r>
        <w:rPr/>
        <w:t>When the signals in a negative control are not typeable (below analytical threshold) and the test signals are clearly typeable, the contamination may not be considerable but should be noted. Furthermore, the appearance of signals in a negative control does not automatically mean that the types obtained from the samples are incorrect. In certain situations the sample types may be reported. Depending on the nature of the contaminant and sample, the original results may be considered inconclusive and the analysis may need to be repeated.</w:t>
      </w:r>
    </w:p>
    <w:p>
      <w:pPr>
        <w:pStyle w:val="BodyText"/>
        <w:spacing w:before="119"/>
        <w:ind w:left="228" w:right="227"/>
      </w:pPr>
      <w:r>
        <w:rPr/>
        <w:t>If a negative control shows no signs of typeable signals, the raw data must be examined for the presence of primer peaks to ensure that these samples have been properly amplified. The results of this examination shall be recorded on the appropriate Reader Worksheet.</w:t>
      </w:r>
    </w:p>
    <w:p>
      <w:pPr>
        <w:spacing w:after="0"/>
        <w:sectPr>
          <w:headerReference w:type="default" r:id="rId6"/>
          <w:pgSz w:w="12240" w:h="15840"/>
          <w:pgMar w:header="734" w:footer="810" w:top="1840" w:bottom="1000" w:left="1500" w:right="580"/>
          <w:pgNumType w:start="2"/>
        </w:sectPr>
      </w:pPr>
    </w:p>
    <w:p>
      <w:pPr>
        <w:pStyle w:val="Heading2"/>
        <w:spacing w:before="61"/>
      </w:pPr>
      <w:r>
        <w:rPr/>
        <w:t>Positive Controls:</w:t>
      </w:r>
    </w:p>
    <w:p>
      <w:pPr>
        <w:pStyle w:val="Heading3"/>
        <w:numPr>
          <w:ilvl w:val="1"/>
          <w:numId w:val="2"/>
        </w:numPr>
        <w:tabs>
          <w:tab w:pos="948" w:val="left" w:leader="none"/>
          <w:tab w:pos="949" w:val="left" w:leader="none"/>
        </w:tabs>
        <w:spacing w:line="240" w:lineRule="auto" w:before="121" w:after="0"/>
        <w:ind w:left="948" w:right="0" w:hanging="360"/>
        <w:jc w:val="left"/>
        <w:rPr>
          <w:i/>
        </w:rPr>
      </w:pPr>
      <w:r>
        <w:rPr>
          <w:i/>
        </w:rPr>
        <w:t>Positive Amplification Control (AmpFlSTR® Control DNA</w:t>
      </w:r>
      <w:r>
        <w:rPr>
          <w:i/>
          <w:spacing w:val="-8"/>
        </w:rPr>
        <w:t> </w:t>
      </w:r>
      <w:r>
        <w:rPr>
          <w:i/>
        </w:rPr>
        <w:t>9947A)</w:t>
      </w:r>
    </w:p>
    <w:p>
      <w:pPr>
        <w:pStyle w:val="BodyText"/>
        <w:spacing w:before="120"/>
        <w:ind w:right="225"/>
      </w:pPr>
      <w:r>
        <w:rPr/>
        <w:t>This is a human female DNA sample with predetermined autosomal STR genotypes and is included in the AmpFlSTR® amplification/typing kits. The positive amplification control ensures that the amplification and typing processes are working properly. If the positive amplification control fails to give the correct results, then the analysis must be repeated. For re-injections, a positive amplification control should be included to ensure that the typing procedure is working properly. For analysis, if the positive control fails for a specific set, only that set needs to be reanalyzed. Results of this evaluation shall be recorded on the appropriate Reader</w:t>
      </w:r>
      <w:r>
        <w:rPr>
          <w:spacing w:val="-14"/>
        </w:rPr>
        <w:t> </w:t>
      </w:r>
      <w:r>
        <w:rPr/>
        <w:t>Worksheet.</w:t>
      </w:r>
    </w:p>
    <w:p>
      <w:pPr>
        <w:pStyle w:val="BodyText"/>
        <w:spacing w:before="8"/>
        <w:ind w:left="0"/>
        <w:jc w:val="left"/>
        <w:rPr>
          <w:sz w:val="19"/>
        </w:rPr>
      </w:pPr>
    </w:p>
    <w:p>
      <w:pPr>
        <w:pStyle w:val="Heading2"/>
      </w:pPr>
      <w:r>
        <w:rPr/>
        <w:t>Other Controls:</w:t>
      </w:r>
    </w:p>
    <w:p>
      <w:pPr>
        <w:pStyle w:val="Heading3"/>
        <w:numPr>
          <w:ilvl w:val="1"/>
          <w:numId w:val="2"/>
        </w:numPr>
        <w:tabs>
          <w:tab w:pos="948" w:val="left" w:leader="none"/>
          <w:tab w:pos="949" w:val="left" w:leader="none"/>
        </w:tabs>
        <w:spacing w:line="240" w:lineRule="auto" w:before="121" w:after="0"/>
        <w:ind w:left="948" w:right="0" w:hanging="360"/>
        <w:jc w:val="left"/>
        <w:rPr>
          <w:i/>
        </w:rPr>
      </w:pPr>
      <w:r>
        <w:rPr>
          <w:i/>
        </w:rPr>
        <w:t>Internal Lane Size</w:t>
      </w:r>
      <w:r>
        <w:rPr>
          <w:i/>
          <w:spacing w:val="-4"/>
        </w:rPr>
        <w:t> </w:t>
      </w:r>
      <w:r>
        <w:rPr>
          <w:i/>
        </w:rPr>
        <w:t>Standard</w:t>
      </w:r>
    </w:p>
    <w:p>
      <w:pPr>
        <w:pStyle w:val="BodyText"/>
        <w:spacing w:before="120"/>
        <w:ind w:right="221"/>
      </w:pPr>
      <w:r>
        <w:rPr/>
        <w:t>This standard contains DNA fragments (LIZ) of known sizes (bp) that are used in-lane to estimate sizes (bp) of STR products. Each sample tested must have the correct peak sizes assigned for the in- lane size standard. Results of this evaluation shall be recorded on the appropriate Reader Worksheet. Please refer to DSOP 10 Data Analysis Using GeneMapper® ID-X for more details on evaluating the size standard.</w:t>
      </w:r>
    </w:p>
    <w:p>
      <w:pPr>
        <w:pStyle w:val="Heading3"/>
        <w:numPr>
          <w:ilvl w:val="1"/>
          <w:numId w:val="2"/>
        </w:numPr>
        <w:tabs>
          <w:tab w:pos="948" w:val="left" w:leader="none"/>
          <w:tab w:pos="949" w:val="left" w:leader="none"/>
        </w:tabs>
        <w:spacing w:line="240" w:lineRule="auto" w:before="119" w:after="0"/>
        <w:ind w:left="948" w:right="0" w:hanging="360"/>
        <w:jc w:val="left"/>
        <w:rPr>
          <w:i/>
        </w:rPr>
      </w:pPr>
      <w:r>
        <w:rPr>
          <w:i/>
        </w:rPr>
        <w:t>Allelic</w:t>
      </w:r>
      <w:r>
        <w:rPr>
          <w:i/>
          <w:spacing w:val="-1"/>
        </w:rPr>
        <w:t> </w:t>
      </w:r>
      <w:r>
        <w:rPr>
          <w:i/>
        </w:rPr>
        <w:t>Ladders</w:t>
      </w:r>
    </w:p>
    <w:p>
      <w:pPr>
        <w:pStyle w:val="BodyText"/>
        <w:spacing w:before="120"/>
        <w:ind w:right="221"/>
      </w:pPr>
      <w:r>
        <w:rPr/>
        <w:t>The allelic ladders provided in the kits are used to ascertain the genotypes of the samples. While  the ladders consist of the common alleles in the population, additional atypical alleles may also be identified for many loci. See Appendix I for allelic ladder characterization. Results of the allelic ladder evaluation shall be recorded on the appropriate Reader</w:t>
      </w:r>
      <w:r>
        <w:rPr>
          <w:spacing w:val="-7"/>
        </w:rPr>
        <w:t> </w:t>
      </w:r>
      <w:r>
        <w:rPr/>
        <w:t>Worksheet.</w:t>
      </w:r>
    </w:p>
    <w:p>
      <w:pPr>
        <w:pStyle w:val="BodyText"/>
        <w:spacing w:before="10"/>
        <w:ind w:left="0"/>
        <w:jc w:val="left"/>
        <w:rPr>
          <w:sz w:val="19"/>
        </w:rPr>
      </w:pPr>
    </w:p>
    <w:p>
      <w:pPr>
        <w:pStyle w:val="Heading2"/>
        <w:numPr>
          <w:ilvl w:val="0"/>
          <w:numId w:val="2"/>
        </w:numPr>
        <w:tabs>
          <w:tab w:pos="605" w:val="left" w:leader="none"/>
          <w:tab w:pos="606" w:val="left" w:leader="none"/>
        </w:tabs>
        <w:spacing w:line="240" w:lineRule="auto" w:before="0" w:after="0"/>
        <w:ind w:left="605" w:right="0" w:hanging="377"/>
        <w:jc w:val="left"/>
      </w:pPr>
      <w:r>
        <w:rPr>
          <w:u w:val="single"/>
        </w:rPr>
        <w:t>OVERALL PROFILE</w:t>
      </w:r>
      <w:r>
        <w:rPr>
          <w:spacing w:val="-5"/>
          <w:u w:val="single"/>
        </w:rPr>
        <w:t> </w:t>
      </w:r>
      <w:r>
        <w:rPr>
          <w:u w:val="single"/>
        </w:rPr>
        <w:t>EVALUATION</w:t>
      </w:r>
    </w:p>
    <w:p>
      <w:pPr>
        <w:pStyle w:val="Heading3"/>
        <w:numPr>
          <w:ilvl w:val="1"/>
          <w:numId w:val="2"/>
        </w:numPr>
        <w:tabs>
          <w:tab w:pos="948" w:val="left" w:leader="none"/>
          <w:tab w:pos="949" w:val="left" w:leader="none"/>
        </w:tabs>
        <w:spacing w:line="240" w:lineRule="auto" w:before="120" w:after="0"/>
        <w:ind w:left="948" w:right="0" w:hanging="360"/>
        <w:jc w:val="left"/>
        <w:rPr>
          <w:i/>
        </w:rPr>
      </w:pPr>
      <w:r>
        <w:rPr>
          <w:i/>
        </w:rPr>
        <w:t>Condition of the</w:t>
      </w:r>
      <w:r>
        <w:rPr>
          <w:i/>
          <w:spacing w:val="-6"/>
        </w:rPr>
        <w:t> </w:t>
      </w:r>
      <w:r>
        <w:rPr>
          <w:i/>
        </w:rPr>
        <w:t>profile</w:t>
      </w:r>
    </w:p>
    <w:p>
      <w:pPr>
        <w:pStyle w:val="BodyText"/>
        <w:spacing w:before="118"/>
        <w:ind w:right="222"/>
      </w:pPr>
      <w:r>
        <w:rPr/>
        <w:t>The overall condition and number of possible contributors to a profile should be considered prior to making determinations about the data observed. A profile which appears degraded or inhibited can influence the assessments made at each locus and a mixed profile will be interpreted differently than a sample which appears to be from a single source. Once this evaluation is complete, each allele can be individually</w:t>
      </w:r>
      <w:r>
        <w:rPr>
          <w:spacing w:val="-2"/>
        </w:rPr>
        <w:t> </w:t>
      </w:r>
      <w:r>
        <w:rPr/>
        <w:t>examined.</w:t>
      </w:r>
    </w:p>
    <w:p>
      <w:pPr>
        <w:pStyle w:val="Heading3"/>
        <w:numPr>
          <w:ilvl w:val="1"/>
          <w:numId w:val="2"/>
        </w:numPr>
        <w:tabs>
          <w:tab w:pos="948" w:val="left" w:leader="none"/>
          <w:tab w:pos="949" w:val="left" w:leader="none"/>
        </w:tabs>
        <w:spacing w:line="240" w:lineRule="auto" w:before="122" w:after="0"/>
        <w:ind w:left="948" w:right="0" w:hanging="360"/>
        <w:jc w:val="left"/>
        <w:rPr>
          <w:i/>
        </w:rPr>
      </w:pPr>
      <w:r>
        <w:rPr>
          <w:i/>
        </w:rPr>
        <w:t>Degradation</w:t>
      </w:r>
    </w:p>
    <w:p>
      <w:pPr>
        <w:pStyle w:val="BodyText"/>
        <w:spacing w:before="120"/>
        <w:ind w:right="220"/>
      </w:pPr>
      <w:r>
        <w:rPr/>
        <w:t>DNA degradation is a process which randomly breaks down DNA molecules into smaller pieces. This becomes problematic for forensic DNA typing when it occurs within the target DNA sequences of PCR. If the DNA has been degraded or damaged at these locations, an inconclusive or no result may be obtained at a locus. Typically, samples which are degraded will display a downward sloping or “ski-slope” pattern from left to right for each dye. This pattern is due to the larger/longer loci being more likely to contain a break due to degradation than the smaller loci. Degradation may result in peak imbalance at these large loci to the extent of loss of an allele.</w:t>
      </w:r>
    </w:p>
    <w:p>
      <w:pPr>
        <w:pStyle w:val="Heading3"/>
        <w:numPr>
          <w:ilvl w:val="1"/>
          <w:numId w:val="2"/>
        </w:numPr>
        <w:tabs>
          <w:tab w:pos="948" w:val="left" w:leader="none"/>
          <w:tab w:pos="949" w:val="left" w:leader="none"/>
        </w:tabs>
        <w:spacing w:line="240" w:lineRule="auto" w:before="120" w:after="0"/>
        <w:ind w:left="948" w:right="0" w:hanging="360"/>
        <w:jc w:val="left"/>
        <w:rPr>
          <w:i/>
        </w:rPr>
      </w:pPr>
      <w:r>
        <w:rPr>
          <w:i/>
        </w:rPr>
        <w:t>Inhibition</w:t>
      </w:r>
    </w:p>
    <w:p>
      <w:pPr>
        <w:pStyle w:val="BodyText"/>
        <w:spacing w:before="120"/>
        <w:ind w:right="222"/>
      </w:pPr>
      <w:r>
        <w:rPr/>
        <w:t>DNA samples of various origins may contain organic and inorganic compounds that prevent the amplification of nucleic acids by PCR. Inhibitors can interfere with the cell lysis necessary for DNA extraction, cause nucleic acid degradation, and/or inhibit polymerase activity thus preventing</w:t>
      </w:r>
    </w:p>
    <w:p>
      <w:pPr>
        <w:spacing w:after="0"/>
        <w:sectPr>
          <w:pgSz w:w="12240" w:h="15840"/>
          <w:pgMar w:header="734" w:footer="810" w:top="1840" w:bottom="1000" w:left="1500" w:right="580"/>
        </w:sectPr>
      </w:pPr>
    </w:p>
    <w:p>
      <w:pPr>
        <w:pStyle w:val="BodyText"/>
        <w:spacing w:before="61"/>
        <w:ind w:right="225"/>
      </w:pPr>
      <w:r>
        <w:rPr/>
        <w:t>amplification. Some known DNA inhibitors often encountered in forensic casework include  hematin, indigo dyes, melanin, iron, tannins, urea, bile salts, and humic</w:t>
      </w:r>
      <w:r>
        <w:rPr>
          <w:spacing w:val="-7"/>
        </w:rPr>
        <w:t> </w:t>
      </w:r>
      <w:r>
        <w:rPr/>
        <w:t>acid.</w:t>
      </w:r>
    </w:p>
    <w:p>
      <w:pPr>
        <w:pStyle w:val="BodyText"/>
        <w:ind w:right="222"/>
      </w:pPr>
      <w:r>
        <w:rPr/>
        <w:t>The presence of inhibitors can manifest itself by incomplete PCR amplification or failure of some or all loci. Samples containing PCR inhibitors often produce partial profile results in which the larger loci drop out before the smaller loci. However, some common patterns in the electropherograms of inhibited samples may also show characteristics of degradation and are therefore hard to differentiate. These samples may need to be re-amplified using both a larger quantity of DNA and a smaller quantity of DNA than originally</w:t>
      </w:r>
      <w:r>
        <w:rPr>
          <w:spacing w:val="-7"/>
        </w:rPr>
        <w:t> </w:t>
      </w:r>
      <w:r>
        <w:rPr/>
        <w:t>amplified.</w:t>
      </w:r>
    </w:p>
    <w:p>
      <w:pPr>
        <w:pStyle w:val="BodyText"/>
        <w:ind w:right="223"/>
      </w:pPr>
      <w:r>
        <w:rPr/>
        <w:t>Since real-time quantitative PCR incorporates an internal positive control (IPC) in each reaction, the possible presence of inhibitors can be determined by evaluating C</w:t>
      </w:r>
      <w:r>
        <w:rPr>
          <w:vertAlign w:val="subscript"/>
        </w:rPr>
        <w:t>T</w:t>
      </w:r>
      <w:r>
        <w:rPr>
          <w:vertAlign w:val="baseline"/>
        </w:rPr>
        <w:t> values obtained from the quantitation.</w:t>
      </w:r>
    </w:p>
    <w:p>
      <w:pPr>
        <w:pStyle w:val="BodyText"/>
        <w:spacing w:before="119"/>
        <w:ind w:right="223"/>
      </w:pPr>
      <w:r>
        <w:rPr/>
        <w:t>In some cases inhibition can be overcome by minimizing the amount of template DNA amplified (it may be necessary to prepare a dilution of DNA extract). Alternatively, the DNA extract can be subjected to additional TE buffer washes and concentration (Microcon®).</w:t>
      </w:r>
    </w:p>
    <w:p>
      <w:pPr>
        <w:pStyle w:val="Heading3"/>
        <w:numPr>
          <w:ilvl w:val="1"/>
          <w:numId w:val="2"/>
        </w:numPr>
        <w:tabs>
          <w:tab w:pos="948" w:val="left" w:leader="none"/>
          <w:tab w:pos="949" w:val="left" w:leader="none"/>
        </w:tabs>
        <w:spacing w:line="240" w:lineRule="auto" w:before="121" w:after="0"/>
        <w:ind w:left="948" w:right="0" w:hanging="360"/>
        <w:jc w:val="left"/>
        <w:rPr>
          <w:i/>
        </w:rPr>
      </w:pPr>
      <w:r>
        <w:rPr>
          <w:i/>
        </w:rPr>
        <w:t>Partial</w:t>
      </w:r>
      <w:r>
        <w:rPr>
          <w:i/>
          <w:spacing w:val="-3"/>
        </w:rPr>
        <w:t> </w:t>
      </w:r>
      <w:r>
        <w:rPr>
          <w:i/>
        </w:rPr>
        <w:t>Profiles</w:t>
      </w:r>
    </w:p>
    <w:p>
      <w:pPr>
        <w:pStyle w:val="BodyText"/>
        <w:ind w:right="219"/>
      </w:pPr>
      <w:r>
        <w:rPr/>
        <w:t>Partial profiles do not have alleles at every locus. This situation usually occurs in samples that are degraded, have low template DNA, and/or contain PCR inhibitors. Partial profiles are interpreted with care and are reported only when there is consensus between the analyst, second reader, and technical reviewer.</w:t>
      </w:r>
    </w:p>
    <w:p>
      <w:pPr>
        <w:pStyle w:val="BodyText"/>
        <w:spacing w:before="6"/>
        <w:ind w:left="0"/>
        <w:jc w:val="left"/>
        <w:rPr>
          <w:sz w:val="19"/>
        </w:rPr>
      </w:pPr>
    </w:p>
    <w:p>
      <w:pPr>
        <w:pStyle w:val="Heading2"/>
      </w:pPr>
      <w:r>
        <w:rPr/>
        <w:t>Apparent Single Source Profiles:</w:t>
      </w:r>
    </w:p>
    <w:p>
      <w:pPr>
        <w:pStyle w:val="Heading3"/>
        <w:numPr>
          <w:ilvl w:val="1"/>
          <w:numId w:val="2"/>
        </w:numPr>
        <w:tabs>
          <w:tab w:pos="948" w:val="left" w:leader="none"/>
          <w:tab w:pos="949" w:val="left" w:leader="none"/>
        </w:tabs>
        <w:spacing w:line="240" w:lineRule="auto" w:before="121" w:after="0"/>
        <w:ind w:left="948" w:right="0" w:hanging="360"/>
        <w:jc w:val="left"/>
        <w:rPr>
          <w:i/>
        </w:rPr>
      </w:pPr>
      <w:r>
        <w:rPr>
          <w:i/>
        </w:rPr>
        <w:t>Autosomal STR</w:t>
      </w:r>
      <w:r>
        <w:rPr>
          <w:i/>
          <w:spacing w:val="-3"/>
        </w:rPr>
        <w:t> </w:t>
      </w:r>
      <w:r>
        <w:rPr>
          <w:i/>
        </w:rPr>
        <w:t>Loci</w:t>
      </w:r>
    </w:p>
    <w:p>
      <w:pPr>
        <w:pStyle w:val="BodyText"/>
        <w:spacing w:before="120"/>
        <w:ind w:right="219"/>
      </w:pPr>
      <w:r>
        <w:rPr/>
        <w:t>An apparent single source profile consists of no more than two relatively balanced alleles at each locus. (Single source samples with three allele peaks at a single locus have been reported, however they are rare.)</w:t>
      </w:r>
    </w:p>
    <w:p>
      <w:pPr>
        <w:pStyle w:val="BodyText"/>
        <w:spacing w:before="9"/>
        <w:ind w:left="0"/>
        <w:jc w:val="left"/>
        <w:rPr>
          <w:sz w:val="19"/>
        </w:rPr>
      </w:pPr>
    </w:p>
    <w:p>
      <w:pPr>
        <w:pStyle w:val="Heading2"/>
      </w:pPr>
      <w:r>
        <w:rPr/>
        <w:t>Mixture Profiles:</w:t>
      </w:r>
    </w:p>
    <w:p>
      <w:pPr>
        <w:pStyle w:val="BodyText"/>
        <w:spacing w:line="237" w:lineRule="auto" w:before="123"/>
        <w:ind w:left="228"/>
        <w:jc w:val="left"/>
      </w:pPr>
      <w:r>
        <w:rPr/>
        <w:t>Evidence samples may contain DNA from more than one individual. The possibility of multiple contributors should be carefully considered using all the data available when interpreting the results.</w:t>
      </w:r>
    </w:p>
    <w:p>
      <w:pPr>
        <w:pStyle w:val="BodyText"/>
        <w:ind w:left="228"/>
        <w:jc w:val="left"/>
      </w:pPr>
      <w:r>
        <w:rPr/>
        <w:t>Each of the following can aid in determining whether a sample is a mixture (assuming any peak &gt;100 RFU):</w:t>
      </w:r>
    </w:p>
    <w:p>
      <w:pPr>
        <w:pStyle w:val="ListParagraph"/>
        <w:numPr>
          <w:ilvl w:val="1"/>
          <w:numId w:val="2"/>
        </w:numPr>
        <w:tabs>
          <w:tab w:pos="948" w:val="left" w:leader="none"/>
          <w:tab w:pos="949" w:val="left" w:leader="none"/>
        </w:tabs>
        <w:spacing w:line="240" w:lineRule="auto" w:before="120" w:after="0"/>
        <w:ind w:left="948" w:right="0" w:hanging="360"/>
        <w:jc w:val="left"/>
        <w:rPr>
          <w:sz w:val="22"/>
        </w:rPr>
      </w:pPr>
      <w:r>
        <w:rPr>
          <w:sz w:val="22"/>
        </w:rPr>
        <w:t>For autosomal STR analysis, more than two alleles at some or all of the</w:t>
      </w:r>
      <w:r>
        <w:rPr>
          <w:spacing w:val="-18"/>
          <w:sz w:val="22"/>
        </w:rPr>
        <w:t> </w:t>
      </w:r>
      <w:r>
        <w:rPr>
          <w:sz w:val="22"/>
        </w:rPr>
        <w:t>loci.</w:t>
      </w:r>
    </w:p>
    <w:p>
      <w:pPr>
        <w:pStyle w:val="ListParagraph"/>
        <w:numPr>
          <w:ilvl w:val="1"/>
          <w:numId w:val="2"/>
        </w:numPr>
        <w:tabs>
          <w:tab w:pos="948" w:val="left" w:leader="none"/>
          <w:tab w:pos="949" w:val="left" w:leader="none"/>
        </w:tabs>
        <w:spacing w:line="240" w:lineRule="auto" w:before="122" w:after="0"/>
        <w:ind w:left="948" w:right="221" w:hanging="360"/>
        <w:jc w:val="left"/>
        <w:rPr>
          <w:sz w:val="22"/>
        </w:rPr>
      </w:pPr>
      <w:r>
        <w:rPr>
          <w:sz w:val="22"/>
        </w:rPr>
        <w:t>The presence of a peak at a stutter position that is significantly greater in percentage than what is typically observed in a single source sample. (See discussion of</w:t>
      </w:r>
      <w:r>
        <w:rPr>
          <w:spacing w:val="-9"/>
          <w:sz w:val="22"/>
        </w:rPr>
        <w:t> </w:t>
      </w:r>
      <w:r>
        <w:rPr>
          <w:sz w:val="22"/>
        </w:rPr>
        <w:t>Stutter)</w:t>
      </w:r>
    </w:p>
    <w:p>
      <w:pPr>
        <w:pStyle w:val="ListParagraph"/>
        <w:numPr>
          <w:ilvl w:val="1"/>
          <w:numId w:val="2"/>
        </w:numPr>
        <w:tabs>
          <w:tab w:pos="948" w:val="left" w:leader="none"/>
          <w:tab w:pos="949" w:val="left" w:leader="none"/>
        </w:tabs>
        <w:spacing w:line="240" w:lineRule="auto" w:before="120" w:after="0"/>
        <w:ind w:left="948" w:right="0" w:hanging="360"/>
        <w:jc w:val="left"/>
        <w:rPr>
          <w:sz w:val="22"/>
        </w:rPr>
      </w:pPr>
      <w:r>
        <w:rPr>
          <w:sz w:val="22"/>
        </w:rPr>
        <w:t>Significantly imbalanced alleles for a heterozygous autosomal STR</w:t>
      </w:r>
      <w:r>
        <w:rPr>
          <w:spacing w:val="-8"/>
          <w:sz w:val="22"/>
        </w:rPr>
        <w:t> </w:t>
      </w:r>
      <w:r>
        <w:rPr>
          <w:sz w:val="22"/>
        </w:rPr>
        <w:t>genotype.</w:t>
      </w:r>
    </w:p>
    <w:p>
      <w:pPr>
        <w:pStyle w:val="ListParagraph"/>
        <w:numPr>
          <w:ilvl w:val="1"/>
          <w:numId w:val="2"/>
        </w:numPr>
        <w:tabs>
          <w:tab w:pos="949" w:val="left" w:leader="none"/>
        </w:tabs>
        <w:spacing w:line="240" w:lineRule="auto" w:before="119" w:after="0"/>
        <w:ind w:left="948" w:right="219" w:hanging="360"/>
        <w:jc w:val="both"/>
        <w:rPr>
          <w:sz w:val="22"/>
        </w:rPr>
      </w:pPr>
      <w:r>
        <w:rPr>
          <w:sz w:val="22"/>
        </w:rPr>
        <w:t>For autosomal STR loci, peak height ratios less than 55% are rare in normal, unmixed samples.  Other possible causes of imbalance at a locus are degraded DNA, presence of inhibitors, extremely low amounts of input DNA, extreme size difference between two alleles in a heterozygous pair, and/or the presence of an allele containing a rare sequence that does not amplify as efficiently as the other allele. Amplification and analysis of additional loci may assist in the interpretation of the sample.</w:t>
      </w:r>
    </w:p>
    <w:p>
      <w:pPr>
        <w:pStyle w:val="BodyText"/>
      </w:pPr>
      <w:r>
        <w:rPr/>
        <w:t>Note: A peak height ratio imbalance may occur at less than 350 RFU due to stochastic effects.</w:t>
      </w:r>
    </w:p>
    <w:p>
      <w:pPr>
        <w:spacing w:after="0"/>
        <w:sectPr>
          <w:pgSz w:w="12240" w:h="15840"/>
          <w:pgMar w:header="734" w:footer="810" w:top="1840" w:bottom="1000" w:left="1500" w:right="580"/>
        </w:sectPr>
      </w:pPr>
    </w:p>
    <w:p>
      <w:pPr>
        <w:pStyle w:val="BodyText"/>
        <w:spacing w:before="61"/>
        <w:jc w:val="left"/>
      </w:pPr>
      <w:r>
        <w:rPr/>
        <w:t>Therefore, a heterozygote may be miscalled as a mixture if the peak height ratio is less than 55%.</w:t>
      </w:r>
    </w:p>
    <w:p>
      <w:pPr>
        <w:pStyle w:val="BodyText"/>
        <w:spacing w:before="6"/>
        <w:ind w:left="0"/>
        <w:jc w:val="left"/>
        <w:rPr>
          <w:sz w:val="29"/>
        </w:rPr>
      </w:pPr>
    </w:p>
    <w:p>
      <w:pPr>
        <w:pStyle w:val="BodyText"/>
        <w:spacing w:before="1"/>
        <w:ind w:left="588" w:right="229"/>
      </w:pPr>
      <w:r>
        <w:rPr/>
        <w:t>For autosomal STR analysis, a sample containing DNA from two sources can be comprised (at a single locus) of any of the following seven genotype combinations (excluding amelogenin):</w:t>
      </w:r>
    </w:p>
    <w:p>
      <w:pPr>
        <w:pStyle w:val="BodyText"/>
        <w:spacing w:before="5"/>
        <w:ind w:left="0"/>
        <w:jc w:val="left"/>
        <w:rPr>
          <w:sz w:val="13"/>
        </w:rPr>
      </w:pPr>
    </w:p>
    <w:tbl>
      <w:tblPr>
        <w:tblW w:w="0" w:type="auto"/>
        <w:jc w:val="left"/>
        <w:tblInd w:w="1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6"/>
        <w:gridCol w:w="2969"/>
        <w:gridCol w:w="1269"/>
      </w:tblGrid>
      <w:tr>
        <w:trPr>
          <w:trHeight w:val="304" w:hRule="atLeast"/>
        </w:trPr>
        <w:tc>
          <w:tcPr>
            <w:tcW w:w="3156" w:type="dxa"/>
          </w:tcPr>
          <w:p>
            <w:pPr>
              <w:pStyle w:val="TableParagraph"/>
              <w:spacing w:line="225" w:lineRule="exact"/>
              <w:ind w:left="50"/>
              <w:rPr>
                <w:sz w:val="22"/>
              </w:rPr>
            </w:pPr>
            <w:r>
              <w:rPr>
                <w:sz w:val="22"/>
              </w:rPr>
              <w:t>Heterozygote + heterozygote</w:t>
            </w:r>
          </w:p>
        </w:tc>
        <w:tc>
          <w:tcPr>
            <w:tcW w:w="2969" w:type="dxa"/>
          </w:tcPr>
          <w:p>
            <w:pPr>
              <w:pStyle w:val="TableParagraph"/>
              <w:spacing w:line="225" w:lineRule="exact"/>
              <w:ind w:left="494"/>
              <w:rPr>
                <w:sz w:val="22"/>
              </w:rPr>
            </w:pPr>
            <w:r>
              <w:rPr>
                <w:sz w:val="22"/>
              </w:rPr>
              <w:t>no overlapping alleles</w:t>
            </w:r>
          </w:p>
        </w:tc>
        <w:tc>
          <w:tcPr>
            <w:tcW w:w="1269" w:type="dxa"/>
          </w:tcPr>
          <w:p>
            <w:pPr>
              <w:pStyle w:val="TableParagraph"/>
              <w:spacing w:line="225" w:lineRule="exact"/>
              <w:ind w:left="0" w:right="47"/>
              <w:jc w:val="right"/>
              <w:rPr>
                <w:sz w:val="22"/>
              </w:rPr>
            </w:pPr>
            <w:r>
              <w:rPr>
                <w:sz w:val="22"/>
              </w:rPr>
              <w:t>(4 peaks)</w:t>
            </w:r>
          </w:p>
        </w:tc>
      </w:tr>
      <w:tr>
        <w:trPr>
          <w:trHeight w:val="388" w:hRule="atLeast"/>
        </w:trPr>
        <w:tc>
          <w:tcPr>
            <w:tcW w:w="3156" w:type="dxa"/>
          </w:tcPr>
          <w:p>
            <w:pPr>
              <w:pStyle w:val="TableParagraph"/>
              <w:spacing w:before="40"/>
              <w:ind w:left="50"/>
              <w:rPr>
                <w:sz w:val="22"/>
              </w:rPr>
            </w:pPr>
            <w:r>
              <w:rPr>
                <w:sz w:val="22"/>
              </w:rPr>
              <w:t>Heterozygote + heterozygote</w:t>
            </w:r>
          </w:p>
        </w:tc>
        <w:tc>
          <w:tcPr>
            <w:tcW w:w="2969" w:type="dxa"/>
          </w:tcPr>
          <w:p>
            <w:pPr>
              <w:pStyle w:val="TableParagraph"/>
              <w:spacing w:before="40"/>
              <w:ind w:left="494"/>
              <w:rPr>
                <w:sz w:val="22"/>
              </w:rPr>
            </w:pPr>
            <w:r>
              <w:rPr>
                <w:sz w:val="22"/>
              </w:rPr>
              <w:t>one overlapping allele</w:t>
            </w:r>
          </w:p>
        </w:tc>
        <w:tc>
          <w:tcPr>
            <w:tcW w:w="1269" w:type="dxa"/>
          </w:tcPr>
          <w:p>
            <w:pPr>
              <w:pStyle w:val="TableParagraph"/>
              <w:spacing w:before="40"/>
              <w:ind w:left="0" w:right="48"/>
              <w:jc w:val="right"/>
              <w:rPr>
                <w:sz w:val="22"/>
              </w:rPr>
            </w:pPr>
            <w:r>
              <w:rPr>
                <w:sz w:val="22"/>
              </w:rPr>
              <w:t>(3 peaks)</w:t>
            </w:r>
          </w:p>
        </w:tc>
      </w:tr>
      <w:tr>
        <w:trPr>
          <w:trHeight w:val="388" w:hRule="atLeast"/>
        </w:trPr>
        <w:tc>
          <w:tcPr>
            <w:tcW w:w="3156" w:type="dxa"/>
          </w:tcPr>
          <w:p>
            <w:pPr>
              <w:pStyle w:val="TableParagraph"/>
              <w:spacing w:before="40"/>
              <w:ind w:left="50"/>
              <w:rPr>
                <w:sz w:val="22"/>
              </w:rPr>
            </w:pPr>
            <w:r>
              <w:rPr>
                <w:sz w:val="22"/>
              </w:rPr>
              <w:t>Heterozygote + heterozygote</w:t>
            </w:r>
          </w:p>
        </w:tc>
        <w:tc>
          <w:tcPr>
            <w:tcW w:w="2969" w:type="dxa"/>
          </w:tcPr>
          <w:p>
            <w:pPr>
              <w:pStyle w:val="TableParagraph"/>
              <w:spacing w:before="40"/>
              <w:ind w:left="494"/>
              <w:rPr>
                <w:sz w:val="22"/>
              </w:rPr>
            </w:pPr>
            <w:r>
              <w:rPr>
                <w:sz w:val="22"/>
              </w:rPr>
              <w:t>two overlapping alleles</w:t>
            </w:r>
          </w:p>
        </w:tc>
        <w:tc>
          <w:tcPr>
            <w:tcW w:w="1269" w:type="dxa"/>
          </w:tcPr>
          <w:p>
            <w:pPr>
              <w:pStyle w:val="TableParagraph"/>
              <w:spacing w:before="40"/>
              <w:ind w:left="0" w:right="47"/>
              <w:jc w:val="right"/>
              <w:rPr>
                <w:sz w:val="22"/>
              </w:rPr>
            </w:pPr>
            <w:r>
              <w:rPr>
                <w:sz w:val="22"/>
              </w:rPr>
              <w:t>(2 peaks)</w:t>
            </w:r>
          </w:p>
        </w:tc>
      </w:tr>
      <w:tr>
        <w:trPr>
          <w:trHeight w:val="388" w:hRule="atLeast"/>
        </w:trPr>
        <w:tc>
          <w:tcPr>
            <w:tcW w:w="3156" w:type="dxa"/>
          </w:tcPr>
          <w:p>
            <w:pPr>
              <w:pStyle w:val="TableParagraph"/>
              <w:spacing w:before="40"/>
              <w:ind w:left="50"/>
              <w:rPr>
                <w:sz w:val="22"/>
              </w:rPr>
            </w:pPr>
            <w:r>
              <w:rPr>
                <w:sz w:val="22"/>
              </w:rPr>
              <w:t>Heterozygote + homozygote</w:t>
            </w:r>
          </w:p>
        </w:tc>
        <w:tc>
          <w:tcPr>
            <w:tcW w:w="2969" w:type="dxa"/>
          </w:tcPr>
          <w:p>
            <w:pPr>
              <w:pStyle w:val="TableParagraph"/>
              <w:spacing w:before="40"/>
              <w:ind w:left="495"/>
              <w:rPr>
                <w:sz w:val="22"/>
              </w:rPr>
            </w:pPr>
            <w:r>
              <w:rPr>
                <w:sz w:val="22"/>
              </w:rPr>
              <w:t>no overlapping alleles</w:t>
            </w:r>
          </w:p>
        </w:tc>
        <w:tc>
          <w:tcPr>
            <w:tcW w:w="1269" w:type="dxa"/>
          </w:tcPr>
          <w:p>
            <w:pPr>
              <w:pStyle w:val="TableParagraph"/>
              <w:spacing w:before="40"/>
              <w:ind w:left="0" w:right="47"/>
              <w:jc w:val="right"/>
              <w:rPr>
                <w:sz w:val="22"/>
              </w:rPr>
            </w:pPr>
            <w:r>
              <w:rPr>
                <w:sz w:val="22"/>
              </w:rPr>
              <w:t>(3 peaks)</w:t>
            </w:r>
          </w:p>
        </w:tc>
      </w:tr>
      <w:tr>
        <w:trPr>
          <w:trHeight w:val="389" w:hRule="atLeast"/>
        </w:trPr>
        <w:tc>
          <w:tcPr>
            <w:tcW w:w="3156" w:type="dxa"/>
          </w:tcPr>
          <w:p>
            <w:pPr>
              <w:pStyle w:val="TableParagraph"/>
              <w:spacing w:before="40"/>
              <w:ind w:left="50"/>
              <w:rPr>
                <w:sz w:val="22"/>
              </w:rPr>
            </w:pPr>
            <w:r>
              <w:rPr>
                <w:sz w:val="22"/>
              </w:rPr>
              <w:t>Heterozygote + homozygote</w:t>
            </w:r>
          </w:p>
        </w:tc>
        <w:tc>
          <w:tcPr>
            <w:tcW w:w="2969" w:type="dxa"/>
          </w:tcPr>
          <w:p>
            <w:pPr>
              <w:pStyle w:val="TableParagraph"/>
              <w:spacing w:before="40"/>
              <w:ind w:left="495"/>
              <w:rPr>
                <w:sz w:val="22"/>
              </w:rPr>
            </w:pPr>
            <w:r>
              <w:rPr>
                <w:sz w:val="22"/>
              </w:rPr>
              <w:t>one overlapping allele</w:t>
            </w:r>
          </w:p>
        </w:tc>
        <w:tc>
          <w:tcPr>
            <w:tcW w:w="1269" w:type="dxa"/>
          </w:tcPr>
          <w:p>
            <w:pPr>
              <w:pStyle w:val="TableParagraph"/>
              <w:spacing w:before="40"/>
              <w:ind w:left="0" w:right="47"/>
              <w:jc w:val="right"/>
              <w:rPr>
                <w:sz w:val="22"/>
              </w:rPr>
            </w:pPr>
            <w:r>
              <w:rPr>
                <w:sz w:val="22"/>
              </w:rPr>
              <w:t>(2 peaks)</w:t>
            </w:r>
          </w:p>
        </w:tc>
      </w:tr>
      <w:tr>
        <w:trPr>
          <w:trHeight w:val="387" w:hRule="atLeast"/>
        </w:trPr>
        <w:tc>
          <w:tcPr>
            <w:tcW w:w="3156" w:type="dxa"/>
          </w:tcPr>
          <w:p>
            <w:pPr>
              <w:pStyle w:val="TableParagraph"/>
              <w:spacing w:before="40"/>
              <w:ind w:left="50"/>
              <w:rPr>
                <w:sz w:val="22"/>
              </w:rPr>
            </w:pPr>
            <w:r>
              <w:rPr>
                <w:sz w:val="22"/>
              </w:rPr>
              <w:t>Homozygote + homozygote</w:t>
            </w:r>
          </w:p>
        </w:tc>
        <w:tc>
          <w:tcPr>
            <w:tcW w:w="2969" w:type="dxa"/>
          </w:tcPr>
          <w:p>
            <w:pPr>
              <w:pStyle w:val="TableParagraph"/>
              <w:spacing w:before="40"/>
              <w:ind w:left="494"/>
              <w:rPr>
                <w:sz w:val="22"/>
              </w:rPr>
            </w:pPr>
            <w:r>
              <w:rPr>
                <w:sz w:val="22"/>
              </w:rPr>
              <w:t>no overlapping alleles</w:t>
            </w:r>
          </w:p>
        </w:tc>
        <w:tc>
          <w:tcPr>
            <w:tcW w:w="1269" w:type="dxa"/>
          </w:tcPr>
          <w:p>
            <w:pPr>
              <w:pStyle w:val="TableParagraph"/>
              <w:spacing w:before="40"/>
              <w:ind w:left="0" w:right="47"/>
              <w:jc w:val="right"/>
              <w:rPr>
                <w:sz w:val="22"/>
              </w:rPr>
            </w:pPr>
            <w:r>
              <w:rPr>
                <w:sz w:val="22"/>
              </w:rPr>
              <w:t>(2 peaks)</w:t>
            </w:r>
          </w:p>
        </w:tc>
      </w:tr>
      <w:tr>
        <w:trPr>
          <w:trHeight w:val="303" w:hRule="atLeast"/>
        </w:trPr>
        <w:tc>
          <w:tcPr>
            <w:tcW w:w="3156" w:type="dxa"/>
          </w:tcPr>
          <w:p>
            <w:pPr>
              <w:pStyle w:val="TableParagraph"/>
              <w:spacing w:line="245" w:lineRule="exact" w:before="39"/>
              <w:ind w:left="50"/>
              <w:rPr>
                <w:sz w:val="22"/>
              </w:rPr>
            </w:pPr>
            <w:r>
              <w:rPr>
                <w:sz w:val="22"/>
              </w:rPr>
              <w:t>Homozygote + homozygote</w:t>
            </w:r>
          </w:p>
        </w:tc>
        <w:tc>
          <w:tcPr>
            <w:tcW w:w="2969" w:type="dxa"/>
          </w:tcPr>
          <w:p>
            <w:pPr>
              <w:pStyle w:val="TableParagraph"/>
              <w:spacing w:line="245" w:lineRule="exact" w:before="39"/>
              <w:ind w:left="494"/>
              <w:rPr>
                <w:sz w:val="22"/>
              </w:rPr>
            </w:pPr>
            <w:r>
              <w:rPr>
                <w:sz w:val="22"/>
              </w:rPr>
              <w:t>overlapping alleles</w:t>
            </w:r>
          </w:p>
        </w:tc>
        <w:tc>
          <w:tcPr>
            <w:tcW w:w="1269" w:type="dxa"/>
          </w:tcPr>
          <w:p>
            <w:pPr>
              <w:pStyle w:val="TableParagraph"/>
              <w:spacing w:line="245" w:lineRule="exact" w:before="39"/>
              <w:ind w:left="0" w:right="134"/>
              <w:jc w:val="right"/>
              <w:rPr>
                <w:sz w:val="22"/>
              </w:rPr>
            </w:pPr>
            <w:r>
              <w:rPr>
                <w:sz w:val="22"/>
              </w:rPr>
              <w:t>(1 peak)</w:t>
            </w:r>
          </w:p>
        </w:tc>
      </w:tr>
    </w:tbl>
    <w:p>
      <w:pPr>
        <w:pStyle w:val="BodyText"/>
        <w:spacing w:before="12"/>
        <w:ind w:left="0"/>
        <w:jc w:val="left"/>
        <w:rPr>
          <w:sz w:val="19"/>
        </w:rPr>
      </w:pPr>
    </w:p>
    <w:p>
      <w:pPr>
        <w:pStyle w:val="BodyText"/>
        <w:spacing w:before="0"/>
        <w:ind w:left="588" w:right="221"/>
      </w:pPr>
      <w:r>
        <w:rPr/>
        <w:t>Specific genotype combinations and input DNA ratios of the samples contained in a mixture determine whether it is possible to resolve the genotypes of the major and minor component(s) at a single locus. Ultimately, the likelihood that any sample is a mixture must be determined by the analyst in the context of each particular case.</w:t>
      </w:r>
    </w:p>
    <w:p>
      <w:pPr>
        <w:pStyle w:val="BodyText"/>
        <w:ind w:left="588" w:right="222"/>
      </w:pPr>
      <w:r>
        <w:rPr/>
        <w:t>When the profile obtained from a sample is a mixture of two contributors and it is reasonable to assume that one of the contributors is a person whose profile is known, it may be possible to deduce information about the profile of the second contributor based on the quantitative data in the profile (peak height in RFU) for each observed</w:t>
      </w:r>
      <w:r>
        <w:rPr>
          <w:spacing w:val="-8"/>
        </w:rPr>
        <w:t> </w:t>
      </w:r>
      <w:r>
        <w:rPr/>
        <w:t>peak.</w:t>
      </w:r>
    </w:p>
    <w:p>
      <w:pPr>
        <w:pStyle w:val="BodyText"/>
        <w:spacing w:before="7"/>
        <w:ind w:left="0"/>
        <w:jc w:val="left"/>
        <w:rPr>
          <w:sz w:val="19"/>
        </w:rPr>
      </w:pPr>
    </w:p>
    <w:p>
      <w:pPr>
        <w:pStyle w:val="Heading2"/>
        <w:numPr>
          <w:ilvl w:val="0"/>
          <w:numId w:val="2"/>
        </w:numPr>
        <w:tabs>
          <w:tab w:pos="514" w:val="left" w:leader="none"/>
        </w:tabs>
        <w:spacing w:line="240" w:lineRule="auto" w:before="0" w:after="0"/>
        <w:ind w:left="514" w:right="0" w:hanging="286"/>
        <w:jc w:val="left"/>
      </w:pPr>
      <w:r>
        <w:rPr>
          <w:u w:val="single"/>
        </w:rPr>
        <w:t>PEAK</w:t>
      </w:r>
      <w:r>
        <w:rPr>
          <w:spacing w:val="-4"/>
          <w:u w:val="single"/>
        </w:rPr>
        <w:t> </w:t>
      </w:r>
      <w:r>
        <w:rPr>
          <w:u w:val="single"/>
        </w:rPr>
        <w:t>EVALUATION</w:t>
      </w:r>
    </w:p>
    <w:p>
      <w:pPr>
        <w:pStyle w:val="BodyText"/>
        <w:spacing w:before="120"/>
        <w:ind w:left="228" w:right="223"/>
      </w:pPr>
      <w:r>
        <w:rPr/>
        <w:t>As a profile is evaluated, each peak identified by the software must be checked to confirm it is a valid allele call. Typical characteristics and requirements related to the shape, size and location of a true allele are  listed below along with a variety of recognizable</w:t>
      </w:r>
      <w:r>
        <w:rPr>
          <w:spacing w:val="-13"/>
        </w:rPr>
        <w:t> </w:t>
      </w:r>
      <w:r>
        <w:rPr/>
        <w:t>artifacts.</w:t>
      </w:r>
    </w:p>
    <w:p>
      <w:pPr>
        <w:pStyle w:val="BodyText"/>
        <w:spacing w:before="9"/>
        <w:ind w:left="0"/>
        <w:jc w:val="left"/>
        <w:rPr>
          <w:sz w:val="19"/>
        </w:rPr>
      </w:pPr>
    </w:p>
    <w:p>
      <w:pPr>
        <w:pStyle w:val="Heading3"/>
        <w:ind w:left="228" w:firstLine="0"/>
        <w:rPr>
          <w:i/>
        </w:rPr>
      </w:pPr>
      <w:r>
        <w:rPr>
          <w:i/>
        </w:rPr>
        <w:t>Alleles:</w:t>
      </w:r>
    </w:p>
    <w:p>
      <w:pPr>
        <w:pStyle w:val="ListParagraph"/>
        <w:numPr>
          <w:ilvl w:val="1"/>
          <w:numId w:val="2"/>
        </w:numPr>
        <w:tabs>
          <w:tab w:pos="948" w:val="left" w:leader="none"/>
          <w:tab w:pos="949" w:val="left" w:leader="none"/>
        </w:tabs>
        <w:spacing w:line="240" w:lineRule="auto" w:before="121" w:after="0"/>
        <w:ind w:left="948" w:right="0" w:hanging="360"/>
        <w:jc w:val="left"/>
        <w:rPr>
          <w:sz w:val="22"/>
        </w:rPr>
      </w:pPr>
      <w:r>
        <w:rPr>
          <w:sz w:val="22"/>
        </w:rPr>
        <w:t>An allele peak is defined as a distinct, triangular section of an</w:t>
      </w:r>
      <w:r>
        <w:rPr>
          <w:spacing w:val="-13"/>
          <w:sz w:val="22"/>
        </w:rPr>
        <w:t> </w:t>
      </w:r>
      <w:r>
        <w:rPr>
          <w:sz w:val="22"/>
        </w:rPr>
        <w:t>electropherogram.</w:t>
      </w:r>
    </w:p>
    <w:p>
      <w:pPr>
        <w:pStyle w:val="ListParagraph"/>
        <w:numPr>
          <w:ilvl w:val="1"/>
          <w:numId w:val="2"/>
        </w:numPr>
        <w:tabs>
          <w:tab w:pos="949" w:val="left" w:leader="none"/>
        </w:tabs>
        <w:spacing w:line="240" w:lineRule="auto" w:before="120" w:after="0"/>
        <w:ind w:left="948" w:right="219" w:hanging="360"/>
        <w:jc w:val="both"/>
        <w:rPr>
          <w:sz w:val="22"/>
        </w:rPr>
      </w:pPr>
      <w:r>
        <w:rPr>
          <w:sz w:val="22"/>
        </w:rPr>
        <w:t>The minimum peak height threshold for recognition of an allele is established at 100 relative fluorescence units (RFU) for the GeneMapper® ID-X software program. Peaks below 100 RFU will  not be interpreted unless using the dye-specific peak analytical thresholds established in the Identifiler® Plus validation</w:t>
      </w:r>
      <w:r>
        <w:rPr>
          <w:spacing w:val="-7"/>
          <w:sz w:val="22"/>
        </w:rPr>
        <w:t> </w:t>
      </w:r>
      <w:r>
        <w:rPr>
          <w:sz w:val="22"/>
        </w:rPr>
        <w:t>study.</w:t>
      </w:r>
    </w:p>
    <w:p>
      <w:pPr>
        <w:pStyle w:val="ListParagraph"/>
        <w:numPr>
          <w:ilvl w:val="1"/>
          <w:numId w:val="2"/>
        </w:numPr>
        <w:tabs>
          <w:tab w:pos="949" w:val="left" w:leader="none"/>
        </w:tabs>
        <w:spacing w:line="240" w:lineRule="auto" w:before="120" w:after="0"/>
        <w:ind w:left="948" w:right="231" w:hanging="360"/>
        <w:jc w:val="both"/>
        <w:rPr>
          <w:sz w:val="22"/>
        </w:rPr>
      </w:pPr>
      <w:r>
        <w:rPr>
          <w:sz w:val="22"/>
        </w:rPr>
        <w:t>For autosomal STR analysis, homozygote allele peak heights are approximately twice that of heterozygotes as a result of a doubling signal from two alleles of the same</w:t>
      </w:r>
      <w:r>
        <w:rPr>
          <w:spacing w:val="-13"/>
          <w:sz w:val="22"/>
        </w:rPr>
        <w:t> </w:t>
      </w:r>
      <w:r>
        <w:rPr>
          <w:sz w:val="22"/>
        </w:rPr>
        <w:t>size.</w:t>
      </w:r>
    </w:p>
    <w:p>
      <w:pPr>
        <w:pStyle w:val="ListParagraph"/>
        <w:numPr>
          <w:ilvl w:val="1"/>
          <w:numId w:val="2"/>
        </w:numPr>
        <w:tabs>
          <w:tab w:pos="949" w:val="left" w:leader="none"/>
        </w:tabs>
        <w:spacing w:line="240" w:lineRule="auto" w:before="120" w:after="0"/>
        <w:ind w:left="948" w:right="220" w:hanging="360"/>
        <w:jc w:val="both"/>
        <w:rPr>
          <w:sz w:val="22"/>
        </w:rPr>
      </w:pPr>
      <w:r>
        <w:rPr>
          <w:sz w:val="22"/>
        </w:rPr>
        <w:t>When interpreting autosomal STR genotypes for samples of low intensity, care must be taken to accurately distinguish a homozygote peak from a heterozygote peak whose sister allele has dropped out. As a general guideline, single peaks should not be called as homozygote alleles unless the peak is ≥350 RFUs when amplified with Identifiler® Plus for 28 cycles and ≥200 RFUs when amplified with Identifiler® Direct for 26 cycles. If using a 29 cycle amplification with the Identifiler® Plus kit, then the stochastic threshold is 610 RFUs. It is important to assess the peak heights of alleles at both smaller and larger loci to aid in this type of</w:t>
      </w:r>
      <w:r>
        <w:rPr>
          <w:spacing w:val="-10"/>
          <w:sz w:val="22"/>
        </w:rPr>
        <w:t> </w:t>
      </w:r>
      <w:r>
        <w:rPr>
          <w:sz w:val="22"/>
        </w:rPr>
        <w:t>interpretation.</w:t>
      </w:r>
    </w:p>
    <w:p>
      <w:pPr>
        <w:spacing w:after="0" w:line="240" w:lineRule="auto"/>
        <w:jc w:val="both"/>
        <w:rPr>
          <w:sz w:val="22"/>
        </w:rPr>
        <w:sectPr>
          <w:pgSz w:w="12240" w:h="15840"/>
          <w:pgMar w:header="734" w:footer="810" w:top="1840" w:bottom="1000" w:left="1500" w:right="580"/>
        </w:sectPr>
      </w:pPr>
    </w:p>
    <w:p>
      <w:pPr>
        <w:pStyle w:val="ListParagraph"/>
        <w:numPr>
          <w:ilvl w:val="1"/>
          <w:numId w:val="2"/>
        </w:numPr>
        <w:tabs>
          <w:tab w:pos="949" w:val="left" w:leader="none"/>
        </w:tabs>
        <w:spacing w:line="240" w:lineRule="auto" w:before="62" w:after="0"/>
        <w:ind w:left="948" w:right="222" w:hanging="360"/>
        <w:jc w:val="both"/>
        <w:rPr>
          <w:sz w:val="22"/>
        </w:rPr>
      </w:pPr>
      <w:r>
        <w:rPr>
          <w:sz w:val="22"/>
        </w:rPr>
        <w:t>For samples amplified with Identifiler® Plus at 28-cycles or with Identifiler® Direct at 26-cycles, the expected peak height ratio for autosomal heterozygote alleles is 55-100%. Occasionally, a non- mixed sample will be lower than 55%. For samples amplified for 29-cycles using Identifiler® Plus,  the expected peak height ratio for autosomal heterozygote alleles is 50-100%. The peak height ratio is calculated:</w:t>
      </w:r>
    </w:p>
    <w:p>
      <w:pPr>
        <w:pStyle w:val="BodyText"/>
        <w:ind w:left="2389"/>
        <w:jc w:val="left"/>
      </w:pPr>
      <w:r>
        <w:rPr/>
        <w:t>[lower peak height] ÷ [higher peak height] x 100 = peak height ratio</w:t>
      </w:r>
    </w:p>
    <w:p>
      <w:pPr>
        <w:pStyle w:val="ListParagraph"/>
        <w:numPr>
          <w:ilvl w:val="1"/>
          <w:numId w:val="2"/>
        </w:numPr>
        <w:tabs>
          <w:tab w:pos="949" w:val="left" w:leader="none"/>
        </w:tabs>
        <w:spacing w:line="240" w:lineRule="auto" w:before="120" w:after="0"/>
        <w:ind w:left="948" w:right="223" w:hanging="360"/>
        <w:jc w:val="both"/>
        <w:rPr>
          <w:sz w:val="22"/>
        </w:rPr>
      </w:pPr>
      <w:r>
        <w:rPr>
          <w:sz w:val="22"/>
        </w:rPr>
        <w:t>Genotypes are determined from the diagnostic peaks (allelic ladder) of the appropriate dye color (blue, green, yellow, red) and size range (bp) for a particular STR marker system. Peaks not aligning with those in the allelic ladders have been detected both within and outside the range of the ladders (off-ladder alleles). Some peaks may represent variant alleles containing incomplete repeats. The GeneMapper® ID-X software will accurately label many of the alleles not present in the allelic ladders; these variants have been termed “other known alleles” or “virtual alleles.” Those not labeled, will be typed manually by the analyst based on the base pair size of the peak and the base pair size of the closest allelic ladder peak (s). A base pair (bp) size will be reported for those samples that cannot be genotyped by the typing software or by peak size</w:t>
      </w:r>
      <w:r>
        <w:rPr>
          <w:spacing w:val="-12"/>
          <w:sz w:val="22"/>
        </w:rPr>
        <w:t> </w:t>
      </w:r>
      <w:r>
        <w:rPr>
          <w:sz w:val="22"/>
        </w:rPr>
        <w:t>comparison.</w:t>
      </w:r>
    </w:p>
    <w:p>
      <w:pPr>
        <w:pStyle w:val="ListParagraph"/>
        <w:numPr>
          <w:ilvl w:val="1"/>
          <w:numId w:val="2"/>
        </w:numPr>
        <w:tabs>
          <w:tab w:pos="949" w:val="left" w:leader="none"/>
        </w:tabs>
        <w:spacing w:line="240" w:lineRule="auto" w:before="121" w:after="0"/>
        <w:ind w:left="948" w:right="222" w:hanging="360"/>
        <w:jc w:val="both"/>
        <w:rPr>
          <w:sz w:val="22"/>
        </w:rPr>
      </w:pPr>
      <w:r>
        <w:rPr>
          <w:sz w:val="22"/>
        </w:rPr>
        <w:t>Depending on the situation, it may be necessary for the analyst to re-amplify, re-prepare, and/or re- inject the sample to verify the allele in question. Each variant will be closely examined by the  analyst and the technical reviewer and will be handled on a case-by-case</w:t>
      </w:r>
      <w:r>
        <w:rPr>
          <w:spacing w:val="-14"/>
          <w:sz w:val="22"/>
        </w:rPr>
        <w:t> </w:t>
      </w:r>
      <w:r>
        <w:rPr>
          <w:sz w:val="22"/>
        </w:rPr>
        <w:t>basis.</w:t>
      </w:r>
    </w:p>
    <w:p>
      <w:pPr>
        <w:pStyle w:val="ListParagraph"/>
        <w:numPr>
          <w:ilvl w:val="1"/>
          <w:numId w:val="2"/>
        </w:numPr>
        <w:tabs>
          <w:tab w:pos="949" w:val="left" w:leader="none"/>
        </w:tabs>
        <w:spacing w:line="240" w:lineRule="auto" w:before="119" w:after="0"/>
        <w:ind w:left="948" w:right="224" w:hanging="360"/>
        <w:jc w:val="both"/>
        <w:rPr>
          <w:sz w:val="22"/>
        </w:rPr>
      </w:pPr>
      <w:r>
        <w:rPr>
          <w:sz w:val="22"/>
        </w:rPr>
        <w:t>Peaks other than the target alleles may be detected on the electropherogram displays. The following is a description of various causes for the appearance of extra</w:t>
      </w:r>
      <w:r>
        <w:rPr>
          <w:spacing w:val="-18"/>
          <w:sz w:val="22"/>
        </w:rPr>
        <w:t> </w:t>
      </w:r>
      <w:r>
        <w:rPr>
          <w:sz w:val="22"/>
        </w:rPr>
        <w:t>peaks.</w:t>
      </w:r>
    </w:p>
    <w:p>
      <w:pPr>
        <w:pStyle w:val="BodyText"/>
        <w:spacing w:before="8"/>
        <w:ind w:left="0"/>
        <w:jc w:val="left"/>
        <w:rPr>
          <w:sz w:val="19"/>
        </w:rPr>
      </w:pPr>
    </w:p>
    <w:p>
      <w:pPr>
        <w:pStyle w:val="Heading3"/>
        <w:ind w:left="228" w:firstLine="0"/>
        <w:rPr>
          <w:i/>
        </w:rPr>
      </w:pPr>
      <w:r>
        <w:rPr>
          <w:i/>
        </w:rPr>
        <w:t>Stutter Products:</w:t>
      </w:r>
    </w:p>
    <w:p>
      <w:pPr>
        <w:pStyle w:val="BodyText"/>
        <w:ind w:left="228" w:right="217"/>
      </w:pPr>
      <w:r>
        <w:rPr/>
        <w:t>A stutter peak is a well-characterized PCR artifact that refers to the appearance of a minor peak one repeat unit smaller (or less frequently, one repeat larger) than the major STR product. All of the loci in the Identifiler® Plus and Identifiler® Direct kits are tetranucleotide repeat units, thus the stutter peak would be four bases shorter (n-4) or occasionally four bases longer (n+4).</w:t>
      </w:r>
    </w:p>
    <w:p>
      <w:pPr>
        <w:pStyle w:val="BodyText"/>
        <w:spacing w:before="119"/>
        <w:ind w:left="228"/>
        <w:jc w:val="left"/>
      </w:pPr>
      <w:r>
        <w:rPr/>
        <w:t>Stutter products for autosomal STR have many of the same characteristics:</w:t>
      </w:r>
    </w:p>
    <w:p>
      <w:pPr>
        <w:pStyle w:val="ListParagraph"/>
        <w:numPr>
          <w:ilvl w:val="1"/>
          <w:numId w:val="2"/>
        </w:numPr>
        <w:tabs>
          <w:tab w:pos="948" w:val="left" w:leader="none"/>
          <w:tab w:pos="949" w:val="left" w:leader="none"/>
        </w:tabs>
        <w:spacing w:line="240" w:lineRule="auto" w:before="120" w:after="0"/>
        <w:ind w:left="948" w:right="0" w:hanging="360"/>
        <w:jc w:val="left"/>
        <w:rPr>
          <w:sz w:val="22"/>
        </w:rPr>
      </w:pPr>
      <w:r>
        <w:rPr>
          <w:sz w:val="22"/>
        </w:rPr>
        <w:t>For each AmpFlSTR® kit locus, the percent stutter generally increases with allele</w:t>
      </w:r>
      <w:r>
        <w:rPr>
          <w:spacing w:val="-14"/>
          <w:sz w:val="22"/>
        </w:rPr>
        <w:t> </w:t>
      </w:r>
      <w:r>
        <w:rPr>
          <w:sz w:val="22"/>
        </w:rPr>
        <w:t>length.</w:t>
      </w:r>
    </w:p>
    <w:p>
      <w:pPr>
        <w:pStyle w:val="ListParagraph"/>
        <w:numPr>
          <w:ilvl w:val="1"/>
          <w:numId w:val="2"/>
        </w:numPr>
        <w:tabs>
          <w:tab w:pos="948" w:val="left" w:leader="none"/>
          <w:tab w:pos="949" w:val="left" w:leader="none"/>
        </w:tabs>
        <w:spacing w:line="240" w:lineRule="auto" w:before="121" w:after="0"/>
        <w:ind w:left="948" w:right="0" w:hanging="360"/>
        <w:jc w:val="left"/>
        <w:rPr>
          <w:sz w:val="22"/>
        </w:rPr>
      </w:pPr>
      <w:r>
        <w:rPr>
          <w:sz w:val="22"/>
        </w:rPr>
        <w:t>Each allele within a locus displays a percent stutter that is</w:t>
      </w:r>
      <w:r>
        <w:rPr>
          <w:spacing w:val="-9"/>
          <w:sz w:val="22"/>
        </w:rPr>
        <w:t> </w:t>
      </w:r>
      <w:r>
        <w:rPr>
          <w:sz w:val="22"/>
        </w:rPr>
        <w:t>consistent.</w:t>
      </w:r>
    </w:p>
    <w:p>
      <w:pPr>
        <w:pStyle w:val="ListParagraph"/>
        <w:numPr>
          <w:ilvl w:val="1"/>
          <w:numId w:val="2"/>
        </w:numPr>
        <w:tabs>
          <w:tab w:pos="949" w:val="left" w:leader="none"/>
        </w:tabs>
        <w:spacing w:line="240" w:lineRule="auto" w:before="120" w:after="0"/>
        <w:ind w:left="948" w:right="229" w:hanging="360"/>
        <w:jc w:val="both"/>
        <w:rPr>
          <w:sz w:val="22"/>
        </w:rPr>
      </w:pPr>
      <w:r>
        <w:rPr>
          <w:sz w:val="22"/>
        </w:rPr>
        <w:t>The highest observed percent stutter for each locus is included as the filtering step in GeneMapper® ID-X software. Peaks in the stutter position that are above the highest observed stutter will not be filtered. Peaks in the stutter position that have not been filtered will remain labeled and can be further evaluated.</w:t>
      </w:r>
    </w:p>
    <w:p>
      <w:pPr>
        <w:pStyle w:val="ListParagraph"/>
        <w:numPr>
          <w:ilvl w:val="1"/>
          <w:numId w:val="2"/>
        </w:numPr>
        <w:tabs>
          <w:tab w:pos="949" w:val="left" w:leader="none"/>
        </w:tabs>
        <w:spacing w:line="240" w:lineRule="auto" w:before="120" w:after="0"/>
        <w:ind w:left="948" w:right="221" w:hanging="360"/>
        <w:jc w:val="both"/>
        <w:rPr>
          <w:sz w:val="22"/>
        </w:rPr>
      </w:pPr>
      <w:r>
        <w:rPr>
          <w:sz w:val="22"/>
        </w:rPr>
        <w:t>The measurement of percent stutter for peaks that are off-scale may be unusually high. Likewise, samples with stochastic effects due to very low input DNA, may also have stutter peaks that are unnaturally</w:t>
      </w:r>
      <w:r>
        <w:rPr>
          <w:spacing w:val="-1"/>
          <w:sz w:val="22"/>
        </w:rPr>
        <w:t> </w:t>
      </w:r>
      <w:r>
        <w:rPr>
          <w:sz w:val="22"/>
        </w:rPr>
        <w:t>high.</w:t>
      </w:r>
    </w:p>
    <w:p>
      <w:pPr>
        <w:pStyle w:val="ListParagraph"/>
        <w:numPr>
          <w:ilvl w:val="1"/>
          <w:numId w:val="2"/>
        </w:numPr>
        <w:tabs>
          <w:tab w:pos="949" w:val="left" w:leader="none"/>
        </w:tabs>
        <w:spacing w:line="240" w:lineRule="auto" w:before="121" w:after="0"/>
        <w:ind w:left="948" w:right="227" w:hanging="360"/>
        <w:jc w:val="both"/>
        <w:rPr>
          <w:sz w:val="22"/>
        </w:rPr>
      </w:pPr>
      <w:r>
        <w:rPr>
          <w:sz w:val="22"/>
        </w:rPr>
        <w:t>The proportion of the stutter product relative to the main allele (percent stutter) is measured by dividing the height of the stutter peak by the height of the main allele</w:t>
      </w:r>
      <w:r>
        <w:rPr>
          <w:spacing w:val="-13"/>
          <w:sz w:val="22"/>
        </w:rPr>
        <w:t> </w:t>
      </w:r>
      <w:r>
        <w:rPr>
          <w:sz w:val="22"/>
        </w:rPr>
        <w:t>peak.</w:t>
      </w:r>
    </w:p>
    <w:p>
      <w:pPr>
        <w:spacing w:after="0" w:line="240" w:lineRule="auto"/>
        <w:jc w:val="both"/>
        <w:rPr>
          <w:sz w:val="22"/>
        </w:rPr>
        <w:sectPr>
          <w:pgSz w:w="12240" w:h="15840"/>
          <w:pgMar w:header="734" w:footer="810" w:top="1840" w:bottom="1000" w:left="1500" w:right="580"/>
        </w:sectPr>
      </w:pPr>
    </w:p>
    <w:p>
      <w:pPr>
        <w:pStyle w:val="BodyText"/>
        <w:spacing w:before="61"/>
        <w:ind w:left="228"/>
        <w:jc w:val="left"/>
      </w:pPr>
      <w:r>
        <w:rPr/>
        <w:t>The following table summarizes the highest percent stutter observed for the Identifiler® Plus kits:</w:t>
      </w:r>
    </w:p>
    <w:p>
      <w:pPr>
        <w:pStyle w:val="BodyText"/>
        <w:spacing w:before="1" w:after="1"/>
        <w:ind w:left="0"/>
        <w:jc w:val="left"/>
        <w:rPr>
          <w:sz w:val="10"/>
        </w:rPr>
      </w:pPr>
    </w:p>
    <w:tbl>
      <w:tblPr>
        <w:tblW w:w="0" w:type="auto"/>
        <w:jc w:val="left"/>
        <w:tblInd w:w="2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1"/>
        <w:gridCol w:w="2955"/>
      </w:tblGrid>
      <w:tr>
        <w:trPr>
          <w:trHeight w:val="659" w:hRule="atLeast"/>
        </w:trPr>
        <w:tc>
          <w:tcPr>
            <w:tcW w:w="1471" w:type="dxa"/>
          </w:tcPr>
          <w:p>
            <w:pPr>
              <w:pStyle w:val="TableParagraph"/>
              <w:spacing w:before="119"/>
              <w:ind w:left="369"/>
              <w:rPr>
                <w:b/>
                <w:sz w:val="18"/>
              </w:rPr>
            </w:pPr>
            <w:r>
              <w:rPr>
                <w:b/>
                <w:sz w:val="18"/>
              </w:rPr>
              <w:t>STR Locus</w:t>
            </w:r>
          </w:p>
        </w:tc>
        <w:tc>
          <w:tcPr>
            <w:tcW w:w="2955" w:type="dxa"/>
          </w:tcPr>
          <w:p>
            <w:pPr>
              <w:pStyle w:val="TableParagraph"/>
              <w:ind w:left="171" w:right="165"/>
              <w:jc w:val="center"/>
              <w:rPr>
                <w:b/>
                <w:sz w:val="18"/>
              </w:rPr>
            </w:pPr>
            <w:r>
              <w:rPr>
                <w:b/>
                <w:sz w:val="18"/>
              </w:rPr>
              <w:t>Percent Stutter Observed for Identifiler® Plus kits</w:t>
            </w:r>
          </w:p>
          <w:p>
            <w:pPr>
              <w:pStyle w:val="TableParagraph"/>
              <w:spacing w:line="201" w:lineRule="exact"/>
              <w:ind w:left="171" w:right="166"/>
              <w:jc w:val="center"/>
              <w:rPr>
                <w:b/>
                <w:sz w:val="18"/>
              </w:rPr>
            </w:pPr>
            <w:r>
              <w:rPr>
                <w:b/>
                <w:sz w:val="18"/>
              </w:rPr>
              <w:t>(Life Technologies Recommended)</w:t>
            </w:r>
          </w:p>
        </w:tc>
      </w:tr>
      <w:tr>
        <w:trPr>
          <w:trHeight w:val="1818" w:hRule="atLeast"/>
        </w:trPr>
        <w:tc>
          <w:tcPr>
            <w:tcW w:w="1471" w:type="dxa"/>
          </w:tcPr>
          <w:p>
            <w:pPr>
              <w:pStyle w:val="TableParagraph"/>
              <w:spacing w:line="372" w:lineRule="auto" w:before="119"/>
              <w:ind w:left="247" w:right="237"/>
              <w:jc w:val="center"/>
              <w:rPr>
                <w:sz w:val="18"/>
              </w:rPr>
            </w:pPr>
            <w:r>
              <w:rPr>
                <w:b/>
                <w:sz w:val="18"/>
              </w:rPr>
              <w:t>6-FAM (blue) </w:t>
            </w:r>
            <w:r>
              <w:rPr>
                <w:sz w:val="18"/>
              </w:rPr>
              <w:t>D8S1179 D21S11 D7S80</w:t>
            </w:r>
          </w:p>
          <w:p>
            <w:pPr>
              <w:pStyle w:val="TableParagraph"/>
              <w:spacing w:line="216" w:lineRule="exact"/>
              <w:ind w:left="245" w:right="237"/>
              <w:jc w:val="center"/>
              <w:rPr>
                <w:sz w:val="18"/>
              </w:rPr>
            </w:pPr>
            <w:r>
              <w:rPr>
                <w:sz w:val="18"/>
              </w:rPr>
              <w:t>CSF1PO</w:t>
            </w:r>
          </w:p>
        </w:tc>
        <w:tc>
          <w:tcPr>
            <w:tcW w:w="2955" w:type="dxa"/>
          </w:tcPr>
          <w:p>
            <w:pPr>
              <w:pStyle w:val="TableParagraph"/>
              <w:ind w:left="0"/>
              <w:rPr>
                <w:sz w:val="18"/>
              </w:rPr>
            </w:pPr>
          </w:p>
          <w:p>
            <w:pPr>
              <w:pStyle w:val="TableParagraph"/>
              <w:spacing w:before="7"/>
              <w:ind w:left="0"/>
              <w:rPr>
                <w:sz w:val="19"/>
              </w:rPr>
            </w:pPr>
          </w:p>
          <w:p>
            <w:pPr>
              <w:pStyle w:val="TableParagraph"/>
              <w:spacing w:before="1"/>
              <w:ind w:left="171" w:right="162"/>
              <w:jc w:val="center"/>
              <w:rPr>
                <w:sz w:val="18"/>
              </w:rPr>
            </w:pPr>
            <w:r>
              <w:rPr>
                <w:sz w:val="18"/>
              </w:rPr>
              <w:t>10.3%</w:t>
            </w:r>
          </w:p>
          <w:p>
            <w:pPr>
              <w:pStyle w:val="TableParagraph"/>
              <w:spacing w:before="118"/>
              <w:ind w:left="171" w:right="162"/>
              <w:jc w:val="center"/>
              <w:rPr>
                <w:sz w:val="18"/>
              </w:rPr>
            </w:pPr>
            <w:r>
              <w:rPr>
                <w:sz w:val="18"/>
              </w:rPr>
              <w:t>10.7%</w:t>
            </w:r>
          </w:p>
          <w:p>
            <w:pPr>
              <w:pStyle w:val="TableParagraph"/>
              <w:spacing w:before="121"/>
              <w:ind w:left="171" w:right="162"/>
              <w:jc w:val="center"/>
              <w:rPr>
                <w:sz w:val="18"/>
              </w:rPr>
            </w:pPr>
            <w:r>
              <w:rPr>
                <w:sz w:val="18"/>
              </w:rPr>
              <w:t>9.7%</w:t>
            </w:r>
          </w:p>
          <w:p>
            <w:pPr>
              <w:pStyle w:val="TableParagraph"/>
              <w:spacing w:before="119"/>
              <w:ind w:left="171" w:right="162"/>
              <w:jc w:val="center"/>
              <w:rPr>
                <w:sz w:val="18"/>
              </w:rPr>
            </w:pPr>
            <w:r>
              <w:rPr>
                <w:sz w:val="18"/>
              </w:rPr>
              <w:t>9.2%</w:t>
            </w:r>
          </w:p>
        </w:tc>
      </w:tr>
      <w:tr>
        <w:trPr>
          <w:trHeight w:val="2157" w:hRule="atLeast"/>
        </w:trPr>
        <w:tc>
          <w:tcPr>
            <w:tcW w:w="1471" w:type="dxa"/>
          </w:tcPr>
          <w:p>
            <w:pPr>
              <w:pStyle w:val="TableParagraph"/>
              <w:spacing w:line="372" w:lineRule="auto" w:before="119"/>
              <w:ind w:left="246" w:right="237"/>
              <w:jc w:val="center"/>
              <w:rPr>
                <w:sz w:val="18"/>
              </w:rPr>
            </w:pPr>
            <w:r>
              <w:rPr>
                <w:b/>
                <w:sz w:val="18"/>
              </w:rPr>
              <w:t>VIC </w:t>
            </w:r>
            <w:r>
              <w:rPr>
                <w:b/>
                <w:spacing w:val="-3"/>
                <w:sz w:val="18"/>
              </w:rPr>
              <w:t>(green) </w:t>
            </w:r>
            <w:r>
              <w:rPr>
                <w:sz w:val="18"/>
              </w:rPr>
              <w:t>D3S1358 THO1 D13S317 D16S539</w:t>
            </w:r>
          </w:p>
          <w:p>
            <w:pPr>
              <w:pStyle w:val="TableParagraph"/>
              <w:spacing w:line="216" w:lineRule="exact"/>
              <w:ind w:left="244" w:right="237"/>
              <w:jc w:val="center"/>
              <w:rPr>
                <w:sz w:val="18"/>
              </w:rPr>
            </w:pPr>
            <w:r>
              <w:rPr>
                <w:sz w:val="18"/>
              </w:rPr>
              <w:t>D2S1338</w:t>
            </w:r>
          </w:p>
        </w:tc>
        <w:tc>
          <w:tcPr>
            <w:tcW w:w="2955" w:type="dxa"/>
          </w:tcPr>
          <w:p>
            <w:pPr>
              <w:pStyle w:val="TableParagraph"/>
              <w:ind w:left="0"/>
              <w:rPr>
                <w:sz w:val="18"/>
              </w:rPr>
            </w:pPr>
          </w:p>
          <w:p>
            <w:pPr>
              <w:pStyle w:val="TableParagraph"/>
              <w:spacing w:before="8"/>
              <w:ind w:left="0"/>
              <w:rPr>
                <w:sz w:val="19"/>
              </w:rPr>
            </w:pPr>
          </w:p>
          <w:p>
            <w:pPr>
              <w:pStyle w:val="TableParagraph"/>
              <w:ind w:left="171" w:right="162"/>
              <w:jc w:val="center"/>
              <w:rPr>
                <w:sz w:val="18"/>
              </w:rPr>
            </w:pPr>
            <w:r>
              <w:rPr>
                <w:sz w:val="18"/>
              </w:rPr>
              <w:t>12.3%</w:t>
            </w:r>
          </w:p>
          <w:p>
            <w:pPr>
              <w:pStyle w:val="TableParagraph"/>
              <w:spacing w:before="119"/>
              <w:ind w:left="171" w:right="162"/>
              <w:jc w:val="center"/>
              <w:rPr>
                <w:sz w:val="18"/>
              </w:rPr>
            </w:pPr>
            <w:r>
              <w:rPr>
                <w:sz w:val="18"/>
              </w:rPr>
              <w:t>4.1%</w:t>
            </w:r>
          </w:p>
          <w:p>
            <w:pPr>
              <w:pStyle w:val="TableParagraph"/>
              <w:spacing w:before="121"/>
              <w:ind w:left="171" w:right="162"/>
              <w:jc w:val="center"/>
              <w:rPr>
                <w:sz w:val="18"/>
              </w:rPr>
            </w:pPr>
            <w:r>
              <w:rPr>
                <w:sz w:val="18"/>
              </w:rPr>
              <w:t>9.9%</w:t>
            </w:r>
          </w:p>
          <w:p>
            <w:pPr>
              <w:pStyle w:val="TableParagraph"/>
              <w:spacing w:before="119"/>
              <w:ind w:left="171" w:right="162"/>
              <w:jc w:val="center"/>
              <w:rPr>
                <w:sz w:val="18"/>
              </w:rPr>
            </w:pPr>
            <w:r>
              <w:rPr>
                <w:sz w:val="18"/>
              </w:rPr>
              <w:t>10.4%</w:t>
            </w:r>
          </w:p>
          <w:p>
            <w:pPr>
              <w:pStyle w:val="TableParagraph"/>
              <w:spacing w:before="121"/>
              <w:ind w:left="171" w:right="162"/>
              <w:jc w:val="center"/>
              <w:rPr>
                <w:sz w:val="18"/>
              </w:rPr>
            </w:pPr>
            <w:r>
              <w:rPr>
                <w:sz w:val="18"/>
              </w:rPr>
              <w:t>12.4%</w:t>
            </w:r>
          </w:p>
        </w:tc>
      </w:tr>
      <w:tr>
        <w:trPr>
          <w:trHeight w:val="1819" w:hRule="atLeast"/>
        </w:trPr>
        <w:tc>
          <w:tcPr>
            <w:tcW w:w="1471" w:type="dxa"/>
          </w:tcPr>
          <w:p>
            <w:pPr>
              <w:pStyle w:val="TableParagraph"/>
              <w:spacing w:line="372" w:lineRule="auto" w:before="121"/>
              <w:ind w:left="247" w:right="238"/>
              <w:jc w:val="center"/>
              <w:rPr>
                <w:sz w:val="18"/>
              </w:rPr>
            </w:pPr>
            <w:r>
              <w:rPr>
                <w:b/>
                <w:sz w:val="18"/>
              </w:rPr>
              <w:t>NED </w:t>
            </w:r>
            <w:r>
              <w:rPr>
                <w:b/>
                <w:spacing w:val="-3"/>
                <w:sz w:val="18"/>
              </w:rPr>
              <w:t>(yellow) </w:t>
            </w:r>
            <w:r>
              <w:rPr>
                <w:sz w:val="18"/>
              </w:rPr>
              <w:t>D19S433 VWA</w:t>
            </w:r>
          </w:p>
          <w:p>
            <w:pPr>
              <w:pStyle w:val="TableParagraph"/>
              <w:spacing w:line="216" w:lineRule="exact"/>
              <w:ind w:left="246" w:right="237"/>
              <w:jc w:val="center"/>
              <w:rPr>
                <w:sz w:val="18"/>
              </w:rPr>
            </w:pPr>
            <w:r>
              <w:rPr>
                <w:sz w:val="18"/>
              </w:rPr>
              <w:t>TPOX</w:t>
            </w:r>
          </w:p>
          <w:p>
            <w:pPr>
              <w:pStyle w:val="TableParagraph"/>
              <w:spacing w:before="121"/>
              <w:ind w:left="244" w:right="237"/>
              <w:jc w:val="center"/>
              <w:rPr>
                <w:sz w:val="18"/>
              </w:rPr>
            </w:pPr>
            <w:r>
              <w:rPr>
                <w:sz w:val="18"/>
              </w:rPr>
              <w:t>D18S51</w:t>
            </w:r>
          </w:p>
        </w:tc>
        <w:tc>
          <w:tcPr>
            <w:tcW w:w="2955" w:type="dxa"/>
          </w:tcPr>
          <w:p>
            <w:pPr>
              <w:pStyle w:val="TableParagraph"/>
              <w:ind w:left="0"/>
              <w:rPr>
                <w:sz w:val="18"/>
              </w:rPr>
            </w:pPr>
          </w:p>
          <w:p>
            <w:pPr>
              <w:pStyle w:val="TableParagraph"/>
              <w:spacing w:before="7"/>
              <w:ind w:left="0"/>
              <w:rPr>
                <w:sz w:val="19"/>
              </w:rPr>
            </w:pPr>
          </w:p>
          <w:p>
            <w:pPr>
              <w:pStyle w:val="TableParagraph"/>
              <w:spacing w:before="1"/>
              <w:ind w:left="171" w:right="162"/>
              <w:jc w:val="center"/>
              <w:rPr>
                <w:sz w:val="18"/>
              </w:rPr>
            </w:pPr>
            <w:r>
              <w:rPr>
                <w:sz w:val="18"/>
              </w:rPr>
              <w:t>11.2%</w:t>
            </w:r>
          </w:p>
          <w:p>
            <w:pPr>
              <w:pStyle w:val="TableParagraph"/>
              <w:spacing w:before="121"/>
              <w:ind w:left="171" w:right="162"/>
              <w:jc w:val="center"/>
              <w:rPr>
                <w:sz w:val="18"/>
              </w:rPr>
            </w:pPr>
            <w:r>
              <w:rPr>
                <w:sz w:val="18"/>
              </w:rPr>
              <w:t>12.5%</w:t>
            </w:r>
          </w:p>
          <w:p>
            <w:pPr>
              <w:pStyle w:val="TableParagraph"/>
              <w:spacing w:before="118"/>
              <w:ind w:left="171" w:right="162"/>
              <w:jc w:val="center"/>
              <w:rPr>
                <w:sz w:val="18"/>
              </w:rPr>
            </w:pPr>
            <w:r>
              <w:rPr>
                <w:sz w:val="18"/>
              </w:rPr>
              <w:t>6.4%</w:t>
            </w:r>
          </w:p>
          <w:p>
            <w:pPr>
              <w:pStyle w:val="TableParagraph"/>
              <w:spacing w:before="122"/>
              <w:ind w:left="171" w:right="162"/>
              <w:jc w:val="center"/>
              <w:rPr>
                <w:sz w:val="18"/>
              </w:rPr>
            </w:pPr>
            <w:r>
              <w:rPr>
                <w:sz w:val="18"/>
              </w:rPr>
              <w:t>13.7%</w:t>
            </w:r>
          </w:p>
        </w:tc>
      </w:tr>
      <w:tr>
        <w:trPr>
          <w:trHeight w:val="1139" w:hRule="atLeast"/>
        </w:trPr>
        <w:tc>
          <w:tcPr>
            <w:tcW w:w="1471" w:type="dxa"/>
          </w:tcPr>
          <w:p>
            <w:pPr>
              <w:pStyle w:val="TableParagraph"/>
              <w:spacing w:before="121"/>
              <w:ind w:left="395"/>
              <w:rPr>
                <w:b/>
                <w:sz w:val="18"/>
              </w:rPr>
            </w:pPr>
            <w:r>
              <w:rPr>
                <w:b/>
                <w:sz w:val="18"/>
              </w:rPr>
              <w:t>PET (red)</w:t>
            </w:r>
          </w:p>
          <w:p>
            <w:pPr>
              <w:pStyle w:val="TableParagraph"/>
              <w:spacing w:line="340" w:lineRule="exact" w:before="18"/>
              <w:ind w:left="585" w:right="427" w:hanging="130"/>
              <w:rPr>
                <w:sz w:val="18"/>
              </w:rPr>
            </w:pPr>
            <w:r>
              <w:rPr>
                <w:sz w:val="18"/>
              </w:rPr>
              <w:t>D5S818 FGA</w:t>
            </w:r>
          </w:p>
        </w:tc>
        <w:tc>
          <w:tcPr>
            <w:tcW w:w="2955" w:type="dxa"/>
          </w:tcPr>
          <w:p>
            <w:pPr>
              <w:pStyle w:val="TableParagraph"/>
              <w:ind w:left="0"/>
              <w:rPr>
                <w:sz w:val="18"/>
              </w:rPr>
            </w:pPr>
          </w:p>
          <w:p>
            <w:pPr>
              <w:pStyle w:val="TableParagraph"/>
              <w:spacing w:before="7"/>
              <w:ind w:left="0"/>
              <w:rPr>
                <w:sz w:val="19"/>
              </w:rPr>
            </w:pPr>
          </w:p>
          <w:p>
            <w:pPr>
              <w:pStyle w:val="TableParagraph"/>
              <w:spacing w:before="1"/>
              <w:ind w:left="171" w:right="162"/>
              <w:jc w:val="center"/>
              <w:rPr>
                <w:sz w:val="18"/>
              </w:rPr>
            </w:pPr>
            <w:r>
              <w:rPr>
                <w:sz w:val="18"/>
              </w:rPr>
              <w:t>10.1%</w:t>
            </w:r>
          </w:p>
          <w:p>
            <w:pPr>
              <w:pStyle w:val="TableParagraph"/>
              <w:spacing w:before="121"/>
              <w:ind w:left="171" w:right="162"/>
              <w:jc w:val="center"/>
              <w:rPr>
                <w:sz w:val="18"/>
              </w:rPr>
            </w:pPr>
            <w:r>
              <w:rPr>
                <w:sz w:val="18"/>
              </w:rPr>
              <w:t>13.0%</w:t>
            </w:r>
          </w:p>
        </w:tc>
      </w:tr>
    </w:tbl>
    <w:p>
      <w:pPr>
        <w:pStyle w:val="BodyText"/>
        <w:spacing w:before="117"/>
        <w:ind w:left="228" w:right="225"/>
      </w:pPr>
      <w:r>
        <w:rPr/>
        <w:t>The manufacturer’s recommended stutter filters for Identifiler® Plus loci will be employed until an in-house stutter study is complete. A global stutter filter of 20% will be used for Identifiler® Direct loci based on the internal Identifiler® Direct validation study.</w:t>
      </w:r>
    </w:p>
    <w:p>
      <w:pPr>
        <w:pStyle w:val="BodyText"/>
        <w:spacing w:before="8"/>
        <w:ind w:left="0"/>
        <w:jc w:val="left"/>
        <w:rPr>
          <w:sz w:val="19"/>
        </w:rPr>
      </w:pPr>
    </w:p>
    <w:p>
      <w:pPr>
        <w:pStyle w:val="Heading3"/>
        <w:ind w:left="228" w:firstLine="0"/>
        <w:rPr>
          <w:i/>
        </w:rPr>
      </w:pPr>
      <w:r>
        <w:rPr>
          <w:i/>
        </w:rPr>
        <w:t>Spikes:</w:t>
      </w:r>
    </w:p>
    <w:p>
      <w:pPr>
        <w:pStyle w:val="BodyText"/>
        <w:ind w:left="228" w:right="217"/>
      </w:pPr>
      <w:r>
        <w:rPr/>
        <w:t>Spikes are random events that may be observed on an electropherogram. They are generally tall, thin peaks observed in most or all of the dye colors at the same base pair location. Peak height (RFU) usually varies between dye colors. If spikes occur in diagnostic regions or negative controls, the sample should be re- injected and/or retested. Note that artifacts and spikes can occur in a single dye color.</w:t>
      </w:r>
    </w:p>
    <w:p>
      <w:pPr>
        <w:pStyle w:val="BodyText"/>
        <w:spacing w:before="9"/>
        <w:ind w:left="0"/>
        <w:jc w:val="left"/>
        <w:rPr>
          <w:sz w:val="19"/>
        </w:rPr>
      </w:pPr>
    </w:p>
    <w:p>
      <w:pPr>
        <w:pStyle w:val="Heading3"/>
        <w:ind w:left="228" w:firstLine="0"/>
        <w:rPr>
          <w:i/>
        </w:rPr>
      </w:pPr>
      <w:r>
        <w:rPr>
          <w:i/>
        </w:rPr>
        <w:t>Dye Blobs:</w:t>
      </w:r>
    </w:p>
    <w:p>
      <w:pPr>
        <w:pStyle w:val="BodyText"/>
        <w:spacing w:before="118"/>
        <w:ind w:left="228" w:right="221"/>
      </w:pPr>
      <w:r>
        <w:rPr/>
        <w:t>Dye blobs generally occur between 60 and 90 base pairs, but can occasionally occur outside this range. Dye blobs generally appear as a broad peak in a single color. If dye blobs occur in diagnostic regions or negative controls, the sample should be re-injected and/or retested. If the dye blob is still present after re-injection or retesting, the sample may need to be re-amplified using a new AmpF</w:t>
      </w:r>
      <w:r>
        <w:rPr>
          <w:i/>
        </w:rPr>
        <w:t>l</w:t>
      </w:r>
      <w:r>
        <w:rPr/>
        <w:t>STR® kit. In the instance that a dye blob is seen and known to occur over many samples, re-injection or re-testing may not be</w:t>
      </w:r>
      <w:r>
        <w:rPr>
          <w:spacing w:val="-24"/>
        </w:rPr>
        <w:t> </w:t>
      </w:r>
      <w:r>
        <w:rPr/>
        <w:t>necessary.</w:t>
      </w:r>
    </w:p>
    <w:p>
      <w:pPr>
        <w:spacing w:after="0"/>
        <w:sectPr>
          <w:pgSz w:w="12240" w:h="15840"/>
          <w:pgMar w:header="734" w:footer="810" w:top="1840" w:bottom="1000" w:left="1500" w:right="580"/>
        </w:sectPr>
      </w:pPr>
    </w:p>
    <w:p>
      <w:pPr>
        <w:pStyle w:val="Heading3"/>
        <w:spacing w:before="61"/>
        <w:ind w:left="228" w:firstLine="0"/>
        <w:jc w:val="both"/>
        <w:rPr>
          <w:i/>
        </w:rPr>
      </w:pPr>
      <w:r>
        <w:rPr>
          <w:i/>
        </w:rPr>
        <w:t>Pull-up (bleedthrough):</w:t>
      </w:r>
    </w:p>
    <w:p>
      <w:pPr>
        <w:pStyle w:val="BodyText"/>
        <w:ind w:left="228" w:right="226"/>
      </w:pPr>
      <w:r>
        <w:rPr/>
        <w:t>Unusually high pull-up or extra peaks can be caused by oversaturation of the system or a problem with the matrix. Pull-up peaks are a result of the matrix not correcting for all the spectral overlap. These peaks are easily recognized by overlaying the colors and observing the alignment of peaks at the same data point or evaluating the sample’s raw data. If an ongoing matrix problem exists, a new spectral must be run, applied and the samples retested.</w:t>
      </w:r>
    </w:p>
    <w:p>
      <w:pPr>
        <w:pStyle w:val="BodyText"/>
        <w:spacing w:before="9"/>
        <w:ind w:left="0"/>
        <w:jc w:val="left"/>
        <w:rPr>
          <w:sz w:val="19"/>
        </w:rPr>
      </w:pPr>
    </w:p>
    <w:p>
      <w:pPr>
        <w:pStyle w:val="Heading3"/>
        <w:ind w:left="228" w:firstLine="0"/>
        <w:jc w:val="both"/>
        <w:rPr>
          <w:i/>
        </w:rPr>
      </w:pPr>
      <w:r>
        <w:rPr>
          <w:i/>
        </w:rPr>
        <w:t>Artifacts:</w:t>
      </w:r>
    </w:p>
    <w:p>
      <w:pPr>
        <w:pStyle w:val="BodyText"/>
        <w:spacing w:before="120"/>
        <w:ind w:left="228" w:right="225"/>
      </w:pPr>
      <w:r>
        <w:rPr/>
        <w:t>Artifacts have not been observed in data produced using the Identifiler® Plus or Identifiler® Direct kits according to their respective User Manuals. However, analysts should be aware for the possibility of artifacts when interpreting</w:t>
      </w:r>
      <w:r>
        <w:rPr>
          <w:spacing w:val="-5"/>
        </w:rPr>
        <w:t> </w:t>
      </w:r>
      <w:r>
        <w:rPr/>
        <w:t>data.</w:t>
      </w:r>
    </w:p>
    <w:p>
      <w:pPr>
        <w:pStyle w:val="BodyText"/>
        <w:spacing w:before="7"/>
        <w:ind w:left="0"/>
        <w:jc w:val="left"/>
        <w:rPr>
          <w:sz w:val="19"/>
        </w:rPr>
      </w:pPr>
    </w:p>
    <w:p>
      <w:pPr>
        <w:pStyle w:val="Heading3"/>
        <w:ind w:left="228" w:firstLine="0"/>
        <w:jc w:val="both"/>
        <w:rPr>
          <w:i/>
        </w:rPr>
      </w:pPr>
      <w:r>
        <w:rPr>
          <w:i/>
        </w:rPr>
        <w:t>Split Peaks/Minus A:</w:t>
      </w:r>
    </w:p>
    <w:p>
      <w:pPr>
        <w:pStyle w:val="BodyText"/>
        <w:spacing w:before="120"/>
        <w:ind w:left="228" w:right="228"/>
      </w:pPr>
      <w:r>
        <w:rPr/>
        <w:t>Taq polymerase catalyzes the addition of a single nucleotide (predominantly adenosine) to the 3’ ends of double stranded PCR products. This non-template addition results in a PCR product that is one base pair longer than the actual target sequence (+A). Split peaks and minus A are a result of the incomplete addition of an adenosine, where each allele is represented by two peaks one base pair apart (-A and +A).</w:t>
      </w:r>
    </w:p>
    <w:p>
      <w:pPr>
        <w:pStyle w:val="BodyText"/>
        <w:ind w:left="228" w:right="221"/>
      </w:pPr>
      <w:r>
        <w:rPr/>
        <w:t>Lack of full A nucleotide addition may be observed when the amount of input DNA is greater than recommended. This occurs because more time is needed for the Taq polymerase to add the A nucleotide to all molecules with each cycle. Amplification of too much input DNA will also result in off-scale data. Sample tubes with excess PCR product may be diluted, or re-amplified using less input DNA and then re-injected.</w:t>
      </w:r>
    </w:p>
    <w:p>
      <w:pPr>
        <w:pStyle w:val="BodyText"/>
        <w:spacing w:before="7"/>
        <w:ind w:left="0"/>
        <w:jc w:val="left"/>
        <w:rPr>
          <w:sz w:val="19"/>
        </w:rPr>
      </w:pPr>
    </w:p>
    <w:p>
      <w:pPr>
        <w:pStyle w:val="Heading3"/>
        <w:ind w:left="228" w:firstLine="0"/>
        <w:jc w:val="both"/>
        <w:rPr>
          <w:i/>
        </w:rPr>
      </w:pPr>
      <w:r>
        <w:rPr>
          <w:i/>
        </w:rPr>
        <w:t>Off-Ladder Alleles:</w:t>
      </w:r>
    </w:p>
    <w:p>
      <w:pPr>
        <w:pStyle w:val="BodyText"/>
        <w:ind w:left="228" w:right="223"/>
      </w:pPr>
      <w:r>
        <w:rPr/>
        <w:t>An off-ladder allele may be the result of one of the artifacts listed above, overloading, or may occur if a sample has gone through temperature changes while running. A true off-ladder allele occurs when a person’s genotype at a particular locus is not documented by the ladder. Typically, these samples are re- injected or re-tested to confirm the sizing and allele designation except when the off-ladder allele observed in the known sample matches another sample taken from the same individual. To estimate the size of an off-ladder allele, compare the base pair sizes of the closest ladder fragments with the base pair size of the off-ladder allele. If an off-ladder allele falls outside of the range of the allelic ladder, it may be reported as greater than the highest allele or less than the lowest allele in the ladder at that locus.</w:t>
      </w:r>
    </w:p>
    <w:p>
      <w:pPr>
        <w:pStyle w:val="BodyText"/>
        <w:spacing w:before="7"/>
        <w:ind w:left="0"/>
        <w:jc w:val="left"/>
        <w:rPr>
          <w:sz w:val="19"/>
        </w:rPr>
      </w:pPr>
    </w:p>
    <w:p>
      <w:pPr>
        <w:pStyle w:val="Heading2"/>
        <w:numPr>
          <w:ilvl w:val="0"/>
          <w:numId w:val="2"/>
        </w:numPr>
        <w:tabs>
          <w:tab w:pos="526" w:val="left" w:leader="none"/>
        </w:tabs>
        <w:spacing w:line="240" w:lineRule="auto" w:before="0" w:after="0"/>
        <w:ind w:left="526" w:right="0" w:hanging="298"/>
        <w:jc w:val="both"/>
      </w:pPr>
      <w:r>
        <w:rPr>
          <w:u w:val="single"/>
        </w:rPr>
        <w:t>CONCLUSIONS AND PROFILE</w:t>
      </w:r>
      <w:r>
        <w:rPr>
          <w:spacing w:val="-7"/>
          <w:u w:val="single"/>
        </w:rPr>
        <w:t> </w:t>
      </w:r>
      <w:r>
        <w:rPr>
          <w:u w:val="single"/>
        </w:rPr>
        <w:t>COMPARISON</w:t>
      </w:r>
    </w:p>
    <w:p>
      <w:pPr>
        <w:pStyle w:val="BodyText"/>
        <w:ind w:left="228" w:right="230"/>
      </w:pPr>
      <w:r>
        <w:rPr/>
        <w:t>The report should state whether a sample contains a mixture or possible mixture of DNA and, if possible, the minimum number of individuals who could be possible contributors to the</w:t>
      </w:r>
      <w:r>
        <w:rPr>
          <w:spacing w:val="-13"/>
        </w:rPr>
        <w:t> </w:t>
      </w:r>
      <w:r>
        <w:rPr/>
        <w:t>mixture.</w:t>
      </w:r>
    </w:p>
    <w:p>
      <w:pPr>
        <w:pStyle w:val="ListParagraph"/>
        <w:numPr>
          <w:ilvl w:val="1"/>
          <w:numId w:val="2"/>
        </w:numPr>
        <w:tabs>
          <w:tab w:pos="949" w:val="left" w:leader="none"/>
        </w:tabs>
        <w:spacing w:line="240" w:lineRule="auto" w:before="121" w:after="0"/>
        <w:ind w:left="948" w:right="224" w:hanging="360"/>
        <w:jc w:val="both"/>
        <w:rPr>
          <w:sz w:val="22"/>
        </w:rPr>
      </w:pPr>
      <w:r>
        <w:rPr>
          <w:b/>
          <w:sz w:val="22"/>
        </w:rPr>
        <w:t>Single Contributor: </w:t>
      </w:r>
      <w:r>
        <w:rPr>
          <w:sz w:val="22"/>
        </w:rPr>
        <w:t>A sample is considered to be from a single contributor when the number of alleles at each autosomal locus and peak height ratios are consistent with a profile from a single contributor (e.g., one or two alleles at each autosomal locus,</w:t>
      </w:r>
      <w:r>
        <w:rPr>
          <w:spacing w:val="-16"/>
          <w:sz w:val="22"/>
        </w:rPr>
        <w:t> </w:t>
      </w:r>
      <w:r>
        <w:rPr>
          <w:sz w:val="22"/>
        </w:rPr>
        <w:t>PHR≥55%).</w:t>
      </w:r>
    </w:p>
    <w:p>
      <w:pPr>
        <w:pStyle w:val="ListParagraph"/>
        <w:numPr>
          <w:ilvl w:val="1"/>
          <w:numId w:val="2"/>
        </w:numPr>
        <w:tabs>
          <w:tab w:pos="949" w:val="left" w:leader="none"/>
        </w:tabs>
        <w:spacing w:line="240" w:lineRule="auto" w:before="121" w:after="0"/>
        <w:ind w:left="948" w:right="223" w:hanging="360"/>
        <w:jc w:val="both"/>
        <w:rPr>
          <w:sz w:val="22"/>
        </w:rPr>
      </w:pPr>
      <w:r>
        <w:rPr>
          <w:b/>
          <w:sz w:val="22"/>
        </w:rPr>
        <w:t>Mixtures with Major/Minor Components: </w:t>
      </w:r>
      <w:r>
        <w:rPr>
          <w:sz w:val="22"/>
        </w:rPr>
        <w:t>A sample is considered a mixture of major and minor contributors when there is a large difference in peak heights between a major and minor component and the genotypes of the major component are easily inferred. In this situation, the major contributor is considered to be from a single contributor. For autosomal STR analysis, the minor genotypes can only be determined if three or four alleles are present at a locus (depending  on</w:t>
      </w:r>
      <w:r>
        <w:rPr>
          <w:spacing w:val="15"/>
          <w:sz w:val="22"/>
        </w:rPr>
        <w:t> </w:t>
      </w:r>
      <w:r>
        <w:rPr>
          <w:sz w:val="22"/>
        </w:rPr>
        <w:t>whether</w:t>
      </w:r>
      <w:r>
        <w:rPr>
          <w:spacing w:val="17"/>
          <w:sz w:val="22"/>
        </w:rPr>
        <w:t> </w:t>
      </w:r>
      <w:r>
        <w:rPr>
          <w:sz w:val="22"/>
        </w:rPr>
        <w:t>the</w:t>
      </w:r>
      <w:r>
        <w:rPr>
          <w:spacing w:val="14"/>
          <w:sz w:val="22"/>
        </w:rPr>
        <w:t> </w:t>
      </w:r>
      <w:r>
        <w:rPr>
          <w:sz w:val="22"/>
        </w:rPr>
        <w:t>major</w:t>
      </w:r>
      <w:r>
        <w:rPr>
          <w:spacing w:val="16"/>
          <w:sz w:val="22"/>
        </w:rPr>
        <w:t> </w:t>
      </w:r>
      <w:r>
        <w:rPr>
          <w:sz w:val="22"/>
        </w:rPr>
        <w:t>component</w:t>
      </w:r>
      <w:r>
        <w:rPr>
          <w:spacing w:val="17"/>
          <w:sz w:val="22"/>
        </w:rPr>
        <w:t> </w:t>
      </w:r>
      <w:r>
        <w:rPr>
          <w:sz w:val="22"/>
        </w:rPr>
        <w:t>is</w:t>
      </w:r>
      <w:r>
        <w:rPr>
          <w:spacing w:val="17"/>
          <w:sz w:val="22"/>
        </w:rPr>
        <w:t> </w:t>
      </w:r>
      <w:r>
        <w:rPr>
          <w:sz w:val="22"/>
        </w:rPr>
        <w:t>a</w:t>
      </w:r>
      <w:r>
        <w:rPr>
          <w:spacing w:val="16"/>
          <w:sz w:val="22"/>
        </w:rPr>
        <w:t> </w:t>
      </w:r>
      <w:r>
        <w:rPr>
          <w:sz w:val="22"/>
        </w:rPr>
        <w:t>homozygote</w:t>
      </w:r>
      <w:r>
        <w:rPr>
          <w:spacing w:val="15"/>
          <w:sz w:val="22"/>
        </w:rPr>
        <w:t> </w:t>
      </w:r>
      <w:r>
        <w:rPr>
          <w:sz w:val="22"/>
        </w:rPr>
        <w:t>or</w:t>
      </w:r>
      <w:r>
        <w:rPr>
          <w:spacing w:val="17"/>
          <w:sz w:val="22"/>
        </w:rPr>
        <w:t> </w:t>
      </w:r>
      <w:r>
        <w:rPr>
          <w:sz w:val="22"/>
        </w:rPr>
        <w:t>heterozygote)</w:t>
      </w:r>
      <w:r>
        <w:rPr>
          <w:spacing w:val="16"/>
          <w:sz w:val="22"/>
        </w:rPr>
        <w:t> </w:t>
      </w:r>
      <w:r>
        <w:rPr>
          <w:sz w:val="22"/>
        </w:rPr>
        <w:t>because</w:t>
      </w:r>
      <w:r>
        <w:rPr>
          <w:spacing w:val="15"/>
          <w:sz w:val="22"/>
        </w:rPr>
        <w:t> </w:t>
      </w:r>
      <w:r>
        <w:rPr>
          <w:sz w:val="22"/>
        </w:rPr>
        <w:t>other</w:t>
      </w:r>
      <w:r>
        <w:rPr>
          <w:spacing w:val="17"/>
          <w:sz w:val="22"/>
        </w:rPr>
        <w:t> </w:t>
      </w:r>
      <w:r>
        <w:rPr>
          <w:sz w:val="22"/>
        </w:rPr>
        <w:t>alleles</w:t>
      </w:r>
      <w:r>
        <w:rPr>
          <w:spacing w:val="14"/>
          <w:sz w:val="22"/>
        </w:rPr>
        <w:t> </w:t>
      </w:r>
      <w:r>
        <w:rPr>
          <w:sz w:val="22"/>
        </w:rPr>
        <w:t>may</w:t>
      </w:r>
      <w:r>
        <w:rPr>
          <w:spacing w:val="17"/>
          <w:sz w:val="22"/>
        </w:rPr>
        <w:t> </w:t>
      </w:r>
      <w:r>
        <w:rPr>
          <w:sz w:val="22"/>
        </w:rPr>
        <w:t>be</w:t>
      </w:r>
    </w:p>
    <w:p>
      <w:pPr>
        <w:spacing w:after="0" w:line="240" w:lineRule="auto"/>
        <w:jc w:val="both"/>
        <w:rPr>
          <w:sz w:val="22"/>
        </w:rPr>
        <w:sectPr>
          <w:pgSz w:w="12240" w:h="15840"/>
          <w:pgMar w:header="734" w:footer="810" w:top="1840" w:bottom="1000" w:left="1500" w:right="580"/>
        </w:sectPr>
      </w:pPr>
    </w:p>
    <w:p>
      <w:pPr>
        <w:pStyle w:val="BodyText"/>
        <w:spacing w:before="61"/>
        <w:jc w:val="left"/>
      </w:pPr>
      <w:r>
        <w:rPr/>
        <w:t>masked by the major component alleles.</w:t>
      </w:r>
    </w:p>
    <w:p>
      <w:pPr>
        <w:pStyle w:val="ListParagraph"/>
        <w:numPr>
          <w:ilvl w:val="1"/>
          <w:numId w:val="2"/>
        </w:numPr>
        <w:tabs>
          <w:tab w:pos="949" w:val="left" w:leader="none"/>
        </w:tabs>
        <w:spacing w:line="240" w:lineRule="auto" w:before="121" w:after="0"/>
        <w:ind w:left="948" w:right="222" w:hanging="360"/>
        <w:jc w:val="both"/>
        <w:rPr>
          <w:sz w:val="22"/>
        </w:rPr>
      </w:pPr>
      <w:r>
        <w:rPr>
          <w:b/>
          <w:sz w:val="22"/>
        </w:rPr>
        <w:t>Mixtures with a Known Contributor: </w:t>
      </w:r>
      <w:r>
        <w:rPr>
          <w:sz w:val="22"/>
        </w:rPr>
        <w:t>When a sample is a mixture of two components and the source of one component is known (e.g., vaginal epithelial cell carryover into a sperm fraction), the genetic profile of the unknown contributor may be inferred. This can be accomplished by subtracting the contribution of the known donor from the mixed</w:t>
      </w:r>
      <w:r>
        <w:rPr>
          <w:spacing w:val="-16"/>
          <w:sz w:val="22"/>
        </w:rPr>
        <w:t> </w:t>
      </w:r>
      <w:r>
        <w:rPr>
          <w:sz w:val="22"/>
        </w:rPr>
        <w:t>profile.</w:t>
      </w:r>
    </w:p>
    <w:p>
      <w:pPr>
        <w:pStyle w:val="ListParagraph"/>
        <w:numPr>
          <w:ilvl w:val="1"/>
          <w:numId w:val="2"/>
        </w:numPr>
        <w:tabs>
          <w:tab w:pos="949" w:val="left" w:leader="none"/>
        </w:tabs>
        <w:spacing w:line="240" w:lineRule="auto" w:before="121" w:after="0"/>
        <w:ind w:left="948" w:right="223" w:hanging="360"/>
        <w:jc w:val="both"/>
        <w:rPr>
          <w:sz w:val="22"/>
        </w:rPr>
      </w:pPr>
      <w:r>
        <w:rPr>
          <w:b/>
          <w:sz w:val="22"/>
        </w:rPr>
        <w:t>Mixtures with Indistinguishable Contributors: </w:t>
      </w:r>
      <w:r>
        <w:rPr>
          <w:sz w:val="22"/>
        </w:rPr>
        <w:t>When major and minor contributors cannot be distinguished because of similarity in signal intensities or the presence of shared or masked alleles, individuals are simply included or excluded as possible contributors. A statistical calculation may be performed to supplement the inclusion/exclusion and provide weight (or lack thereof) to the evidence.</w:t>
      </w:r>
    </w:p>
    <w:p>
      <w:pPr>
        <w:pStyle w:val="BodyText"/>
        <w:spacing w:before="8"/>
        <w:ind w:left="0"/>
        <w:jc w:val="left"/>
        <w:rPr>
          <w:sz w:val="19"/>
        </w:rPr>
      </w:pPr>
    </w:p>
    <w:p>
      <w:pPr>
        <w:pStyle w:val="BodyText"/>
        <w:spacing w:before="0"/>
        <w:ind w:left="228"/>
        <w:jc w:val="left"/>
      </w:pPr>
      <w:r>
        <w:rPr/>
        <w:t>Where applicable, evidence DNA profiles are then compared to reference DNA profiles. The following are possible conclusions:</w:t>
      </w:r>
    </w:p>
    <w:p>
      <w:pPr>
        <w:pStyle w:val="ListParagraph"/>
        <w:numPr>
          <w:ilvl w:val="1"/>
          <w:numId w:val="2"/>
        </w:numPr>
        <w:tabs>
          <w:tab w:pos="949" w:val="left" w:leader="none"/>
        </w:tabs>
        <w:spacing w:line="240" w:lineRule="auto" w:before="121" w:after="0"/>
        <w:ind w:left="948" w:right="220" w:hanging="360"/>
        <w:jc w:val="both"/>
        <w:rPr>
          <w:sz w:val="22"/>
        </w:rPr>
      </w:pPr>
      <w:r>
        <w:rPr>
          <w:sz w:val="22"/>
        </w:rPr>
        <w:t>Inclusion (“match”) – the evidence and reference samples have the same genotypes at every locus tested.</w:t>
      </w:r>
    </w:p>
    <w:p>
      <w:pPr>
        <w:pStyle w:val="ListParagraph"/>
        <w:numPr>
          <w:ilvl w:val="1"/>
          <w:numId w:val="2"/>
        </w:numPr>
        <w:tabs>
          <w:tab w:pos="949" w:val="left" w:leader="none"/>
        </w:tabs>
        <w:spacing w:line="237" w:lineRule="auto" w:before="122" w:after="0"/>
        <w:ind w:left="948" w:right="225" w:hanging="360"/>
        <w:jc w:val="both"/>
        <w:rPr>
          <w:sz w:val="22"/>
        </w:rPr>
      </w:pPr>
      <w:r>
        <w:rPr>
          <w:sz w:val="22"/>
        </w:rPr>
        <w:t>Exclusion (“nonmatch”) – the evidence and reference samples have different genotypes at some or every locus</w:t>
      </w:r>
      <w:r>
        <w:rPr>
          <w:spacing w:val="-4"/>
          <w:sz w:val="22"/>
        </w:rPr>
        <w:t> </w:t>
      </w:r>
      <w:r>
        <w:rPr>
          <w:sz w:val="22"/>
        </w:rPr>
        <w:t>tested.</w:t>
      </w:r>
    </w:p>
    <w:p>
      <w:pPr>
        <w:pStyle w:val="ListParagraph"/>
        <w:numPr>
          <w:ilvl w:val="1"/>
          <w:numId w:val="2"/>
        </w:numPr>
        <w:tabs>
          <w:tab w:pos="949" w:val="left" w:leader="none"/>
        </w:tabs>
        <w:spacing w:line="240" w:lineRule="auto" w:before="122" w:after="0"/>
        <w:ind w:left="948" w:right="229" w:hanging="360"/>
        <w:jc w:val="both"/>
        <w:rPr>
          <w:sz w:val="22"/>
        </w:rPr>
      </w:pPr>
      <w:r>
        <w:rPr>
          <w:sz w:val="22"/>
        </w:rPr>
        <w:t>Inconclusive – the test results from the evidence sample are ambiguous making a determination of inclusion or exclusion</w:t>
      </w:r>
      <w:r>
        <w:rPr>
          <w:spacing w:val="-6"/>
          <w:sz w:val="22"/>
        </w:rPr>
        <w:t> </w:t>
      </w:r>
      <w:r>
        <w:rPr>
          <w:sz w:val="22"/>
        </w:rPr>
        <w:t>difficult.</w:t>
      </w:r>
    </w:p>
    <w:p>
      <w:pPr>
        <w:pStyle w:val="ListParagraph"/>
        <w:numPr>
          <w:ilvl w:val="1"/>
          <w:numId w:val="2"/>
        </w:numPr>
        <w:tabs>
          <w:tab w:pos="948" w:val="left" w:leader="none"/>
          <w:tab w:pos="949" w:val="left" w:leader="none"/>
        </w:tabs>
        <w:spacing w:line="240" w:lineRule="auto" w:before="121" w:after="0"/>
        <w:ind w:left="948" w:right="0" w:hanging="360"/>
        <w:jc w:val="left"/>
        <w:rPr>
          <w:sz w:val="22"/>
        </w:rPr>
      </w:pPr>
      <w:r>
        <w:rPr>
          <w:sz w:val="22"/>
        </w:rPr>
        <w:t>No results – no results are obtained from an evidence</w:t>
      </w:r>
      <w:r>
        <w:rPr>
          <w:spacing w:val="-4"/>
          <w:sz w:val="22"/>
        </w:rPr>
        <w:t> </w:t>
      </w:r>
      <w:r>
        <w:rPr>
          <w:sz w:val="22"/>
        </w:rPr>
        <w:t>sample.</w:t>
      </w:r>
    </w:p>
    <w:p>
      <w:pPr>
        <w:pStyle w:val="BodyText"/>
        <w:spacing w:before="0"/>
        <w:ind w:left="0"/>
        <w:jc w:val="left"/>
        <w:rPr>
          <w:sz w:val="20"/>
        </w:rPr>
      </w:pPr>
    </w:p>
    <w:p>
      <w:pPr>
        <w:pStyle w:val="Heading1"/>
        <w:tabs>
          <w:tab w:pos="9961" w:val="left" w:leader="none"/>
        </w:tabs>
        <w:spacing w:before="193"/>
      </w:pPr>
      <w:r>
        <w:rPr>
          <w:spacing w:val="-26"/>
          <w:shd w:fill="CCCCCC" w:color="auto" w:val="clear"/>
        </w:rPr>
        <w:t> </w:t>
      </w:r>
      <w:r>
        <w:rPr>
          <w:shd w:fill="CCCCCC" w:color="auto" w:val="clear"/>
        </w:rPr>
        <w:t>Documentation</w:t>
        <w:tab/>
      </w:r>
    </w:p>
    <w:p>
      <w:pPr>
        <w:pStyle w:val="BodyText"/>
        <w:spacing w:before="58"/>
        <w:ind w:left="228"/>
        <w:jc w:val="left"/>
      </w:pPr>
      <w:r>
        <w:rPr/>
        <w:t>The appropriate worksheet(s) shall be generated and managed:</w:t>
      </w:r>
    </w:p>
    <w:p>
      <w:pPr>
        <w:pStyle w:val="BodyText"/>
        <w:spacing w:before="2"/>
        <w:ind w:left="0"/>
        <w:jc w:val="left"/>
        <w:rPr>
          <w:sz w:val="16"/>
        </w:rPr>
      </w:pPr>
    </w:p>
    <w:tbl>
      <w:tblPr>
        <w:tblW w:w="0" w:type="auto"/>
        <w:jc w:val="left"/>
        <w:tblInd w:w="2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37"/>
      </w:tblGrid>
      <w:tr>
        <w:trPr>
          <w:trHeight w:val="424" w:hRule="atLeast"/>
        </w:trPr>
        <w:tc>
          <w:tcPr>
            <w:tcW w:w="4637" w:type="dxa"/>
            <w:shd w:val="clear" w:color="auto" w:fill="CCCCCC"/>
          </w:tcPr>
          <w:p>
            <w:pPr>
              <w:pStyle w:val="TableParagraph"/>
              <w:spacing w:before="121"/>
              <w:ind w:left="1240"/>
              <w:rPr>
                <w:b/>
                <w:sz w:val="20"/>
              </w:rPr>
            </w:pPr>
            <w:r>
              <w:rPr>
                <w:b/>
                <w:sz w:val="20"/>
              </w:rPr>
              <w:t>Casework Documentation</w:t>
            </w:r>
          </w:p>
        </w:tc>
      </w:tr>
      <w:tr>
        <w:trPr>
          <w:trHeight w:val="668" w:hRule="atLeast"/>
        </w:trPr>
        <w:tc>
          <w:tcPr>
            <w:tcW w:w="4637" w:type="dxa"/>
          </w:tcPr>
          <w:p>
            <w:pPr>
              <w:pStyle w:val="TableParagraph"/>
              <w:spacing w:line="300" w:lineRule="atLeast" w:before="5"/>
              <w:ind w:left="1019" w:right="802" w:firstLine="340"/>
              <w:rPr>
                <w:sz w:val="20"/>
              </w:rPr>
            </w:pPr>
            <w:r>
              <w:rPr>
                <w:sz w:val="20"/>
              </w:rPr>
              <w:t>Batch Analysis Worksheet Mixture Interpretation Worksheet</w:t>
            </w:r>
          </w:p>
        </w:tc>
      </w:tr>
    </w:tbl>
    <w:p>
      <w:pPr>
        <w:pStyle w:val="BodyText"/>
        <w:spacing w:before="11"/>
        <w:ind w:left="0"/>
        <w:jc w:val="left"/>
        <w:rPr>
          <w:sz w:val="25"/>
        </w:rPr>
      </w:pPr>
    </w:p>
    <w:p>
      <w:pPr>
        <w:pStyle w:val="Heading1"/>
        <w:tabs>
          <w:tab w:pos="9961" w:val="left" w:leader="none"/>
        </w:tabs>
      </w:pPr>
      <w:r>
        <w:rPr>
          <w:spacing w:val="-26"/>
          <w:shd w:fill="CCCCCC" w:color="auto" w:val="clear"/>
        </w:rPr>
        <w:t> </w:t>
      </w:r>
      <w:r>
        <w:rPr>
          <w:shd w:fill="CCCCCC" w:color="auto" w:val="clear"/>
        </w:rPr>
        <w:t>References</w:t>
        <w:tab/>
      </w:r>
    </w:p>
    <w:p>
      <w:pPr>
        <w:pStyle w:val="ListParagraph"/>
        <w:numPr>
          <w:ilvl w:val="0"/>
          <w:numId w:val="3"/>
        </w:numPr>
        <w:tabs>
          <w:tab w:pos="949" w:val="left" w:leader="none"/>
        </w:tabs>
        <w:spacing w:line="240" w:lineRule="auto" w:before="117" w:after="0"/>
        <w:ind w:left="948" w:right="0" w:hanging="360"/>
        <w:jc w:val="left"/>
        <w:rPr>
          <w:sz w:val="22"/>
        </w:rPr>
      </w:pPr>
      <w:r>
        <w:rPr>
          <w:sz w:val="22"/>
        </w:rPr>
        <w:t>Life Technologies GeneMapper® ID-X software v 1.0: Getting Started Guide (current</w:t>
      </w:r>
      <w:r>
        <w:rPr>
          <w:spacing w:val="-12"/>
          <w:sz w:val="22"/>
        </w:rPr>
        <w:t> </w:t>
      </w:r>
      <w:r>
        <w:rPr>
          <w:sz w:val="22"/>
        </w:rPr>
        <w:t>version).</w:t>
      </w:r>
    </w:p>
    <w:p>
      <w:pPr>
        <w:pStyle w:val="ListParagraph"/>
        <w:numPr>
          <w:ilvl w:val="0"/>
          <w:numId w:val="3"/>
        </w:numPr>
        <w:tabs>
          <w:tab w:pos="949" w:val="left" w:leader="none"/>
        </w:tabs>
        <w:spacing w:line="240" w:lineRule="auto" w:before="121" w:after="0"/>
        <w:ind w:left="948" w:right="0" w:hanging="360"/>
        <w:jc w:val="left"/>
        <w:rPr>
          <w:sz w:val="22"/>
        </w:rPr>
      </w:pPr>
      <w:r>
        <w:rPr>
          <w:sz w:val="22"/>
        </w:rPr>
        <w:t>AmpFlSTR® Identifiler® Plus PCR Amplification Kit User’s Manual (current</w:t>
      </w:r>
      <w:r>
        <w:rPr>
          <w:spacing w:val="-15"/>
          <w:sz w:val="22"/>
        </w:rPr>
        <w:t> </w:t>
      </w:r>
      <w:r>
        <w:rPr>
          <w:sz w:val="22"/>
        </w:rPr>
        <w:t>version).</w:t>
      </w:r>
    </w:p>
    <w:p>
      <w:pPr>
        <w:pStyle w:val="ListParagraph"/>
        <w:numPr>
          <w:ilvl w:val="0"/>
          <w:numId w:val="3"/>
        </w:numPr>
        <w:tabs>
          <w:tab w:pos="949" w:val="left" w:leader="none"/>
        </w:tabs>
        <w:spacing w:line="240" w:lineRule="auto" w:before="120" w:after="0"/>
        <w:ind w:left="948" w:right="0" w:hanging="360"/>
        <w:jc w:val="left"/>
        <w:rPr>
          <w:sz w:val="22"/>
        </w:rPr>
      </w:pPr>
      <w:r>
        <w:rPr>
          <w:sz w:val="22"/>
        </w:rPr>
        <w:t>AmpFlSTR® Identifiler® Direct PCR Amplification Kit User’s Manual (current</w:t>
      </w:r>
      <w:r>
        <w:rPr>
          <w:spacing w:val="-13"/>
          <w:sz w:val="22"/>
        </w:rPr>
        <w:t> </w:t>
      </w:r>
      <w:r>
        <w:rPr>
          <w:sz w:val="22"/>
        </w:rPr>
        <w:t>version).</w:t>
      </w:r>
    </w:p>
    <w:p>
      <w:pPr>
        <w:pStyle w:val="ListParagraph"/>
        <w:numPr>
          <w:ilvl w:val="0"/>
          <w:numId w:val="3"/>
        </w:numPr>
        <w:tabs>
          <w:tab w:pos="949" w:val="left" w:leader="none"/>
        </w:tabs>
        <w:spacing w:line="240" w:lineRule="auto" w:before="118" w:after="0"/>
        <w:ind w:left="948" w:right="0" w:hanging="360"/>
        <w:jc w:val="left"/>
        <w:rPr>
          <w:sz w:val="22"/>
        </w:rPr>
      </w:pPr>
      <w:r>
        <w:rPr>
          <w:sz w:val="22"/>
        </w:rPr>
        <w:t>FBI’s </w:t>
      </w:r>
      <w:r>
        <w:rPr>
          <w:i/>
          <w:sz w:val="22"/>
        </w:rPr>
        <w:t>Quality Assurance Standards for Forensic DNA Testing Laboratories </w:t>
      </w:r>
      <w:r>
        <w:rPr>
          <w:sz w:val="22"/>
        </w:rPr>
        <w:t>(current</w:t>
      </w:r>
      <w:r>
        <w:rPr>
          <w:spacing w:val="-13"/>
          <w:sz w:val="22"/>
        </w:rPr>
        <w:t> </w:t>
      </w:r>
      <w:r>
        <w:rPr>
          <w:sz w:val="22"/>
        </w:rPr>
        <w:t>version).</w:t>
      </w:r>
    </w:p>
    <w:p>
      <w:pPr>
        <w:pStyle w:val="ListParagraph"/>
        <w:numPr>
          <w:ilvl w:val="0"/>
          <w:numId w:val="3"/>
        </w:numPr>
        <w:tabs>
          <w:tab w:pos="949" w:val="left" w:leader="none"/>
        </w:tabs>
        <w:spacing w:line="240" w:lineRule="auto" w:before="120" w:after="0"/>
        <w:ind w:left="948" w:right="223" w:hanging="360"/>
        <w:jc w:val="left"/>
        <w:rPr>
          <w:sz w:val="22"/>
        </w:rPr>
      </w:pPr>
      <w:r>
        <w:rPr>
          <w:sz w:val="22"/>
        </w:rPr>
        <w:t>National Research Council. </w:t>
      </w:r>
      <w:r>
        <w:rPr>
          <w:sz w:val="22"/>
          <w:u w:val="single"/>
        </w:rPr>
        <w:t>The Evaluation of Forensic DNA Evidence</w:t>
      </w:r>
      <w:r>
        <w:rPr>
          <w:sz w:val="22"/>
        </w:rPr>
        <w:t>. Washington, DC: Academy Press,</w:t>
      </w:r>
      <w:r>
        <w:rPr>
          <w:spacing w:val="-2"/>
          <w:sz w:val="22"/>
        </w:rPr>
        <w:t> </w:t>
      </w:r>
      <w:r>
        <w:rPr>
          <w:sz w:val="22"/>
        </w:rPr>
        <w:t>1996.</w:t>
      </w:r>
    </w:p>
    <w:p>
      <w:pPr>
        <w:pStyle w:val="Heading1"/>
        <w:tabs>
          <w:tab w:pos="9961" w:val="left" w:leader="none"/>
        </w:tabs>
        <w:spacing w:before="123"/>
      </w:pPr>
      <w:r>
        <w:rPr>
          <w:spacing w:val="-26"/>
          <w:shd w:fill="CCCCCC" w:color="auto" w:val="clear"/>
        </w:rPr>
        <w:t> </w:t>
      </w:r>
      <w:r>
        <w:rPr>
          <w:shd w:fill="CCCCCC" w:color="auto" w:val="clear"/>
        </w:rPr>
        <w:t>Revision</w:t>
      </w:r>
      <w:r>
        <w:rPr>
          <w:spacing w:val="-5"/>
          <w:shd w:fill="CCCCCC" w:color="auto" w:val="clear"/>
        </w:rPr>
        <w:t> </w:t>
      </w:r>
      <w:r>
        <w:rPr>
          <w:shd w:fill="CCCCCC" w:color="auto" w:val="clear"/>
        </w:rPr>
        <w:t>History</w:t>
        <w:tab/>
      </w:r>
    </w:p>
    <w:p>
      <w:pPr>
        <w:pStyle w:val="BodyText"/>
        <w:spacing w:before="58"/>
        <w:ind w:left="228"/>
        <w:jc w:val="left"/>
      </w:pPr>
      <w:r>
        <w:rPr/>
        <w:t>Revision 1 is the original document.</w:t>
      </w:r>
    </w:p>
    <w:p>
      <w:pPr>
        <w:spacing w:after="0"/>
        <w:jc w:val="left"/>
        <w:sectPr>
          <w:pgSz w:w="12240" w:h="15840"/>
          <w:pgMar w:header="734" w:footer="810" w:top="1840" w:bottom="1000" w:left="1500" w:right="580"/>
        </w:sectPr>
      </w:pPr>
    </w:p>
    <w:p>
      <w:pPr>
        <w:pStyle w:val="Heading1"/>
        <w:spacing w:line="480" w:lineRule="auto" w:before="64"/>
        <w:ind w:left="228" w:right="4525" w:firstLine="4318"/>
      </w:pPr>
      <w:r>
        <w:rPr/>
        <w:pict>
          <v:shape style="position:absolute;margin-left:80.783997pt;margin-top:139.820007pt;width:496.8pt;height:563.25pt;mso-position-horizontal-relative:page;mso-position-vertical-relative:page;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8"/>
                    <w:gridCol w:w="940"/>
                    <w:gridCol w:w="900"/>
                    <w:gridCol w:w="1079"/>
                    <w:gridCol w:w="1079"/>
                    <w:gridCol w:w="2519"/>
                    <w:gridCol w:w="1258"/>
                    <w:gridCol w:w="898"/>
                  </w:tblGrid>
                  <w:tr>
                    <w:trPr>
                      <w:trHeight w:val="1072" w:hRule="atLeast"/>
                    </w:trPr>
                    <w:tc>
                      <w:tcPr>
                        <w:tcW w:w="1238" w:type="dxa"/>
                        <w:shd w:val="clear" w:color="auto" w:fill="D9D9D9"/>
                      </w:tcPr>
                      <w:p>
                        <w:pPr>
                          <w:pStyle w:val="TableParagraph"/>
                          <w:spacing w:line="265" w:lineRule="exact"/>
                          <w:ind w:left="364"/>
                          <w:rPr>
                            <w:b/>
                            <w:sz w:val="22"/>
                          </w:rPr>
                        </w:pPr>
                        <w:r>
                          <w:rPr>
                            <w:b/>
                            <w:sz w:val="22"/>
                          </w:rPr>
                          <w:t>Locus</w:t>
                        </w:r>
                      </w:p>
                    </w:tc>
                    <w:tc>
                      <w:tcPr>
                        <w:tcW w:w="940" w:type="dxa"/>
                        <w:shd w:val="clear" w:color="auto" w:fill="D9D9D9"/>
                      </w:tcPr>
                      <w:p>
                        <w:pPr>
                          <w:pStyle w:val="TableParagraph"/>
                          <w:ind w:left="225" w:right="200" w:firstLine="64"/>
                          <w:rPr>
                            <w:b/>
                            <w:sz w:val="22"/>
                          </w:rPr>
                        </w:pPr>
                        <w:r>
                          <w:rPr>
                            <w:b/>
                            <w:sz w:val="22"/>
                          </w:rPr>
                          <w:t>Dye Label</w:t>
                        </w:r>
                      </w:p>
                    </w:tc>
                    <w:tc>
                      <w:tcPr>
                        <w:tcW w:w="900" w:type="dxa"/>
                        <w:shd w:val="clear" w:color="auto" w:fill="D9D9D9"/>
                      </w:tcPr>
                      <w:p>
                        <w:pPr>
                          <w:pStyle w:val="TableParagraph"/>
                          <w:ind w:left="205" w:right="179" w:firstLine="64"/>
                          <w:rPr>
                            <w:b/>
                            <w:sz w:val="22"/>
                          </w:rPr>
                        </w:pPr>
                        <w:r>
                          <w:rPr>
                            <w:b/>
                            <w:sz w:val="22"/>
                          </w:rPr>
                          <w:t>Dye Color</w:t>
                        </w:r>
                      </w:p>
                    </w:tc>
                    <w:tc>
                      <w:tcPr>
                        <w:tcW w:w="1079" w:type="dxa"/>
                        <w:shd w:val="clear" w:color="auto" w:fill="D9D9D9"/>
                      </w:tcPr>
                      <w:p>
                        <w:pPr>
                          <w:pStyle w:val="TableParagraph"/>
                          <w:ind w:left="255" w:right="244" w:hanging="3"/>
                          <w:jc w:val="center"/>
                          <w:rPr>
                            <w:b/>
                            <w:sz w:val="22"/>
                          </w:rPr>
                        </w:pPr>
                        <w:r>
                          <w:rPr>
                            <w:b/>
                            <w:sz w:val="22"/>
                          </w:rPr>
                          <w:t>Size Range (bp)</w:t>
                        </w:r>
                      </w:p>
                    </w:tc>
                    <w:tc>
                      <w:tcPr>
                        <w:tcW w:w="1079" w:type="dxa"/>
                        <w:shd w:val="clear" w:color="auto" w:fill="D9D9D9"/>
                      </w:tcPr>
                      <w:p>
                        <w:pPr>
                          <w:pStyle w:val="TableParagraph"/>
                          <w:ind w:left="117" w:right="106" w:hanging="2"/>
                          <w:jc w:val="center"/>
                          <w:rPr>
                            <w:b/>
                            <w:sz w:val="22"/>
                          </w:rPr>
                        </w:pPr>
                        <w:r>
                          <w:rPr>
                            <w:b/>
                            <w:sz w:val="22"/>
                          </w:rPr>
                          <w:t>Number of Alleles in the</w:t>
                        </w:r>
                      </w:p>
                      <w:p>
                        <w:pPr>
                          <w:pStyle w:val="TableParagraph"/>
                          <w:spacing w:line="250" w:lineRule="exact"/>
                          <w:ind w:left="205" w:right="197"/>
                          <w:jc w:val="center"/>
                          <w:rPr>
                            <w:b/>
                            <w:sz w:val="22"/>
                          </w:rPr>
                        </w:pPr>
                        <w:r>
                          <w:rPr>
                            <w:b/>
                            <w:sz w:val="22"/>
                          </w:rPr>
                          <w:t>Ladder</w:t>
                        </w:r>
                      </w:p>
                    </w:tc>
                    <w:tc>
                      <w:tcPr>
                        <w:tcW w:w="2519" w:type="dxa"/>
                        <w:shd w:val="clear" w:color="auto" w:fill="D9D9D9"/>
                      </w:tcPr>
                      <w:p>
                        <w:pPr>
                          <w:pStyle w:val="TableParagraph"/>
                          <w:ind w:left="471" w:right="399" w:hanging="41"/>
                          <w:rPr>
                            <w:b/>
                            <w:sz w:val="22"/>
                          </w:rPr>
                        </w:pPr>
                        <w:r>
                          <w:rPr>
                            <w:b/>
                            <w:sz w:val="22"/>
                          </w:rPr>
                          <w:t>Alleles included in Identifiler Ladder</w:t>
                        </w:r>
                      </w:p>
                    </w:tc>
                    <w:tc>
                      <w:tcPr>
                        <w:tcW w:w="1258" w:type="dxa"/>
                        <w:shd w:val="clear" w:color="auto" w:fill="D9D9D9"/>
                      </w:tcPr>
                      <w:p>
                        <w:pPr>
                          <w:pStyle w:val="TableParagraph"/>
                          <w:ind w:left="312" w:right="294" w:firstLine="52"/>
                          <w:jc w:val="both"/>
                          <w:rPr>
                            <w:b/>
                            <w:sz w:val="22"/>
                          </w:rPr>
                        </w:pPr>
                        <w:r>
                          <w:rPr>
                            <w:b/>
                            <w:sz w:val="22"/>
                          </w:rPr>
                          <w:t>Other Known Alleles</w:t>
                        </w:r>
                      </w:p>
                    </w:tc>
                    <w:tc>
                      <w:tcPr>
                        <w:tcW w:w="898" w:type="dxa"/>
                        <w:shd w:val="clear" w:color="auto" w:fill="D9D9D9"/>
                      </w:tcPr>
                      <w:p>
                        <w:pPr>
                          <w:pStyle w:val="TableParagraph"/>
                          <w:ind w:left="113" w:right="92"/>
                          <w:jc w:val="center"/>
                          <w:rPr>
                            <w:b/>
                            <w:sz w:val="22"/>
                          </w:rPr>
                        </w:pPr>
                        <w:r>
                          <w:rPr>
                            <w:b/>
                            <w:sz w:val="22"/>
                          </w:rPr>
                          <w:t>Control DNA 9947A</w:t>
                        </w:r>
                      </w:p>
                    </w:tc>
                  </w:tr>
                  <w:tr>
                    <w:trPr>
                      <w:trHeight w:val="489" w:hRule="atLeast"/>
                    </w:trPr>
                    <w:tc>
                      <w:tcPr>
                        <w:tcW w:w="1238" w:type="dxa"/>
                        <w:shd w:val="clear" w:color="auto" w:fill="DBE4F0"/>
                      </w:tcPr>
                      <w:p>
                        <w:pPr>
                          <w:pStyle w:val="TableParagraph"/>
                          <w:spacing w:line="243" w:lineRule="exact"/>
                          <w:rPr>
                            <w:sz w:val="20"/>
                          </w:rPr>
                        </w:pPr>
                        <w:r>
                          <w:rPr>
                            <w:sz w:val="20"/>
                          </w:rPr>
                          <w:t>D8S1179</w:t>
                        </w:r>
                      </w:p>
                    </w:tc>
                    <w:tc>
                      <w:tcPr>
                        <w:tcW w:w="940" w:type="dxa"/>
                        <w:shd w:val="clear" w:color="auto" w:fill="DBE4F0"/>
                      </w:tcPr>
                      <w:p>
                        <w:pPr>
                          <w:pStyle w:val="TableParagraph"/>
                          <w:spacing w:line="243" w:lineRule="exact"/>
                          <w:ind w:left="108"/>
                          <w:rPr>
                            <w:sz w:val="20"/>
                          </w:rPr>
                        </w:pPr>
                        <w:r>
                          <w:rPr>
                            <w:sz w:val="20"/>
                          </w:rPr>
                          <w:t>6-FAM</w:t>
                        </w:r>
                      </w:p>
                    </w:tc>
                    <w:tc>
                      <w:tcPr>
                        <w:tcW w:w="900" w:type="dxa"/>
                        <w:shd w:val="clear" w:color="auto" w:fill="DBE4F0"/>
                      </w:tcPr>
                      <w:p>
                        <w:pPr>
                          <w:pStyle w:val="TableParagraph"/>
                          <w:spacing w:line="243" w:lineRule="exact"/>
                          <w:rPr>
                            <w:sz w:val="20"/>
                          </w:rPr>
                        </w:pPr>
                        <w:r>
                          <w:rPr>
                            <w:sz w:val="20"/>
                          </w:rPr>
                          <w:t>Blue</w:t>
                        </w:r>
                      </w:p>
                    </w:tc>
                    <w:tc>
                      <w:tcPr>
                        <w:tcW w:w="1079" w:type="dxa"/>
                        <w:shd w:val="clear" w:color="auto" w:fill="DBE4F0"/>
                      </w:tcPr>
                      <w:p>
                        <w:pPr>
                          <w:pStyle w:val="TableParagraph"/>
                          <w:spacing w:line="243" w:lineRule="exact"/>
                          <w:rPr>
                            <w:sz w:val="20"/>
                          </w:rPr>
                        </w:pPr>
                        <w:r>
                          <w:rPr>
                            <w:sz w:val="20"/>
                          </w:rPr>
                          <w:t>128-172</w:t>
                        </w:r>
                      </w:p>
                    </w:tc>
                    <w:tc>
                      <w:tcPr>
                        <w:tcW w:w="1079" w:type="dxa"/>
                        <w:shd w:val="clear" w:color="auto" w:fill="DBE4F0"/>
                      </w:tcPr>
                      <w:p>
                        <w:pPr>
                          <w:pStyle w:val="TableParagraph"/>
                          <w:spacing w:line="243" w:lineRule="exact"/>
                          <w:ind w:left="108"/>
                          <w:rPr>
                            <w:sz w:val="20"/>
                          </w:rPr>
                        </w:pPr>
                        <w:r>
                          <w:rPr>
                            <w:sz w:val="20"/>
                          </w:rPr>
                          <w:t>12</w:t>
                        </w:r>
                      </w:p>
                    </w:tc>
                    <w:tc>
                      <w:tcPr>
                        <w:tcW w:w="2519" w:type="dxa"/>
                        <w:shd w:val="clear" w:color="auto" w:fill="DBE4F0"/>
                      </w:tcPr>
                      <w:p>
                        <w:pPr>
                          <w:pStyle w:val="TableParagraph"/>
                          <w:spacing w:line="243" w:lineRule="exact"/>
                          <w:ind w:left="109"/>
                          <w:rPr>
                            <w:sz w:val="20"/>
                          </w:rPr>
                        </w:pPr>
                        <w:r>
                          <w:rPr>
                            <w:sz w:val="20"/>
                          </w:rPr>
                          <w:t>8, 9, 10 ,11, 12, 13, 14, 15,</w:t>
                        </w:r>
                      </w:p>
                      <w:p>
                        <w:pPr>
                          <w:pStyle w:val="TableParagraph"/>
                          <w:spacing w:line="225" w:lineRule="exact"/>
                          <w:ind w:left="109"/>
                          <w:rPr>
                            <w:sz w:val="20"/>
                          </w:rPr>
                        </w:pPr>
                        <w:r>
                          <w:rPr>
                            <w:sz w:val="20"/>
                          </w:rPr>
                          <w:t>16, 17, 18, 19</w:t>
                        </w:r>
                      </w:p>
                    </w:tc>
                    <w:tc>
                      <w:tcPr>
                        <w:tcW w:w="1258" w:type="dxa"/>
                        <w:shd w:val="clear" w:color="auto" w:fill="DBE4F0"/>
                      </w:tcPr>
                      <w:p>
                        <w:pPr>
                          <w:pStyle w:val="TableParagraph"/>
                          <w:spacing w:line="243" w:lineRule="exact"/>
                          <w:ind w:left="111"/>
                          <w:rPr>
                            <w:sz w:val="20"/>
                          </w:rPr>
                        </w:pPr>
                        <w:r>
                          <w:rPr>
                            <w:w w:val="99"/>
                            <w:sz w:val="20"/>
                          </w:rPr>
                          <w:t>-</w:t>
                        </w:r>
                      </w:p>
                    </w:tc>
                    <w:tc>
                      <w:tcPr>
                        <w:tcW w:w="898" w:type="dxa"/>
                        <w:shd w:val="clear" w:color="auto" w:fill="DBE4F0"/>
                      </w:tcPr>
                      <w:p>
                        <w:pPr>
                          <w:pStyle w:val="TableParagraph"/>
                          <w:spacing w:line="243" w:lineRule="exact"/>
                          <w:ind w:left="113"/>
                          <w:rPr>
                            <w:sz w:val="20"/>
                          </w:rPr>
                        </w:pPr>
                        <w:r>
                          <w:rPr>
                            <w:sz w:val="20"/>
                          </w:rPr>
                          <w:t>13</w:t>
                        </w:r>
                      </w:p>
                    </w:tc>
                  </w:tr>
                  <w:tr>
                    <w:trPr>
                      <w:trHeight w:val="1708" w:hRule="atLeast"/>
                    </w:trPr>
                    <w:tc>
                      <w:tcPr>
                        <w:tcW w:w="1238" w:type="dxa"/>
                        <w:shd w:val="clear" w:color="auto" w:fill="DBE4F0"/>
                      </w:tcPr>
                      <w:p>
                        <w:pPr>
                          <w:pStyle w:val="TableParagraph"/>
                          <w:spacing w:line="243" w:lineRule="exact"/>
                          <w:rPr>
                            <w:sz w:val="20"/>
                          </w:rPr>
                        </w:pPr>
                        <w:r>
                          <w:rPr>
                            <w:sz w:val="20"/>
                          </w:rPr>
                          <w:t>D21S11</w:t>
                        </w:r>
                      </w:p>
                    </w:tc>
                    <w:tc>
                      <w:tcPr>
                        <w:tcW w:w="940" w:type="dxa"/>
                        <w:shd w:val="clear" w:color="auto" w:fill="DBE4F0"/>
                      </w:tcPr>
                      <w:p>
                        <w:pPr>
                          <w:pStyle w:val="TableParagraph"/>
                          <w:spacing w:line="243" w:lineRule="exact"/>
                          <w:ind w:left="108"/>
                          <w:rPr>
                            <w:sz w:val="20"/>
                          </w:rPr>
                        </w:pPr>
                        <w:r>
                          <w:rPr>
                            <w:sz w:val="20"/>
                          </w:rPr>
                          <w:t>6-FAM</w:t>
                        </w:r>
                      </w:p>
                    </w:tc>
                    <w:tc>
                      <w:tcPr>
                        <w:tcW w:w="900" w:type="dxa"/>
                        <w:shd w:val="clear" w:color="auto" w:fill="DBE4F0"/>
                      </w:tcPr>
                      <w:p>
                        <w:pPr>
                          <w:pStyle w:val="TableParagraph"/>
                          <w:spacing w:line="243" w:lineRule="exact"/>
                          <w:rPr>
                            <w:sz w:val="20"/>
                          </w:rPr>
                        </w:pPr>
                        <w:r>
                          <w:rPr>
                            <w:sz w:val="20"/>
                          </w:rPr>
                          <w:t>Blue</w:t>
                        </w:r>
                      </w:p>
                    </w:tc>
                    <w:tc>
                      <w:tcPr>
                        <w:tcW w:w="1079" w:type="dxa"/>
                        <w:shd w:val="clear" w:color="auto" w:fill="DBE4F0"/>
                      </w:tcPr>
                      <w:p>
                        <w:pPr>
                          <w:pStyle w:val="TableParagraph"/>
                          <w:spacing w:line="243" w:lineRule="exact"/>
                          <w:rPr>
                            <w:sz w:val="20"/>
                          </w:rPr>
                        </w:pPr>
                        <w:r>
                          <w:rPr>
                            <w:sz w:val="20"/>
                          </w:rPr>
                          <w:t>187-243</w:t>
                        </w:r>
                      </w:p>
                    </w:tc>
                    <w:tc>
                      <w:tcPr>
                        <w:tcW w:w="1079" w:type="dxa"/>
                        <w:shd w:val="clear" w:color="auto" w:fill="DBE4F0"/>
                      </w:tcPr>
                      <w:p>
                        <w:pPr>
                          <w:pStyle w:val="TableParagraph"/>
                          <w:spacing w:line="243" w:lineRule="exact"/>
                          <w:ind w:left="108"/>
                          <w:rPr>
                            <w:sz w:val="20"/>
                          </w:rPr>
                        </w:pPr>
                        <w:r>
                          <w:rPr>
                            <w:sz w:val="20"/>
                          </w:rPr>
                          <w:t>24</w:t>
                        </w:r>
                      </w:p>
                    </w:tc>
                    <w:tc>
                      <w:tcPr>
                        <w:tcW w:w="2519" w:type="dxa"/>
                        <w:shd w:val="clear" w:color="auto" w:fill="DBE4F0"/>
                      </w:tcPr>
                      <w:p>
                        <w:pPr>
                          <w:pStyle w:val="TableParagraph"/>
                          <w:spacing w:line="243" w:lineRule="exact"/>
                          <w:ind w:left="109"/>
                          <w:rPr>
                            <w:sz w:val="20"/>
                          </w:rPr>
                        </w:pPr>
                        <w:r>
                          <w:rPr>
                            <w:sz w:val="20"/>
                          </w:rPr>
                          <w:t>24, 24.2, 25, 26, 27, 28,</w:t>
                        </w:r>
                      </w:p>
                      <w:p>
                        <w:pPr>
                          <w:pStyle w:val="TableParagraph"/>
                          <w:ind w:left="109"/>
                          <w:rPr>
                            <w:sz w:val="20"/>
                          </w:rPr>
                        </w:pPr>
                        <w:r>
                          <w:rPr>
                            <w:sz w:val="20"/>
                          </w:rPr>
                          <w:t>28.2, 29, 29.2, 30, 30.2,</w:t>
                        </w:r>
                        <w:r>
                          <w:rPr>
                            <w:spacing w:val="-9"/>
                            <w:sz w:val="20"/>
                          </w:rPr>
                          <w:t> </w:t>
                        </w:r>
                        <w:r>
                          <w:rPr>
                            <w:sz w:val="20"/>
                          </w:rPr>
                          <w:t>31,</w:t>
                        </w:r>
                      </w:p>
                      <w:p>
                        <w:pPr>
                          <w:pStyle w:val="TableParagraph"/>
                          <w:spacing w:line="243" w:lineRule="exact" w:before="2"/>
                          <w:ind w:left="109"/>
                          <w:rPr>
                            <w:sz w:val="20"/>
                          </w:rPr>
                        </w:pPr>
                        <w:r>
                          <w:rPr>
                            <w:sz w:val="20"/>
                          </w:rPr>
                          <w:t>31.2, 32, 32.2, 33, 33.2,</w:t>
                        </w:r>
                        <w:r>
                          <w:rPr>
                            <w:spacing w:val="-9"/>
                            <w:sz w:val="20"/>
                          </w:rPr>
                          <w:t> </w:t>
                        </w:r>
                        <w:r>
                          <w:rPr>
                            <w:sz w:val="20"/>
                          </w:rPr>
                          <w:t>34,</w:t>
                        </w:r>
                      </w:p>
                      <w:p>
                        <w:pPr>
                          <w:pStyle w:val="TableParagraph"/>
                          <w:spacing w:line="243" w:lineRule="exact"/>
                          <w:ind w:left="109"/>
                          <w:rPr>
                            <w:sz w:val="20"/>
                          </w:rPr>
                        </w:pPr>
                        <w:r>
                          <w:rPr>
                            <w:sz w:val="20"/>
                          </w:rPr>
                          <w:t>34.2, 35, 35.2, 36, 37, 38</w:t>
                        </w:r>
                      </w:p>
                    </w:tc>
                    <w:tc>
                      <w:tcPr>
                        <w:tcW w:w="1258" w:type="dxa"/>
                        <w:shd w:val="clear" w:color="auto" w:fill="DBE4F0"/>
                      </w:tcPr>
                      <w:p>
                        <w:pPr>
                          <w:pStyle w:val="TableParagraph"/>
                          <w:spacing w:line="243" w:lineRule="exact"/>
                          <w:ind w:left="111"/>
                          <w:rPr>
                            <w:sz w:val="20"/>
                          </w:rPr>
                        </w:pPr>
                        <w:r>
                          <w:rPr>
                            <w:sz w:val="20"/>
                          </w:rPr>
                          <w:t>24.3,</w:t>
                        </w:r>
                        <w:r>
                          <w:rPr>
                            <w:spacing w:val="-4"/>
                            <w:sz w:val="20"/>
                          </w:rPr>
                          <w:t> </w:t>
                        </w:r>
                        <w:r>
                          <w:rPr>
                            <w:sz w:val="20"/>
                          </w:rPr>
                          <w:t>25.3,</w:t>
                        </w:r>
                      </w:p>
                      <w:p>
                        <w:pPr>
                          <w:pStyle w:val="TableParagraph"/>
                          <w:ind w:left="111"/>
                          <w:rPr>
                            <w:sz w:val="20"/>
                          </w:rPr>
                        </w:pPr>
                        <w:r>
                          <w:rPr>
                            <w:sz w:val="20"/>
                          </w:rPr>
                          <w:t>28.3,</w:t>
                        </w:r>
                        <w:r>
                          <w:rPr>
                            <w:spacing w:val="-4"/>
                            <w:sz w:val="20"/>
                          </w:rPr>
                          <w:t> </w:t>
                        </w:r>
                        <w:r>
                          <w:rPr>
                            <w:sz w:val="20"/>
                          </w:rPr>
                          <w:t>29.1,</w:t>
                        </w:r>
                      </w:p>
                      <w:p>
                        <w:pPr>
                          <w:pStyle w:val="TableParagraph"/>
                          <w:spacing w:line="243" w:lineRule="exact" w:before="2"/>
                          <w:ind w:left="111"/>
                          <w:rPr>
                            <w:sz w:val="20"/>
                          </w:rPr>
                        </w:pPr>
                        <w:r>
                          <w:rPr>
                            <w:sz w:val="20"/>
                          </w:rPr>
                          <w:t>29.3,</w:t>
                        </w:r>
                        <w:r>
                          <w:rPr>
                            <w:spacing w:val="-4"/>
                            <w:sz w:val="20"/>
                          </w:rPr>
                          <w:t> </w:t>
                        </w:r>
                        <w:r>
                          <w:rPr>
                            <w:sz w:val="20"/>
                          </w:rPr>
                          <w:t>30.1,</w:t>
                        </w:r>
                      </w:p>
                      <w:p>
                        <w:pPr>
                          <w:pStyle w:val="TableParagraph"/>
                          <w:spacing w:line="243" w:lineRule="exact"/>
                          <w:ind w:left="111"/>
                          <w:rPr>
                            <w:sz w:val="20"/>
                          </w:rPr>
                        </w:pPr>
                        <w:r>
                          <w:rPr>
                            <w:sz w:val="20"/>
                          </w:rPr>
                          <w:t>30.3,</w:t>
                        </w:r>
                        <w:r>
                          <w:rPr>
                            <w:spacing w:val="-4"/>
                            <w:sz w:val="20"/>
                          </w:rPr>
                          <w:t> </w:t>
                        </w:r>
                        <w:r>
                          <w:rPr>
                            <w:sz w:val="20"/>
                          </w:rPr>
                          <w:t>31.1,</w:t>
                        </w:r>
                      </w:p>
                      <w:p>
                        <w:pPr>
                          <w:pStyle w:val="TableParagraph"/>
                          <w:ind w:left="111"/>
                          <w:rPr>
                            <w:sz w:val="20"/>
                          </w:rPr>
                        </w:pPr>
                        <w:r>
                          <w:rPr>
                            <w:sz w:val="20"/>
                          </w:rPr>
                          <w:t>32.1,</w:t>
                        </w:r>
                        <w:r>
                          <w:rPr>
                            <w:spacing w:val="-4"/>
                            <w:sz w:val="20"/>
                          </w:rPr>
                          <w:t> </w:t>
                        </w:r>
                        <w:r>
                          <w:rPr>
                            <w:sz w:val="20"/>
                          </w:rPr>
                          <w:t>33.1,</w:t>
                        </w:r>
                      </w:p>
                      <w:p>
                        <w:pPr>
                          <w:pStyle w:val="TableParagraph"/>
                          <w:spacing w:line="243" w:lineRule="exact" w:before="1"/>
                          <w:ind w:left="111"/>
                          <w:rPr>
                            <w:sz w:val="20"/>
                          </w:rPr>
                        </w:pPr>
                        <w:r>
                          <w:rPr>
                            <w:sz w:val="20"/>
                          </w:rPr>
                          <w:t>33.3,</w:t>
                        </w:r>
                        <w:r>
                          <w:rPr>
                            <w:spacing w:val="-4"/>
                            <w:sz w:val="20"/>
                          </w:rPr>
                          <w:t> </w:t>
                        </w:r>
                        <w:r>
                          <w:rPr>
                            <w:sz w:val="20"/>
                          </w:rPr>
                          <w:t>34.1,</w:t>
                        </w:r>
                      </w:p>
                      <w:p>
                        <w:pPr>
                          <w:pStyle w:val="TableParagraph"/>
                          <w:spacing w:line="225" w:lineRule="exact"/>
                          <w:ind w:left="111"/>
                          <w:rPr>
                            <w:sz w:val="20"/>
                          </w:rPr>
                        </w:pPr>
                        <w:r>
                          <w:rPr>
                            <w:sz w:val="20"/>
                          </w:rPr>
                          <w:t>36.2</w:t>
                        </w:r>
                      </w:p>
                    </w:tc>
                    <w:tc>
                      <w:tcPr>
                        <w:tcW w:w="898" w:type="dxa"/>
                        <w:shd w:val="clear" w:color="auto" w:fill="DBE4F0"/>
                      </w:tcPr>
                      <w:p>
                        <w:pPr>
                          <w:pStyle w:val="TableParagraph"/>
                          <w:spacing w:line="243" w:lineRule="exact"/>
                          <w:ind w:left="113"/>
                          <w:rPr>
                            <w:sz w:val="20"/>
                          </w:rPr>
                        </w:pPr>
                        <w:r>
                          <w:rPr>
                            <w:sz w:val="20"/>
                          </w:rPr>
                          <w:t>30</w:t>
                        </w:r>
                      </w:p>
                    </w:tc>
                  </w:tr>
                  <w:tr>
                    <w:trPr>
                      <w:trHeight w:val="489" w:hRule="atLeast"/>
                    </w:trPr>
                    <w:tc>
                      <w:tcPr>
                        <w:tcW w:w="1238" w:type="dxa"/>
                        <w:shd w:val="clear" w:color="auto" w:fill="DBE4F0"/>
                      </w:tcPr>
                      <w:p>
                        <w:pPr>
                          <w:pStyle w:val="TableParagraph"/>
                          <w:spacing w:line="243" w:lineRule="exact"/>
                          <w:rPr>
                            <w:sz w:val="20"/>
                          </w:rPr>
                        </w:pPr>
                        <w:r>
                          <w:rPr>
                            <w:sz w:val="20"/>
                          </w:rPr>
                          <w:t>D7S820</w:t>
                        </w:r>
                      </w:p>
                    </w:tc>
                    <w:tc>
                      <w:tcPr>
                        <w:tcW w:w="940" w:type="dxa"/>
                        <w:shd w:val="clear" w:color="auto" w:fill="DBE4F0"/>
                      </w:tcPr>
                      <w:p>
                        <w:pPr>
                          <w:pStyle w:val="TableParagraph"/>
                          <w:spacing w:line="243" w:lineRule="exact"/>
                          <w:ind w:left="108"/>
                          <w:rPr>
                            <w:sz w:val="20"/>
                          </w:rPr>
                        </w:pPr>
                        <w:r>
                          <w:rPr>
                            <w:sz w:val="20"/>
                          </w:rPr>
                          <w:t>6-FAM</w:t>
                        </w:r>
                      </w:p>
                    </w:tc>
                    <w:tc>
                      <w:tcPr>
                        <w:tcW w:w="900" w:type="dxa"/>
                        <w:shd w:val="clear" w:color="auto" w:fill="DBE4F0"/>
                      </w:tcPr>
                      <w:p>
                        <w:pPr>
                          <w:pStyle w:val="TableParagraph"/>
                          <w:spacing w:line="243" w:lineRule="exact"/>
                          <w:rPr>
                            <w:sz w:val="20"/>
                          </w:rPr>
                        </w:pPr>
                        <w:r>
                          <w:rPr>
                            <w:sz w:val="20"/>
                          </w:rPr>
                          <w:t>Blue</w:t>
                        </w:r>
                      </w:p>
                    </w:tc>
                    <w:tc>
                      <w:tcPr>
                        <w:tcW w:w="1079" w:type="dxa"/>
                        <w:shd w:val="clear" w:color="auto" w:fill="DBE4F0"/>
                      </w:tcPr>
                      <w:p>
                        <w:pPr>
                          <w:pStyle w:val="TableParagraph"/>
                          <w:spacing w:line="243" w:lineRule="exact"/>
                          <w:rPr>
                            <w:sz w:val="20"/>
                          </w:rPr>
                        </w:pPr>
                        <w:r>
                          <w:rPr>
                            <w:sz w:val="20"/>
                          </w:rPr>
                          <w:t>258-294</w:t>
                        </w:r>
                      </w:p>
                    </w:tc>
                    <w:tc>
                      <w:tcPr>
                        <w:tcW w:w="1079" w:type="dxa"/>
                        <w:shd w:val="clear" w:color="auto" w:fill="DBE4F0"/>
                      </w:tcPr>
                      <w:p>
                        <w:pPr>
                          <w:pStyle w:val="TableParagraph"/>
                          <w:spacing w:line="243" w:lineRule="exact"/>
                          <w:ind w:left="108"/>
                          <w:rPr>
                            <w:sz w:val="20"/>
                          </w:rPr>
                        </w:pPr>
                        <w:r>
                          <w:rPr>
                            <w:sz w:val="20"/>
                          </w:rPr>
                          <w:t>10</w:t>
                        </w:r>
                      </w:p>
                    </w:tc>
                    <w:tc>
                      <w:tcPr>
                        <w:tcW w:w="2519" w:type="dxa"/>
                        <w:shd w:val="clear" w:color="auto" w:fill="DBE4F0"/>
                      </w:tcPr>
                      <w:p>
                        <w:pPr>
                          <w:pStyle w:val="TableParagraph"/>
                          <w:spacing w:line="243" w:lineRule="exact"/>
                          <w:ind w:left="109"/>
                          <w:rPr>
                            <w:sz w:val="20"/>
                          </w:rPr>
                        </w:pPr>
                        <w:r>
                          <w:rPr>
                            <w:sz w:val="20"/>
                          </w:rPr>
                          <w:t>6, 7, 8, 9, 10, 11, 12, 13, 14,</w:t>
                        </w:r>
                      </w:p>
                      <w:p>
                        <w:pPr>
                          <w:pStyle w:val="TableParagraph"/>
                          <w:spacing w:line="225" w:lineRule="exact"/>
                          <w:ind w:left="109"/>
                          <w:rPr>
                            <w:sz w:val="20"/>
                          </w:rPr>
                        </w:pPr>
                        <w:r>
                          <w:rPr>
                            <w:sz w:val="20"/>
                          </w:rPr>
                          <w:t>15</w:t>
                        </w:r>
                      </w:p>
                    </w:tc>
                    <w:tc>
                      <w:tcPr>
                        <w:tcW w:w="1258" w:type="dxa"/>
                        <w:shd w:val="clear" w:color="auto" w:fill="DBE4F0"/>
                      </w:tcPr>
                      <w:p>
                        <w:pPr>
                          <w:pStyle w:val="TableParagraph"/>
                          <w:spacing w:line="243" w:lineRule="exact"/>
                          <w:ind w:left="111"/>
                          <w:rPr>
                            <w:sz w:val="20"/>
                          </w:rPr>
                        </w:pPr>
                        <w:r>
                          <w:rPr>
                            <w:sz w:val="20"/>
                          </w:rPr>
                          <w:t>6.3</w:t>
                        </w:r>
                      </w:p>
                    </w:tc>
                    <w:tc>
                      <w:tcPr>
                        <w:tcW w:w="898" w:type="dxa"/>
                        <w:shd w:val="clear" w:color="auto" w:fill="DBE4F0"/>
                      </w:tcPr>
                      <w:p>
                        <w:pPr>
                          <w:pStyle w:val="TableParagraph"/>
                          <w:spacing w:line="243" w:lineRule="exact"/>
                          <w:ind w:left="113"/>
                          <w:rPr>
                            <w:sz w:val="20"/>
                          </w:rPr>
                        </w:pPr>
                        <w:r>
                          <w:rPr>
                            <w:sz w:val="20"/>
                          </w:rPr>
                          <w:t>10, 11</w:t>
                        </w:r>
                      </w:p>
                    </w:tc>
                  </w:tr>
                  <w:tr>
                    <w:trPr>
                      <w:trHeight w:val="486" w:hRule="atLeast"/>
                    </w:trPr>
                    <w:tc>
                      <w:tcPr>
                        <w:tcW w:w="1238" w:type="dxa"/>
                        <w:shd w:val="clear" w:color="auto" w:fill="DBE4F0"/>
                      </w:tcPr>
                      <w:p>
                        <w:pPr>
                          <w:pStyle w:val="TableParagraph"/>
                          <w:spacing w:line="243" w:lineRule="exact"/>
                          <w:rPr>
                            <w:sz w:val="20"/>
                          </w:rPr>
                        </w:pPr>
                        <w:r>
                          <w:rPr>
                            <w:sz w:val="20"/>
                          </w:rPr>
                          <w:t>CSF1PO</w:t>
                        </w:r>
                      </w:p>
                    </w:tc>
                    <w:tc>
                      <w:tcPr>
                        <w:tcW w:w="940" w:type="dxa"/>
                        <w:shd w:val="clear" w:color="auto" w:fill="DBE4F0"/>
                      </w:tcPr>
                      <w:p>
                        <w:pPr>
                          <w:pStyle w:val="TableParagraph"/>
                          <w:spacing w:line="243" w:lineRule="exact"/>
                          <w:ind w:left="108"/>
                          <w:rPr>
                            <w:sz w:val="20"/>
                          </w:rPr>
                        </w:pPr>
                        <w:r>
                          <w:rPr>
                            <w:sz w:val="20"/>
                          </w:rPr>
                          <w:t>6-FAM</w:t>
                        </w:r>
                      </w:p>
                    </w:tc>
                    <w:tc>
                      <w:tcPr>
                        <w:tcW w:w="900" w:type="dxa"/>
                        <w:shd w:val="clear" w:color="auto" w:fill="DBE4F0"/>
                      </w:tcPr>
                      <w:p>
                        <w:pPr>
                          <w:pStyle w:val="TableParagraph"/>
                          <w:spacing w:line="243" w:lineRule="exact"/>
                          <w:rPr>
                            <w:sz w:val="20"/>
                          </w:rPr>
                        </w:pPr>
                        <w:r>
                          <w:rPr>
                            <w:sz w:val="20"/>
                          </w:rPr>
                          <w:t>Blue</w:t>
                        </w:r>
                      </w:p>
                    </w:tc>
                    <w:tc>
                      <w:tcPr>
                        <w:tcW w:w="1079" w:type="dxa"/>
                        <w:shd w:val="clear" w:color="auto" w:fill="DBE4F0"/>
                      </w:tcPr>
                      <w:p>
                        <w:pPr>
                          <w:pStyle w:val="TableParagraph"/>
                          <w:spacing w:line="243" w:lineRule="exact"/>
                          <w:rPr>
                            <w:sz w:val="20"/>
                          </w:rPr>
                        </w:pPr>
                        <w:r>
                          <w:rPr>
                            <w:sz w:val="20"/>
                          </w:rPr>
                          <w:t>307-343</w:t>
                        </w:r>
                      </w:p>
                    </w:tc>
                    <w:tc>
                      <w:tcPr>
                        <w:tcW w:w="1079" w:type="dxa"/>
                        <w:shd w:val="clear" w:color="auto" w:fill="DBE4F0"/>
                      </w:tcPr>
                      <w:p>
                        <w:pPr>
                          <w:pStyle w:val="TableParagraph"/>
                          <w:spacing w:line="243" w:lineRule="exact"/>
                          <w:ind w:left="108"/>
                          <w:rPr>
                            <w:sz w:val="20"/>
                          </w:rPr>
                        </w:pPr>
                        <w:r>
                          <w:rPr>
                            <w:sz w:val="20"/>
                          </w:rPr>
                          <w:t>10</w:t>
                        </w:r>
                      </w:p>
                    </w:tc>
                    <w:tc>
                      <w:tcPr>
                        <w:tcW w:w="2519" w:type="dxa"/>
                        <w:shd w:val="clear" w:color="auto" w:fill="DBE4F0"/>
                      </w:tcPr>
                      <w:p>
                        <w:pPr>
                          <w:pStyle w:val="TableParagraph"/>
                          <w:spacing w:line="243" w:lineRule="exact"/>
                          <w:ind w:left="109"/>
                          <w:rPr>
                            <w:sz w:val="20"/>
                          </w:rPr>
                        </w:pPr>
                        <w:r>
                          <w:rPr>
                            <w:sz w:val="20"/>
                          </w:rPr>
                          <w:t>6, 7, 8, 9, 10, 11, 12, 13, 14,</w:t>
                        </w:r>
                      </w:p>
                      <w:p>
                        <w:pPr>
                          <w:pStyle w:val="TableParagraph"/>
                          <w:spacing w:line="223" w:lineRule="exact"/>
                          <w:ind w:left="109"/>
                          <w:rPr>
                            <w:sz w:val="20"/>
                          </w:rPr>
                        </w:pPr>
                        <w:r>
                          <w:rPr>
                            <w:sz w:val="20"/>
                          </w:rPr>
                          <w:t>15</w:t>
                        </w:r>
                      </w:p>
                    </w:tc>
                    <w:tc>
                      <w:tcPr>
                        <w:tcW w:w="1258" w:type="dxa"/>
                        <w:shd w:val="clear" w:color="auto" w:fill="DBE4F0"/>
                      </w:tcPr>
                      <w:p>
                        <w:pPr>
                          <w:pStyle w:val="TableParagraph"/>
                          <w:spacing w:line="243" w:lineRule="exact"/>
                          <w:ind w:left="111"/>
                          <w:rPr>
                            <w:sz w:val="20"/>
                          </w:rPr>
                        </w:pPr>
                        <w:r>
                          <w:rPr>
                            <w:sz w:val="20"/>
                          </w:rPr>
                          <w:t>10.3</w:t>
                        </w:r>
                      </w:p>
                    </w:tc>
                    <w:tc>
                      <w:tcPr>
                        <w:tcW w:w="898" w:type="dxa"/>
                        <w:shd w:val="clear" w:color="auto" w:fill="DBE4F0"/>
                      </w:tcPr>
                      <w:p>
                        <w:pPr>
                          <w:pStyle w:val="TableParagraph"/>
                          <w:spacing w:line="243" w:lineRule="exact"/>
                          <w:ind w:left="113"/>
                          <w:rPr>
                            <w:sz w:val="20"/>
                          </w:rPr>
                        </w:pPr>
                        <w:r>
                          <w:rPr>
                            <w:sz w:val="20"/>
                          </w:rPr>
                          <w:t>10, 12</w:t>
                        </w:r>
                      </w:p>
                    </w:tc>
                  </w:tr>
                  <w:tr>
                    <w:trPr>
                      <w:trHeight w:val="489" w:hRule="atLeast"/>
                    </w:trPr>
                    <w:tc>
                      <w:tcPr>
                        <w:tcW w:w="1238" w:type="dxa"/>
                        <w:shd w:val="clear" w:color="auto" w:fill="EAF0DD"/>
                      </w:tcPr>
                      <w:p>
                        <w:pPr>
                          <w:pStyle w:val="TableParagraph"/>
                          <w:spacing w:before="1"/>
                          <w:rPr>
                            <w:sz w:val="20"/>
                          </w:rPr>
                        </w:pPr>
                        <w:r>
                          <w:rPr>
                            <w:sz w:val="20"/>
                          </w:rPr>
                          <w:t>D3S1358</w:t>
                        </w:r>
                      </w:p>
                    </w:tc>
                    <w:tc>
                      <w:tcPr>
                        <w:tcW w:w="940" w:type="dxa"/>
                        <w:shd w:val="clear" w:color="auto" w:fill="EAF0DD"/>
                      </w:tcPr>
                      <w:p>
                        <w:pPr>
                          <w:pStyle w:val="TableParagraph"/>
                          <w:spacing w:before="1"/>
                          <w:ind w:left="108"/>
                          <w:rPr>
                            <w:sz w:val="20"/>
                          </w:rPr>
                        </w:pPr>
                        <w:r>
                          <w:rPr>
                            <w:sz w:val="20"/>
                          </w:rPr>
                          <w:t>VIC</w:t>
                        </w:r>
                      </w:p>
                    </w:tc>
                    <w:tc>
                      <w:tcPr>
                        <w:tcW w:w="900" w:type="dxa"/>
                        <w:shd w:val="clear" w:color="auto" w:fill="EAF0DD"/>
                      </w:tcPr>
                      <w:p>
                        <w:pPr>
                          <w:pStyle w:val="TableParagraph"/>
                          <w:spacing w:before="1"/>
                          <w:rPr>
                            <w:sz w:val="20"/>
                          </w:rPr>
                        </w:pPr>
                        <w:r>
                          <w:rPr>
                            <w:sz w:val="20"/>
                          </w:rPr>
                          <w:t>Green</w:t>
                        </w:r>
                      </w:p>
                    </w:tc>
                    <w:tc>
                      <w:tcPr>
                        <w:tcW w:w="1079" w:type="dxa"/>
                        <w:shd w:val="clear" w:color="auto" w:fill="EAF0DD"/>
                      </w:tcPr>
                      <w:p>
                        <w:pPr>
                          <w:pStyle w:val="TableParagraph"/>
                          <w:spacing w:before="1"/>
                          <w:rPr>
                            <w:sz w:val="20"/>
                          </w:rPr>
                        </w:pPr>
                        <w:r>
                          <w:rPr>
                            <w:sz w:val="20"/>
                          </w:rPr>
                          <w:t>114-142</w:t>
                        </w:r>
                      </w:p>
                    </w:tc>
                    <w:tc>
                      <w:tcPr>
                        <w:tcW w:w="1079" w:type="dxa"/>
                        <w:shd w:val="clear" w:color="auto" w:fill="EAF0DD"/>
                      </w:tcPr>
                      <w:p>
                        <w:pPr>
                          <w:pStyle w:val="TableParagraph"/>
                          <w:spacing w:before="1"/>
                          <w:ind w:left="108"/>
                          <w:rPr>
                            <w:sz w:val="20"/>
                          </w:rPr>
                        </w:pPr>
                        <w:r>
                          <w:rPr>
                            <w:w w:val="99"/>
                            <w:sz w:val="20"/>
                          </w:rPr>
                          <w:t>8</w:t>
                        </w:r>
                      </w:p>
                    </w:tc>
                    <w:tc>
                      <w:tcPr>
                        <w:tcW w:w="2519" w:type="dxa"/>
                        <w:shd w:val="clear" w:color="auto" w:fill="EAF0DD"/>
                      </w:tcPr>
                      <w:p>
                        <w:pPr>
                          <w:pStyle w:val="TableParagraph"/>
                          <w:spacing w:before="1"/>
                          <w:ind w:left="109"/>
                          <w:rPr>
                            <w:sz w:val="20"/>
                          </w:rPr>
                        </w:pPr>
                        <w:r>
                          <w:rPr>
                            <w:sz w:val="20"/>
                          </w:rPr>
                          <w:t>12, 13, 14, 15, 16, 17, 18, 19</w:t>
                        </w:r>
                      </w:p>
                    </w:tc>
                    <w:tc>
                      <w:tcPr>
                        <w:tcW w:w="1258" w:type="dxa"/>
                        <w:shd w:val="clear" w:color="auto" w:fill="EAF0DD"/>
                      </w:tcPr>
                      <w:p>
                        <w:pPr>
                          <w:pStyle w:val="TableParagraph"/>
                          <w:spacing w:line="243" w:lineRule="exact" w:before="1"/>
                          <w:ind w:left="111"/>
                          <w:rPr>
                            <w:sz w:val="20"/>
                          </w:rPr>
                        </w:pPr>
                        <w:r>
                          <w:rPr>
                            <w:sz w:val="20"/>
                          </w:rPr>
                          <w:t>9, 11, 15.2,</w:t>
                        </w:r>
                      </w:p>
                      <w:p>
                        <w:pPr>
                          <w:pStyle w:val="TableParagraph"/>
                          <w:spacing w:line="225" w:lineRule="exact"/>
                          <w:ind w:left="111"/>
                          <w:rPr>
                            <w:sz w:val="20"/>
                          </w:rPr>
                        </w:pPr>
                        <w:r>
                          <w:rPr>
                            <w:sz w:val="20"/>
                          </w:rPr>
                          <w:t>20</w:t>
                        </w:r>
                      </w:p>
                    </w:tc>
                    <w:tc>
                      <w:tcPr>
                        <w:tcW w:w="898" w:type="dxa"/>
                        <w:shd w:val="clear" w:color="auto" w:fill="EAF0DD"/>
                      </w:tcPr>
                      <w:p>
                        <w:pPr>
                          <w:pStyle w:val="TableParagraph"/>
                          <w:spacing w:before="1"/>
                          <w:ind w:left="113"/>
                          <w:rPr>
                            <w:sz w:val="20"/>
                          </w:rPr>
                        </w:pPr>
                        <w:r>
                          <w:rPr>
                            <w:sz w:val="20"/>
                          </w:rPr>
                          <w:t>14, 15</w:t>
                        </w:r>
                      </w:p>
                    </w:tc>
                  </w:tr>
                  <w:tr>
                    <w:trPr>
                      <w:trHeight w:val="489" w:hRule="atLeast"/>
                    </w:trPr>
                    <w:tc>
                      <w:tcPr>
                        <w:tcW w:w="1238" w:type="dxa"/>
                        <w:shd w:val="clear" w:color="auto" w:fill="EAF0DD"/>
                      </w:tcPr>
                      <w:p>
                        <w:pPr>
                          <w:pStyle w:val="TableParagraph"/>
                          <w:spacing w:line="243" w:lineRule="exact"/>
                          <w:rPr>
                            <w:sz w:val="20"/>
                          </w:rPr>
                        </w:pPr>
                        <w:r>
                          <w:rPr>
                            <w:sz w:val="20"/>
                          </w:rPr>
                          <w:t>THO1</w:t>
                        </w:r>
                      </w:p>
                    </w:tc>
                    <w:tc>
                      <w:tcPr>
                        <w:tcW w:w="940" w:type="dxa"/>
                        <w:shd w:val="clear" w:color="auto" w:fill="EAF0DD"/>
                      </w:tcPr>
                      <w:p>
                        <w:pPr>
                          <w:pStyle w:val="TableParagraph"/>
                          <w:spacing w:line="243" w:lineRule="exact"/>
                          <w:ind w:left="108"/>
                          <w:rPr>
                            <w:sz w:val="20"/>
                          </w:rPr>
                        </w:pPr>
                        <w:r>
                          <w:rPr>
                            <w:sz w:val="20"/>
                          </w:rPr>
                          <w:t>VIC</w:t>
                        </w:r>
                      </w:p>
                    </w:tc>
                    <w:tc>
                      <w:tcPr>
                        <w:tcW w:w="900" w:type="dxa"/>
                        <w:shd w:val="clear" w:color="auto" w:fill="EAF0DD"/>
                      </w:tcPr>
                      <w:p>
                        <w:pPr>
                          <w:pStyle w:val="TableParagraph"/>
                          <w:spacing w:line="243" w:lineRule="exact"/>
                          <w:rPr>
                            <w:sz w:val="20"/>
                          </w:rPr>
                        </w:pPr>
                        <w:r>
                          <w:rPr>
                            <w:sz w:val="20"/>
                          </w:rPr>
                          <w:t>Green</w:t>
                        </w:r>
                      </w:p>
                    </w:tc>
                    <w:tc>
                      <w:tcPr>
                        <w:tcW w:w="1079" w:type="dxa"/>
                        <w:shd w:val="clear" w:color="auto" w:fill="EAF0DD"/>
                      </w:tcPr>
                      <w:p>
                        <w:pPr>
                          <w:pStyle w:val="TableParagraph"/>
                          <w:spacing w:line="243" w:lineRule="exact"/>
                          <w:rPr>
                            <w:sz w:val="20"/>
                          </w:rPr>
                        </w:pPr>
                        <w:r>
                          <w:rPr>
                            <w:sz w:val="20"/>
                          </w:rPr>
                          <w:t>165-204</w:t>
                        </w:r>
                      </w:p>
                    </w:tc>
                    <w:tc>
                      <w:tcPr>
                        <w:tcW w:w="1079" w:type="dxa"/>
                        <w:shd w:val="clear" w:color="auto" w:fill="EAF0DD"/>
                      </w:tcPr>
                      <w:p>
                        <w:pPr>
                          <w:pStyle w:val="TableParagraph"/>
                          <w:spacing w:line="243" w:lineRule="exact"/>
                          <w:ind w:left="108"/>
                          <w:rPr>
                            <w:sz w:val="20"/>
                          </w:rPr>
                        </w:pPr>
                        <w:r>
                          <w:rPr>
                            <w:sz w:val="20"/>
                          </w:rPr>
                          <w:t>10</w:t>
                        </w:r>
                      </w:p>
                    </w:tc>
                    <w:tc>
                      <w:tcPr>
                        <w:tcW w:w="2519" w:type="dxa"/>
                        <w:shd w:val="clear" w:color="auto" w:fill="EAF0DD"/>
                      </w:tcPr>
                      <w:p>
                        <w:pPr>
                          <w:pStyle w:val="TableParagraph"/>
                          <w:spacing w:line="243" w:lineRule="exact"/>
                          <w:ind w:left="109"/>
                          <w:rPr>
                            <w:sz w:val="20"/>
                          </w:rPr>
                        </w:pPr>
                        <w:r>
                          <w:rPr>
                            <w:sz w:val="20"/>
                          </w:rPr>
                          <w:t>4, 5, 6, 7, 8, 9, 9.3, 10, 11,</w:t>
                        </w:r>
                      </w:p>
                      <w:p>
                        <w:pPr>
                          <w:pStyle w:val="TableParagraph"/>
                          <w:spacing w:line="225" w:lineRule="exact"/>
                          <w:ind w:left="109"/>
                          <w:rPr>
                            <w:sz w:val="20"/>
                          </w:rPr>
                        </w:pPr>
                        <w:r>
                          <w:rPr>
                            <w:sz w:val="20"/>
                          </w:rPr>
                          <w:t>13.3</w:t>
                        </w:r>
                      </w:p>
                    </w:tc>
                    <w:tc>
                      <w:tcPr>
                        <w:tcW w:w="1258" w:type="dxa"/>
                        <w:shd w:val="clear" w:color="auto" w:fill="EAF0DD"/>
                      </w:tcPr>
                      <w:p>
                        <w:pPr>
                          <w:pStyle w:val="TableParagraph"/>
                          <w:spacing w:line="243" w:lineRule="exact"/>
                          <w:ind w:left="111"/>
                          <w:rPr>
                            <w:sz w:val="20"/>
                          </w:rPr>
                        </w:pPr>
                        <w:r>
                          <w:rPr>
                            <w:sz w:val="20"/>
                          </w:rPr>
                          <w:t>6.1, 7.1, 7.3,</w:t>
                        </w:r>
                      </w:p>
                      <w:p>
                        <w:pPr>
                          <w:pStyle w:val="TableParagraph"/>
                          <w:spacing w:line="225" w:lineRule="exact"/>
                          <w:ind w:left="111"/>
                          <w:rPr>
                            <w:sz w:val="20"/>
                          </w:rPr>
                        </w:pPr>
                        <w:r>
                          <w:rPr>
                            <w:sz w:val="20"/>
                          </w:rPr>
                          <w:t>8.3, 14</w:t>
                        </w:r>
                      </w:p>
                    </w:tc>
                    <w:tc>
                      <w:tcPr>
                        <w:tcW w:w="898" w:type="dxa"/>
                        <w:shd w:val="clear" w:color="auto" w:fill="EAF0DD"/>
                      </w:tcPr>
                      <w:p>
                        <w:pPr>
                          <w:pStyle w:val="TableParagraph"/>
                          <w:spacing w:line="243" w:lineRule="exact"/>
                          <w:ind w:left="113"/>
                          <w:rPr>
                            <w:sz w:val="20"/>
                          </w:rPr>
                        </w:pPr>
                        <w:r>
                          <w:rPr>
                            <w:sz w:val="20"/>
                          </w:rPr>
                          <w:t>8, 9.3</w:t>
                        </w:r>
                      </w:p>
                    </w:tc>
                  </w:tr>
                  <w:tr>
                    <w:trPr>
                      <w:trHeight w:val="244" w:hRule="atLeast"/>
                    </w:trPr>
                    <w:tc>
                      <w:tcPr>
                        <w:tcW w:w="1238" w:type="dxa"/>
                        <w:shd w:val="clear" w:color="auto" w:fill="EAF0DD"/>
                      </w:tcPr>
                      <w:p>
                        <w:pPr>
                          <w:pStyle w:val="TableParagraph"/>
                          <w:spacing w:line="224" w:lineRule="exact"/>
                          <w:rPr>
                            <w:sz w:val="20"/>
                          </w:rPr>
                        </w:pPr>
                        <w:r>
                          <w:rPr>
                            <w:sz w:val="20"/>
                          </w:rPr>
                          <w:t>D13S317</w:t>
                        </w:r>
                      </w:p>
                    </w:tc>
                    <w:tc>
                      <w:tcPr>
                        <w:tcW w:w="940" w:type="dxa"/>
                        <w:shd w:val="clear" w:color="auto" w:fill="EAF0DD"/>
                      </w:tcPr>
                      <w:p>
                        <w:pPr>
                          <w:pStyle w:val="TableParagraph"/>
                          <w:spacing w:line="224" w:lineRule="exact"/>
                          <w:ind w:left="108"/>
                          <w:rPr>
                            <w:sz w:val="20"/>
                          </w:rPr>
                        </w:pPr>
                        <w:r>
                          <w:rPr>
                            <w:sz w:val="20"/>
                          </w:rPr>
                          <w:t>VIC</w:t>
                        </w:r>
                      </w:p>
                    </w:tc>
                    <w:tc>
                      <w:tcPr>
                        <w:tcW w:w="900" w:type="dxa"/>
                        <w:shd w:val="clear" w:color="auto" w:fill="EAF0DD"/>
                      </w:tcPr>
                      <w:p>
                        <w:pPr>
                          <w:pStyle w:val="TableParagraph"/>
                          <w:spacing w:line="224" w:lineRule="exact"/>
                          <w:rPr>
                            <w:sz w:val="20"/>
                          </w:rPr>
                        </w:pPr>
                        <w:r>
                          <w:rPr>
                            <w:sz w:val="20"/>
                          </w:rPr>
                          <w:t>Green</w:t>
                        </w:r>
                      </w:p>
                    </w:tc>
                    <w:tc>
                      <w:tcPr>
                        <w:tcW w:w="1079" w:type="dxa"/>
                        <w:shd w:val="clear" w:color="auto" w:fill="EAF0DD"/>
                      </w:tcPr>
                      <w:p>
                        <w:pPr>
                          <w:pStyle w:val="TableParagraph"/>
                          <w:spacing w:line="224" w:lineRule="exact"/>
                          <w:rPr>
                            <w:sz w:val="20"/>
                          </w:rPr>
                        </w:pPr>
                        <w:r>
                          <w:rPr>
                            <w:sz w:val="20"/>
                          </w:rPr>
                          <w:t>218-246</w:t>
                        </w:r>
                      </w:p>
                    </w:tc>
                    <w:tc>
                      <w:tcPr>
                        <w:tcW w:w="1079" w:type="dxa"/>
                        <w:shd w:val="clear" w:color="auto" w:fill="EAF0DD"/>
                      </w:tcPr>
                      <w:p>
                        <w:pPr>
                          <w:pStyle w:val="TableParagraph"/>
                          <w:spacing w:line="224" w:lineRule="exact"/>
                          <w:ind w:left="108"/>
                          <w:rPr>
                            <w:sz w:val="20"/>
                          </w:rPr>
                        </w:pPr>
                        <w:r>
                          <w:rPr>
                            <w:w w:val="99"/>
                            <w:sz w:val="20"/>
                          </w:rPr>
                          <w:t>8</w:t>
                        </w:r>
                      </w:p>
                    </w:tc>
                    <w:tc>
                      <w:tcPr>
                        <w:tcW w:w="2519" w:type="dxa"/>
                        <w:shd w:val="clear" w:color="auto" w:fill="EAF0DD"/>
                      </w:tcPr>
                      <w:p>
                        <w:pPr>
                          <w:pStyle w:val="TableParagraph"/>
                          <w:spacing w:line="224" w:lineRule="exact"/>
                          <w:ind w:left="109"/>
                          <w:rPr>
                            <w:sz w:val="20"/>
                          </w:rPr>
                        </w:pPr>
                        <w:r>
                          <w:rPr>
                            <w:sz w:val="20"/>
                          </w:rPr>
                          <w:t>8, 9, 10, 11, 12, 13, 14, 15</w:t>
                        </w:r>
                      </w:p>
                    </w:tc>
                    <w:tc>
                      <w:tcPr>
                        <w:tcW w:w="1258" w:type="dxa"/>
                        <w:shd w:val="clear" w:color="auto" w:fill="EAF0DD"/>
                      </w:tcPr>
                      <w:p>
                        <w:pPr>
                          <w:pStyle w:val="TableParagraph"/>
                          <w:spacing w:line="224" w:lineRule="exact"/>
                          <w:ind w:left="111"/>
                          <w:rPr>
                            <w:sz w:val="20"/>
                          </w:rPr>
                        </w:pPr>
                        <w:r>
                          <w:rPr>
                            <w:w w:val="99"/>
                            <w:sz w:val="20"/>
                          </w:rPr>
                          <w:t>5</w:t>
                        </w:r>
                      </w:p>
                    </w:tc>
                    <w:tc>
                      <w:tcPr>
                        <w:tcW w:w="898" w:type="dxa"/>
                        <w:shd w:val="clear" w:color="auto" w:fill="EAF0DD"/>
                      </w:tcPr>
                      <w:p>
                        <w:pPr>
                          <w:pStyle w:val="TableParagraph"/>
                          <w:spacing w:line="224" w:lineRule="exact"/>
                          <w:ind w:left="113"/>
                          <w:rPr>
                            <w:sz w:val="20"/>
                          </w:rPr>
                        </w:pPr>
                        <w:r>
                          <w:rPr>
                            <w:sz w:val="20"/>
                          </w:rPr>
                          <w:t>11</w:t>
                        </w:r>
                      </w:p>
                    </w:tc>
                  </w:tr>
                  <w:tr>
                    <w:trPr>
                      <w:trHeight w:val="242" w:hRule="atLeast"/>
                    </w:trPr>
                    <w:tc>
                      <w:tcPr>
                        <w:tcW w:w="1238" w:type="dxa"/>
                        <w:shd w:val="clear" w:color="auto" w:fill="EAF0DD"/>
                      </w:tcPr>
                      <w:p>
                        <w:pPr>
                          <w:pStyle w:val="TableParagraph"/>
                          <w:spacing w:line="222" w:lineRule="exact"/>
                          <w:rPr>
                            <w:sz w:val="20"/>
                          </w:rPr>
                        </w:pPr>
                        <w:r>
                          <w:rPr>
                            <w:sz w:val="20"/>
                          </w:rPr>
                          <w:t>D16S539</w:t>
                        </w:r>
                      </w:p>
                    </w:tc>
                    <w:tc>
                      <w:tcPr>
                        <w:tcW w:w="940" w:type="dxa"/>
                        <w:shd w:val="clear" w:color="auto" w:fill="EAF0DD"/>
                      </w:tcPr>
                      <w:p>
                        <w:pPr>
                          <w:pStyle w:val="TableParagraph"/>
                          <w:spacing w:line="222" w:lineRule="exact"/>
                          <w:ind w:left="108"/>
                          <w:rPr>
                            <w:sz w:val="20"/>
                          </w:rPr>
                        </w:pPr>
                        <w:r>
                          <w:rPr>
                            <w:sz w:val="20"/>
                          </w:rPr>
                          <w:t>VIC</w:t>
                        </w:r>
                      </w:p>
                    </w:tc>
                    <w:tc>
                      <w:tcPr>
                        <w:tcW w:w="900" w:type="dxa"/>
                        <w:shd w:val="clear" w:color="auto" w:fill="EAF0DD"/>
                      </w:tcPr>
                      <w:p>
                        <w:pPr>
                          <w:pStyle w:val="TableParagraph"/>
                          <w:spacing w:line="222" w:lineRule="exact"/>
                          <w:rPr>
                            <w:sz w:val="20"/>
                          </w:rPr>
                        </w:pPr>
                        <w:r>
                          <w:rPr>
                            <w:sz w:val="20"/>
                          </w:rPr>
                          <w:t>Green</w:t>
                        </w:r>
                      </w:p>
                    </w:tc>
                    <w:tc>
                      <w:tcPr>
                        <w:tcW w:w="1079" w:type="dxa"/>
                        <w:shd w:val="clear" w:color="auto" w:fill="EAF0DD"/>
                      </w:tcPr>
                      <w:p>
                        <w:pPr>
                          <w:pStyle w:val="TableParagraph"/>
                          <w:spacing w:line="222" w:lineRule="exact"/>
                          <w:rPr>
                            <w:sz w:val="20"/>
                          </w:rPr>
                        </w:pPr>
                        <w:r>
                          <w:rPr>
                            <w:sz w:val="20"/>
                          </w:rPr>
                          <w:t>257-297</w:t>
                        </w:r>
                      </w:p>
                    </w:tc>
                    <w:tc>
                      <w:tcPr>
                        <w:tcW w:w="1079" w:type="dxa"/>
                        <w:shd w:val="clear" w:color="auto" w:fill="EAF0DD"/>
                      </w:tcPr>
                      <w:p>
                        <w:pPr>
                          <w:pStyle w:val="TableParagraph"/>
                          <w:spacing w:line="222" w:lineRule="exact"/>
                          <w:ind w:left="108"/>
                          <w:rPr>
                            <w:sz w:val="20"/>
                          </w:rPr>
                        </w:pPr>
                        <w:r>
                          <w:rPr>
                            <w:w w:val="99"/>
                            <w:sz w:val="20"/>
                          </w:rPr>
                          <w:t>9</w:t>
                        </w:r>
                      </w:p>
                    </w:tc>
                    <w:tc>
                      <w:tcPr>
                        <w:tcW w:w="2519" w:type="dxa"/>
                        <w:shd w:val="clear" w:color="auto" w:fill="EAF0DD"/>
                      </w:tcPr>
                      <w:p>
                        <w:pPr>
                          <w:pStyle w:val="TableParagraph"/>
                          <w:spacing w:line="222" w:lineRule="exact"/>
                          <w:ind w:left="109"/>
                          <w:rPr>
                            <w:sz w:val="20"/>
                          </w:rPr>
                        </w:pPr>
                        <w:r>
                          <w:rPr>
                            <w:sz w:val="20"/>
                          </w:rPr>
                          <w:t>5, 8, 9, 10, 11, 12, 13, 14, 15</w:t>
                        </w:r>
                      </w:p>
                    </w:tc>
                    <w:tc>
                      <w:tcPr>
                        <w:tcW w:w="1258" w:type="dxa"/>
                        <w:shd w:val="clear" w:color="auto" w:fill="EAF0DD"/>
                      </w:tcPr>
                      <w:p>
                        <w:pPr>
                          <w:pStyle w:val="TableParagraph"/>
                          <w:spacing w:line="222" w:lineRule="exact"/>
                          <w:ind w:left="111"/>
                          <w:rPr>
                            <w:sz w:val="20"/>
                          </w:rPr>
                        </w:pPr>
                        <w:r>
                          <w:rPr>
                            <w:w w:val="99"/>
                            <w:sz w:val="20"/>
                          </w:rPr>
                          <w:t>-</w:t>
                        </w:r>
                      </w:p>
                    </w:tc>
                    <w:tc>
                      <w:tcPr>
                        <w:tcW w:w="898" w:type="dxa"/>
                        <w:shd w:val="clear" w:color="auto" w:fill="EAF0DD"/>
                      </w:tcPr>
                      <w:p>
                        <w:pPr>
                          <w:pStyle w:val="TableParagraph"/>
                          <w:spacing w:line="222" w:lineRule="exact"/>
                          <w:ind w:left="113"/>
                          <w:rPr>
                            <w:sz w:val="20"/>
                          </w:rPr>
                        </w:pPr>
                        <w:r>
                          <w:rPr>
                            <w:sz w:val="20"/>
                          </w:rPr>
                          <w:t>11, 12</w:t>
                        </w:r>
                      </w:p>
                    </w:tc>
                  </w:tr>
                  <w:tr>
                    <w:trPr>
                      <w:trHeight w:val="489" w:hRule="atLeast"/>
                    </w:trPr>
                    <w:tc>
                      <w:tcPr>
                        <w:tcW w:w="1238" w:type="dxa"/>
                        <w:shd w:val="clear" w:color="auto" w:fill="EAF0DD"/>
                      </w:tcPr>
                      <w:p>
                        <w:pPr>
                          <w:pStyle w:val="TableParagraph"/>
                          <w:spacing w:before="1"/>
                          <w:rPr>
                            <w:sz w:val="20"/>
                          </w:rPr>
                        </w:pPr>
                        <w:r>
                          <w:rPr>
                            <w:sz w:val="20"/>
                          </w:rPr>
                          <w:t>D2S1338</w:t>
                        </w:r>
                      </w:p>
                    </w:tc>
                    <w:tc>
                      <w:tcPr>
                        <w:tcW w:w="940" w:type="dxa"/>
                        <w:shd w:val="clear" w:color="auto" w:fill="EAF0DD"/>
                      </w:tcPr>
                      <w:p>
                        <w:pPr>
                          <w:pStyle w:val="TableParagraph"/>
                          <w:spacing w:before="1"/>
                          <w:ind w:left="108"/>
                          <w:rPr>
                            <w:sz w:val="20"/>
                          </w:rPr>
                        </w:pPr>
                        <w:r>
                          <w:rPr>
                            <w:sz w:val="20"/>
                          </w:rPr>
                          <w:t>VIC</w:t>
                        </w:r>
                      </w:p>
                    </w:tc>
                    <w:tc>
                      <w:tcPr>
                        <w:tcW w:w="900" w:type="dxa"/>
                        <w:shd w:val="clear" w:color="auto" w:fill="EAF0DD"/>
                      </w:tcPr>
                      <w:p>
                        <w:pPr>
                          <w:pStyle w:val="TableParagraph"/>
                          <w:spacing w:before="1"/>
                          <w:rPr>
                            <w:sz w:val="20"/>
                          </w:rPr>
                        </w:pPr>
                        <w:r>
                          <w:rPr>
                            <w:sz w:val="20"/>
                          </w:rPr>
                          <w:t>Green</w:t>
                        </w:r>
                      </w:p>
                    </w:tc>
                    <w:tc>
                      <w:tcPr>
                        <w:tcW w:w="1079" w:type="dxa"/>
                        <w:shd w:val="clear" w:color="auto" w:fill="EAF0DD"/>
                      </w:tcPr>
                      <w:p>
                        <w:pPr>
                          <w:pStyle w:val="TableParagraph"/>
                          <w:spacing w:before="1"/>
                          <w:rPr>
                            <w:sz w:val="20"/>
                          </w:rPr>
                        </w:pPr>
                        <w:r>
                          <w:rPr>
                            <w:sz w:val="20"/>
                          </w:rPr>
                          <w:t>305-357</w:t>
                        </w:r>
                      </w:p>
                    </w:tc>
                    <w:tc>
                      <w:tcPr>
                        <w:tcW w:w="1079" w:type="dxa"/>
                        <w:shd w:val="clear" w:color="auto" w:fill="EAF0DD"/>
                      </w:tcPr>
                      <w:p>
                        <w:pPr>
                          <w:pStyle w:val="TableParagraph"/>
                          <w:spacing w:before="1"/>
                          <w:ind w:left="108"/>
                          <w:rPr>
                            <w:sz w:val="20"/>
                          </w:rPr>
                        </w:pPr>
                        <w:r>
                          <w:rPr>
                            <w:sz w:val="20"/>
                          </w:rPr>
                          <w:t>14</w:t>
                        </w:r>
                      </w:p>
                    </w:tc>
                    <w:tc>
                      <w:tcPr>
                        <w:tcW w:w="2519" w:type="dxa"/>
                        <w:shd w:val="clear" w:color="auto" w:fill="EAF0DD"/>
                      </w:tcPr>
                      <w:p>
                        <w:pPr>
                          <w:pStyle w:val="TableParagraph"/>
                          <w:spacing w:line="243" w:lineRule="exact" w:before="1"/>
                          <w:ind w:left="109"/>
                          <w:rPr>
                            <w:sz w:val="20"/>
                          </w:rPr>
                        </w:pPr>
                        <w:r>
                          <w:rPr>
                            <w:sz w:val="20"/>
                          </w:rPr>
                          <w:t>15, 16, 17, 18, 19, 20, 21,</w:t>
                        </w:r>
                      </w:p>
                      <w:p>
                        <w:pPr>
                          <w:pStyle w:val="TableParagraph"/>
                          <w:spacing w:line="225" w:lineRule="exact"/>
                          <w:ind w:left="109"/>
                          <w:rPr>
                            <w:sz w:val="20"/>
                          </w:rPr>
                        </w:pPr>
                        <w:r>
                          <w:rPr>
                            <w:sz w:val="20"/>
                          </w:rPr>
                          <w:t>22, 23, 24, 25, 26, 27, 28</w:t>
                        </w:r>
                      </w:p>
                    </w:tc>
                    <w:tc>
                      <w:tcPr>
                        <w:tcW w:w="1258" w:type="dxa"/>
                        <w:shd w:val="clear" w:color="auto" w:fill="EAF0DD"/>
                      </w:tcPr>
                      <w:p>
                        <w:pPr>
                          <w:pStyle w:val="TableParagraph"/>
                          <w:spacing w:before="1"/>
                          <w:ind w:left="111"/>
                          <w:rPr>
                            <w:sz w:val="20"/>
                          </w:rPr>
                        </w:pPr>
                        <w:r>
                          <w:rPr>
                            <w:w w:val="99"/>
                            <w:sz w:val="20"/>
                          </w:rPr>
                          <w:t>-</w:t>
                        </w:r>
                      </w:p>
                    </w:tc>
                    <w:tc>
                      <w:tcPr>
                        <w:tcW w:w="898" w:type="dxa"/>
                        <w:shd w:val="clear" w:color="auto" w:fill="EAF0DD"/>
                      </w:tcPr>
                      <w:p>
                        <w:pPr>
                          <w:pStyle w:val="TableParagraph"/>
                          <w:spacing w:before="1"/>
                          <w:ind w:left="113"/>
                          <w:rPr>
                            <w:sz w:val="20"/>
                          </w:rPr>
                        </w:pPr>
                        <w:r>
                          <w:rPr>
                            <w:sz w:val="20"/>
                          </w:rPr>
                          <w:t>19, 23</w:t>
                        </w:r>
                      </w:p>
                    </w:tc>
                  </w:tr>
                  <w:tr>
                    <w:trPr>
                      <w:trHeight w:val="731" w:hRule="atLeast"/>
                    </w:trPr>
                    <w:tc>
                      <w:tcPr>
                        <w:tcW w:w="1238" w:type="dxa"/>
                        <w:shd w:val="clear" w:color="auto" w:fill="FFFFCC"/>
                      </w:tcPr>
                      <w:p>
                        <w:pPr>
                          <w:pStyle w:val="TableParagraph"/>
                          <w:spacing w:line="243" w:lineRule="exact"/>
                          <w:rPr>
                            <w:sz w:val="20"/>
                          </w:rPr>
                        </w:pPr>
                        <w:r>
                          <w:rPr>
                            <w:sz w:val="20"/>
                          </w:rPr>
                          <w:t>D19S433</w:t>
                        </w:r>
                      </w:p>
                    </w:tc>
                    <w:tc>
                      <w:tcPr>
                        <w:tcW w:w="940" w:type="dxa"/>
                        <w:shd w:val="clear" w:color="auto" w:fill="FFFFCC"/>
                      </w:tcPr>
                      <w:p>
                        <w:pPr>
                          <w:pStyle w:val="TableParagraph"/>
                          <w:spacing w:line="243" w:lineRule="exact"/>
                          <w:ind w:left="108"/>
                          <w:rPr>
                            <w:sz w:val="20"/>
                          </w:rPr>
                        </w:pPr>
                        <w:r>
                          <w:rPr>
                            <w:sz w:val="20"/>
                          </w:rPr>
                          <w:t>NED</w:t>
                        </w:r>
                      </w:p>
                    </w:tc>
                    <w:tc>
                      <w:tcPr>
                        <w:tcW w:w="900" w:type="dxa"/>
                        <w:shd w:val="clear" w:color="auto" w:fill="FFFFCC"/>
                      </w:tcPr>
                      <w:p>
                        <w:pPr>
                          <w:pStyle w:val="TableParagraph"/>
                          <w:spacing w:line="243" w:lineRule="exact"/>
                          <w:rPr>
                            <w:sz w:val="20"/>
                          </w:rPr>
                        </w:pPr>
                        <w:r>
                          <w:rPr>
                            <w:sz w:val="20"/>
                          </w:rPr>
                          <w:t>Yellow</w:t>
                        </w:r>
                      </w:p>
                    </w:tc>
                    <w:tc>
                      <w:tcPr>
                        <w:tcW w:w="1079" w:type="dxa"/>
                        <w:shd w:val="clear" w:color="auto" w:fill="FFFFCC"/>
                      </w:tcPr>
                      <w:p>
                        <w:pPr>
                          <w:pStyle w:val="TableParagraph"/>
                          <w:spacing w:line="243" w:lineRule="exact"/>
                          <w:rPr>
                            <w:sz w:val="20"/>
                          </w:rPr>
                        </w:pPr>
                        <w:r>
                          <w:rPr>
                            <w:sz w:val="20"/>
                          </w:rPr>
                          <w:t>106-140</w:t>
                        </w:r>
                      </w:p>
                    </w:tc>
                    <w:tc>
                      <w:tcPr>
                        <w:tcW w:w="1079" w:type="dxa"/>
                        <w:shd w:val="clear" w:color="auto" w:fill="FFFFCC"/>
                      </w:tcPr>
                      <w:p>
                        <w:pPr>
                          <w:pStyle w:val="TableParagraph"/>
                          <w:spacing w:line="243" w:lineRule="exact"/>
                          <w:ind w:left="108"/>
                          <w:rPr>
                            <w:sz w:val="20"/>
                          </w:rPr>
                        </w:pPr>
                        <w:r>
                          <w:rPr>
                            <w:sz w:val="20"/>
                          </w:rPr>
                          <w:t>15</w:t>
                        </w:r>
                      </w:p>
                    </w:tc>
                    <w:tc>
                      <w:tcPr>
                        <w:tcW w:w="2519" w:type="dxa"/>
                        <w:shd w:val="clear" w:color="auto" w:fill="FFFFCC"/>
                      </w:tcPr>
                      <w:p>
                        <w:pPr>
                          <w:pStyle w:val="TableParagraph"/>
                          <w:spacing w:line="243" w:lineRule="exact"/>
                          <w:ind w:left="109"/>
                          <w:rPr>
                            <w:sz w:val="20"/>
                          </w:rPr>
                        </w:pPr>
                        <w:r>
                          <w:rPr>
                            <w:sz w:val="20"/>
                          </w:rPr>
                          <w:t>9, 10, 11, 12, 12.2, 13, 13.2,</w:t>
                        </w:r>
                      </w:p>
                      <w:p>
                        <w:pPr>
                          <w:pStyle w:val="TableParagraph"/>
                          <w:ind w:left="109"/>
                          <w:rPr>
                            <w:sz w:val="20"/>
                          </w:rPr>
                        </w:pPr>
                        <w:r>
                          <w:rPr>
                            <w:sz w:val="20"/>
                          </w:rPr>
                          <w:t>14, 14.2, 15, 15.2, 16, 16.2,</w:t>
                        </w:r>
                      </w:p>
                      <w:p>
                        <w:pPr>
                          <w:pStyle w:val="TableParagraph"/>
                          <w:spacing w:line="223" w:lineRule="exact" w:before="1"/>
                          <w:ind w:left="109"/>
                          <w:rPr>
                            <w:sz w:val="20"/>
                          </w:rPr>
                        </w:pPr>
                        <w:r>
                          <w:rPr>
                            <w:sz w:val="20"/>
                          </w:rPr>
                          <w:t>17, 17.2</w:t>
                        </w:r>
                      </w:p>
                    </w:tc>
                    <w:tc>
                      <w:tcPr>
                        <w:tcW w:w="1258" w:type="dxa"/>
                        <w:shd w:val="clear" w:color="auto" w:fill="FFFFCC"/>
                      </w:tcPr>
                      <w:p>
                        <w:pPr>
                          <w:pStyle w:val="TableParagraph"/>
                          <w:spacing w:line="243" w:lineRule="exact"/>
                          <w:ind w:left="111"/>
                          <w:rPr>
                            <w:sz w:val="20"/>
                          </w:rPr>
                        </w:pPr>
                        <w:r>
                          <w:rPr>
                            <w:w w:val="99"/>
                            <w:sz w:val="20"/>
                          </w:rPr>
                          <w:t>-</w:t>
                        </w:r>
                      </w:p>
                    </w:tc>
                    <w:tc>
                      <w:tcPr>
                        <w:tcW w:w="898" w:type="dxa"/>
                        <w:shd w:val="clear" w:color="auto" w:fill="FFFFCC"/>
                      </w:tcPr>
                      <w:p>
                        <w:pPr>
                          <w:pStyle w:val="TableParagraph"/>
                          <w:spacing w:line="243" w:lineRule="exact"/>
                          <w:ind w:left="113"/>
                          <w:rPr>
                            <w:sz w:val="20"/>
                          </w:rPr>
                        </w:pPr>
                        <w:r>
                          <w:rPr>
                            <w:sz w:val="20"/>
                          </w:rPr>
                          <w:t>14, 15</w:t>
                        </w:r>
                      </w:p>
                    </w:tc>
                  </w:tr>
                  <w:tr>
                    <w:trPr>
                      <w:trHeight w:val="489" w:hRule="atLeast"/>
                    </w:trPr>
                    <w:tc>
                      <w:tcPr>
                        <w:tcW w:w="1238" w:type="dxa"/>
                        <w:shd w:val="clear" w:color="auto" w:fill="FFFFCC"/>
                      </w:tcPr>
                      <w:p>
                        <w:pPr>
                          <w:pStyle w:val="TableParagraph"/>
                          <w:spacing w:before="1"/>
                          <w:rPr>
                            <w:sz w:val="20"/>
                          </w:rPr>
                        </w:pPr>
                        <w:r>
                          <w:rPr>
                            <w:sz w:val="20"/>
                          </w:rPr>
                          <w:t>vWA</w:t>
                        </w:r>
                      </w:p>
                    </w:tc>
                    <w:tc>
                      <w:tcPr>
                        <w:tcW w:w="940" w:type="dxa"/>
                        <w:shd w:val="clear" w:color="auto" w:fill="FFFFCC"/>
                      </w:tcPr>
                      <w:p>
                        <w:pPr>
                          <w:pStyle w:val="TableParagraph"/>
                          <w:spacing w:before="1"/>
                          <w:ind w:left="108"/>
                          <w:rPr>
                            <w:sz w:val="20"/>
                          </w:rPr>
                        </w:pPr>
                        <w:r>
                          <w:rPr>
                            <w:sz w:val="20"/>
                          </w:rPr>
                          <w:t>NED</w:t>
                        </w:r>
                      </w:p>
                    </w:tc>
                    <w:tc>
                      <w:tcPr>
                        <w:tcW w:w="900" w:type="dxa"/>
                        <w:shd w:val="clear" w:color="auto" w:fill="FFFFCC"/>
                      </w:tcPr>
                      <w:p>
                        <w:pPr>
                          <w:pStyle w:val="TableParagraph"/>
                          <w:spacing w:before="1"/>
                          <w:rPr>
                            <w:sz w:val="20"/>
                          </w:rPr>
                        </w:pPr>
                        <w:r>
                          <w:rPr>
                            <w:sz w:val="20"/>
                          </w:rPr>
                          <w:t>Yellow</w:t>
                        </w:r>
                      </w:p>
                    </w:tc>
                    <w:tc>
                      <w:tcPr>
                        <w:tcW w:w="1079" w:type="dxa"/>
                        <w:shd w:val="clear" w:color="auto" w:fill="FFFFCC"/>
                      </w:tcPr>
                      <w:p>
                        <w:pPr>
                          <w:pStyle w:val="TableParagraph"/>
                          <w:spacing w:before="1"/>
                          <w:rPr>
                            <w:sz w:val="20"/>
                          </w:rPr>
                        </w:pPr>
                        <w:r>
                          <w:rPr>
                            <w:sz w:val="20"/>
                          </w:rPr>
                          <w:t>157-209</w:t>
                        </w:r>
                      </w:p>
                    </w:tc>
                    <w:tc>
                      <w:tcPr>
                        <w:tcW w:w="1079" w:type="dxa"/>
                        <w:shd w:val="clear" w:color="auto" w:fill="FFFFCC"/>
                      </w:tcPr>
                      <w:p>
                        <w:pPr>
                          <w:pStyle w:val="TableParagraph"/>
                          <w:spacing w:before="1"/>
                          <w:ind w:left="108"/>
                          <w:rPr>
                            <w:sz w:val="20"/>
                          </w:rPr>
                        </w:pPr>
                        <w:r>
                          <w:rPr>
                            <w:sz w:val="20"/>
                          </w:rPr>
                          <w:t>14</w:t>
                        </w:r>
                      </w:p>
                    </w:tc>
                    <w:tc>
                      <w:tcPr>
                        <w:tcW w:w="2519" w:type="dxa"/>
                        <w:shd w:val="clear" w:color="auto" w:fill="FFFFCC"/>
                      </w:tcPr>
                      <w:p>
                        <w:pPr>
                          <w:pStyle w:val="TableParagraph"/>
                          <w:spacing w:line="243" w:lineRule="exact" w:before="1"/>
                          <w:ind w:left="109"/>
                          <w:rPr>
                            <w:sz w:val="20"/>
                          </w:rPr>
                        </w:pPr>
                        <w:r>
                          <w:rPr>
                            <w:sz w:val="20"/>
                          </w:rPr>
                          <w:t>11, 12, 13, 14, 15, 16, 17,</w:t>
                        </w:r>
                      </w:p>
                      <w:p>
                        <w:pPr>
                          <w:pStyle w:val="TableParagraph"/>
                          <w:spacing w:line="225" w:lineRule="exact"/>
                          <w:ind w:left="109"/>
                          <w:rPr>
                            <w:sz w:val="20"/>
                          </w:rPr>
                        </w:pPr>
                        <w:r>
                          <w:rPr>
                            <w:sz w:val="20"/>
                          </w:rPr>
                          <w:t>18, 19, 20, 21, 22, 23, 24</w:t>
                        </w:r>
                      </w:p>
                    </w:tc>
                    <w:tc>
                      <w:tcPr>
                        <w:tcW w:w="1258" w:type="dxa"/>
                        <w:shd w:val="clear" w:color="auto" w:fill="FFFFCC"/>
                      </w:tcPr>
                      <w:p>
                        <w:pPr>
                          <w:pStyle w:val="TableParagraph"/>
                          <w:spacing w:before="1"/>
                          <w:ind w:left="111"/>
                          <w:rPr>
                            <w:sz w:val="20"/>
                          </w:rPr>
                        </w:pPr>
                        <w:r>
                          <w:rPr>
                            <w:sz w:val="20"/>
                          </w:rPr>
                          <w:t>15.2</w:t>
                        </w:r>
                      </w:p>
                    </w:tc>
                    <w:tc>
                      <w:tcPr>
                        <w:tcW w:w="898" w:type="dxa"/>
                        <w:shd w:val="clear" w:color="auto" w:fill="FFFFCC"/>
                      </w:tcPr>
                      <w:p>
                        <w:pPr>
                          <w:pStyle w:val="TableParagraph"/>
                          <w:spacing w:before="1"/>
                          <w:ind w:left="113"/>
                          <w:rPr>
                            <w:sz w:val="20"/>
                          </w:rPr>
                        </w:pPr>
                        <w:r>
                          <w:rPr>
                            <w:sz w:val="20"/>
                          </w:rPr>
                          <w:t>17, 18</w:t>
                        </w:r>
                      </w:p>
                    </w:tc>
                  </w:tr>
                  <w:tr>
                    <w:trPr>
                      <w:trHeight w:val="244" w:hRule="atLeast"/>
                    </w:trPr>
                    <w:tc>
                      <w:tcPr>
                        <w:tcW w:w="1238" w:type="dxa"/>
                        <w:shd w:val="clear" w:color="auto" w:fill="FFFFCC"/>
                      </w:tcPr>
                      <w:p>
                        <w:pPr>
                          <w:pStyle w:val="TableParagraph"/>
                          <w:spacing w:line="224" w:lineRule="exact"/>
                          <w:rPr>
                            <w:sz w:val="20"/>
                          </w:rPr>
                        </w:pPr>
                        <w:r>
                          <w:rPr>
                            <w:sz w:val="20"/>
                          </w:rPr>
                          <w:t>TPOX</w:t>
                        </w:r>
                      </w:p>
                    </w:tc>
                    <w:tc>
                      <w:tcPr>
                        <w:tcW w:w="940" w:type="dxa"/>
                        <w:shd w:val="clear" w:color="auto" w:fill="FFFFCC"/>
                      </w:tcPr>
                      <w:p>
                        <w:pPr>
                          <w:pStyle w:val="TableParagraph"/>
                          <w:spacing w:line="224" w:lineRule="exact"/>
                          <w:ind w:left="108"/>
                          <w:rPr>
                            <w:sz w:val="20"/>
                          </w:rPr>
                        </w:pPr>
                        <w:r>
                          <w:rPr>
                            <w:sz w:val="20"/>
                          </w:rPr>
                          <w:t>NED</w:t>
                        </w:r>
                      </w:p>
                    </w:tc>
                    <w:tc>
                      <w:tcPr>
                        <w:tcW w:w="900" w:type="dxa"/>
                        <w:shd w:val="clear" w:color="auto" w:fill="FFFFCC"/>
                      </w:tcPr>
                      <w:p>
                        <w:pPr>
                          <w:pStyle w:val="TableParagraph"/>
                          <w:spacing w:line="224" w:lineRule="exact"/>
                          <w:rPr>
                            <w:sz w:val="20"/>
                          </w:rPr>
                        </w:pPr>
                        <w:r>
                          <w:rPr>
                            <w:sz w:val="20"/>
                          </w:rPr>
                          <w:t>Yellow</w:t>
                        </w:r>
                      </w:p>
                    </w:tc>
                    <w:tc>
                      <w:tcPr>
                        <w:tcW w:w="1079" w:type="dxa"/>
                        <w:shd w:val="clear" w:color="auto" w:fill="FFFFCC"/>
                      </w:tcPr>
                      <w:p>
                        <w:pPr>
                          <w:pStyle w:val="TableParagraph"/>
                          <w:spacing w:line="224" w:lineRule="exact"/>
                          <w:rPr>
                            <w:sz w:val="20"/>
                          </w:rPr>
                        </w:pPr>
                        <w:r>
                          <w:rPr>
                            <w:sz w:val="20"/>
                          </w:rPr>
                          <w:t>225-253</w:t>
                        </w:r>
                      </w:p>
                    </w:tc>
                    <w:tc>
                      <w:tcPr>
                        <w:tcW w:w="1079" w:type="dxa"/>
                        <w:shd w:val="clear" w:color="auto" w:fill="FFFFCC"/>
                      </w:tcPr>
                      <w:p>
                        <w:pPr>
                          <w:pStyle w:val="TableParagraph"/>
                          <w:spacing w:line="224" w:lineRule="exact"/>
                          <w:ind w:left="108"/>
                          <w:rPr>
                            <w:sz w:val="20"/>
                          </w:rPr>
                        </w:pPr>
                        <w:r>
                          <w:rPr>
                            <w:w w:val="99"/>
                            <w:sz w:val="20"/>
                          </w:rPr>
                          <w:t>8</w:t>
                        </w:r>
                      </w:p>
                    </w:tc>
                    <w:tc>
                      <w:tcPr>
                        <w:tcW w:w="2519" w:type="dxa"/>
                        <w:shd w:val="clear" w:color="auto" w:fill="FFFFCC"/>
                      </w:tcPr>
                      <w:p>
                        <w:pPr>
                          <w:pStyle w:val="TableParagraph"/>
                          <w:spacing w:line="224" w:lineRule="exact"/>
                          <w:ind w:left="109"/>
                          <w:rPr>
                            <w:sz w:val="20"/>
                          </w:rPr>
                        </w:pPr>
                        <w:r>
                          <w:rPr>
                            <w:sz w:val="20"/>
                          </w:rPr>
                          <w:t>6, 7, 8, 9, 10, 11, 12, 13</w:t>
                        </w:r>
                      </w:p>
                    </w:tc>
                    <w:tc>
                      <w:tcPr>
                        <w:tcW w:w="1258" w:type="dxa"/>
                        <w:shd w:val="clear" w:color="auto" w:fill="FFFFCC"/>
                      </w:tcPr>
                      <w:p>
                        <w:pPr>
                          <w:pStyle w:val="TableParagraph"/>
                          <w:spacing w:line="224" w:lineRule="exact"/>
                          <w:ind w:left="111"/>
                          <w:rPr>
                            <w:sz w:val="20"/>
                          </w:rPr>
                        </w:pPr>
                        <w:r>
                          <w:rPr>
                            <w:w w:val="99"/>
                            <w:sz w:val="20"/>
                          </w:rPr>
                          <w:t>-</w:t>
                        </w:r>
                      </w:p>
                    </w:tc>
                    <w:tc>
                      <w:tcPr>
                        <w:tcW w:w="898" w:type="dxa"/>
                        <w:shd w:val="clear" w:color="auto" w:fill="FFFFCC"/>
                      </w:tcPr>
                      <w:p>
                        <w:pPr>
                          <w:pStyle w:val="TableParagraph"/>
                          <w:spacing w:line="224" w:lineRule="exact"/>
                          <w:ind w:left="113"/>
                          <w:rPr>
                            <w:sz w:val="20"/>
                          </w:rPr>
                        </w:pPr>
                        <w:r>
                          <w:rPr>
                            <w:w w:val="99"/>
                            <w:sz w:val="20"/>
                          </w:rPr>
                          <w:t>8</w:t>
                        </w:r>
                      </w:p>
                    </w:tc>
                  </w:tr>
                  <w:tr>
                    <w:trPr>
                      <w:trHeight w:val="976" w:hRule="atLeast"/>
                    </w:trPr>
                    <w:tc>
                      <w:tcPr>
                        <w:tcW w:w="1238" w:type="dxa"/>
                        <w:shd w:val="clear" w:color="auto" w:fill="FFFFCC"/>
                      </w:tcPr>
                      <w:p>
                        <w:pPr>
                          <w:pStyle w:val="TableParagraph"/>
                          <w:spacing w:line="243" w:lineRule="exact"/>
                          <w:rPr>
                            <w:sz w:val="20"/>
                          </w:rPr>
                        </w:pPr>
                        <w:r>
                          <w:rPr>
                            <w:sz w:val="20"/>
                          </w:rPr>
                          <w:t>D18S51</w:t>
                        </w:r>
                      </w:p>
                    </w:tc>
                    <w:tc>
                      <w:tcPr>
                        <w:tcW w:w="940" w:type="dxa"/>
                        <w:shd w:val="clear" w:color="auto" w:fill="FFFFCC"/>
                      </w:tcPr>
                      <w:p>
                        <w:pPr>
                          <w:pStyle w:val="TableParagraph"/>
                          <w:spacing w:line="243" w:lineRule="exact"/>
                          <w:ind w:left="108"/>
                          <w:rPr>
                            <w:sz w:val="20"/>
                          </w:rPr>
                        </w:pPr>
                        <w:r>
                          <w:rPr>
                            <w:sz w:val="20"/>
                          </w:rPr>
                          <w:t>NED</w:t>
                        </w:r>
                      </w:p>
                    </w:tc>
                    <w:tc>
                      <w:tcPr>
                        <w:tcW w:w="900" w:type="dxa"/>
                        <w:shd w:val="clear" w:color="auto" w:fill="FFFFCC"/>
                      </w:tcPr>
                      <w:p>
                        <w:pPr>
                          <w:pStyle w:val="TableParagraph"/>
                          <w:spacing w:line="243" w:lineRule="exact"/>
                          <w:rPr>
                            <w:sz w:val="20"/>
                          </w:rPr>
                        </w:pPr>
                        <w:r>
                          <w:rPr>
                            <w:sz w:val="20"/>
                          </w:rPr>
                          <w:t>Yellow</w:t>
                        </w:r>
                      </w:p>
                    </w:tc>
                    <w:tc>
                      <w:tcPr>
                        <w:tcW w:w="1079" w:type="dxa"/>
                        <w:shd w:val="clear" w:color="auto" w:fill="FFFFCC"/>
                      </w:tcPr>
                      <w:p>
                        <w:pPr>
                          <w:pStyle w:val="TableParagraph"/>
                          <w:spacing w:line="243" w:lineRule="exact"/>
                          <w:rPr>
                            <w:sz w:val="20"/>
                          </w:rPr>
                        </w:pPr>
                        <w:r>
                          <w:rPr>
                            <w:sz w:val="20"/>
                          </w:rPr>
                          <w:t>265-345</w:t>
                        </w:r>
                      </w:p>
                    </w:tc>
                    <w:tc>
                      <w:tcPr>
                        <w:tcW w:w="1079" w:type="dxa"/>
                        <w:shd w:val="clear" w:color="auto" w:fill="FFFFCC"/>
                      </w:tcPr>
                      <w:p>
                        <w:pPr>
                          <w:pStyle w:val="TableParagraph"/>
                          <w:spacing w:line="243" w:lineRule="exact"/>
                          <w:ind w:left="108"/>
                          <w:rPr>
                            <w:sz w:val="20"/>
                          </w:rPr>
                        </w:pPr>
                        <w:r>
                          <w:rPr>
                            <w:sz w:val="20"/>
                          </w:rPr>
                          <w:t>23</w:t>
                        </w:r>
                      </w:p>
                    </w:tc>
                    <w:tc>
                      <w:tcPr>
                        <w:tcW w:w="2519" w:type="dxa"/>
                        <w:shd w:val="clear" w:color="auto" w:fill="FFFFCC"/>
                      </w:tcPr>
                      <w:p>
                        <w:pPr>
                          <w:pStyle w:val="TableParagraph"/>
                          <w:spacing w:line="243" w:lineRule="exact"/>
                          <w:ind w:left="109"/>
                          <w:rPr>
                            <w:sz w:val="20"/>
                          </w:rPr>
                        </w:pPr>
                        <w:r>
                          <w:rPr>
                            <w:sz w:val="20"/>
                          </w:rPr>
                          <w:t>7, 9, 10, 10.2, 11, 12, 13,</w:t>
                        </w:r>
                      </w:p>
                      <w:p>
                        <w:pPr>
                          <w:pStyle w:val="TableParagraph"/>
                          <w:spacing w:line="243" w:lineRule="exact"/>
                          <w:ind w:left="109"/>
                          <w:rPr>
                            <w:sz w:val="20"/>
                          </w:rPr>
                        </w:pPr>
                        <w:r>
                          <w:rPr>
                            <w:sz w:val="20"/>
                          </w:rPr>
                          <w:t>13.2, 14, 14.2, 15, 16,</w:t>
                        </w:r>
                        <w:r>
                          <w:rPr>
                            <w:spacing w:val="-6"/>
                            <w:sz w:val="20"/>
                          </w:rPr>
                          <w:t> </w:t>
                        </w:r>
                        <w:r>
                          <w:rPr>
                            <w:sz w:val="20"/>
                          </w:rPr>
                          <w:t>17,</w:t>
                        </w:r>
                      </w:p>
                      <w:p>
                        <w:pPr>
                          <w:pStyle w:val="TableParagraph"/>
                          <w:spacing w:line="243" w:lineRule="exact"/>
                          <w:ind w:left="109"/>
                          <w:rPr>
                            <w:sz w:val="20"/>
                          </w:rPr>
                        </w:pPr>
                        <w:r>
                          <w:rPr>
                            <w:sz w:val="20"/>
                          </w:rPr>
                          <w:t>18, 19, 20, 21, 22, 23,</w:t>
                        </w:r>
                        <w:r>
                          <w:rPr>
                            <w:spacing w:val="-8"/>
                            <w:sz w:val="20"/>
                          </w:rPr>
                          <w:t> </w:t>
                        </w:r>
                        <w:r>
                          <w:rPr>
                            <w:sz w:val="20"/>
                          </w:rPr>
                          <w:t>24,</w:t>
                        </w:r>
                      </w:p>
                      <w:p>
                        <w:pPr>
                          <w:pStyle w:val="TableParagraph"/>
                          <w:spacing w:line="225" w:lineRule="exact" w:before="1"/>
                          <w:ind w:left="109"/>
                          <w:rPr>
                            <w:sz w:val="20"/>
                          </w:rPr>
                        </w:pPr>
                        <w:r>
                          <w:rPr>
                            <w:sz w:val="20"/>
                          </w:rPr>
                          <w:t>25, 26, 27</w:t>
                        </w:r>
                      </w:p>
                    </w:tc>
                    <w:tc>
                      <w:tcPr>
                        <w:tcW w:w="1258" w:type="dxa"/>
                        <w:shd w:val="clear" w:color="auto" w:fill="FFFFCC"/>
                      </w:tcPr>
                      <w:p>
                        <w:pPr>
                          <w:pStyle w:val="TableParagraph"/>
                          <w:spacing w:line="243" w:lineRule="exact"/>
                          <w:ind w:left="111"/>
                          <w:rPr>
                            <w:sz w:val="20"/>
                          </w:rPr>
                        </w:pPr>
                        <w:r>
                          <w:rPr>
                            <w:sz w:val="20"/>
                          </w:rPr>
                          <w:t>9.2, 15.2,</w:t>
                        </w:r>
                      </w:p>
                      <w:p>
                        <w:pPr>
                          <w:pStyle w:val="TableParagraph"/>
                          <w:ind w:left="111"/>
                          <w:rPr>
                            <w:sz w:val="20"/>
                          </w:rPr>
                        </w:pPr>
                        <w:r>
                          <w:rPr>
                            <w:sz w:val="20"/>
                          </w:rPr>
                          <w:t>17.2, 19.2</w:t>
                        </w:r>
                      </w:p>
                    </w:tc>
                    <w:tc>
                      <w:tcPr>
                        <w:tcW w:w="898" w:type="dxa"/>
                        <w:shd w:val="clear" w:color="auto" w:fill="FFFFCC"/>
                      </w:tcPr>
                      <w:p>
                        <w:pPr>
                          <w:pStyle w:val="TableParagraph"/>
                          <w:spacing w:line="243" w:lineRule="exact"/>
                          <w:ind w:left="113"/>
                          <w:rPr>
                            <w:sz w:val="20"/>
                          </w:rPr>
                        </w:pPr>
                        <w:r>
                          <w:rPr>
                            <w:sz w:val="20"/>
                          </w:rPr>
                          <w:t>15, 19</w:t>
                        </w:r>
                      </w:p>
                    </w:tc>
                  </w:tr>
                  <w:tr>
                    <w:trPr>
                      <w:trHeight w:val="245" w:hRule="atLeast"/>
                    </w:trPr>
                    <w:tc>
                      <w:tcPr>
                        <w:tcW w:w="1238" w:type="dxa"/>
                        <w:shd w:val="clear" w:color="auto" w:fill="F1DBDB"/>
                      </w:tcPr>
                      <w:p>
                        <w:pPr>
                          <w:pStyle w:val="TableParagraph"/>
                          <w:spacing w:line="225" w:lineRule="exact"/>
                          <w:rPr>
                            <w:sz w:val="20"/>
                          </w:rPr>
                        </w:pPr>
                        <w:r>
                          <w:rPr>
                            <w:sz w:val="20"/>
                          </w:rPr>
                          <w:t>Amelogenin</w:t>
                        </w:r>
                      </w:p>
                    </w:tc>
                    <w:tc>
                      <w:tcPr>
                        <w:tcW w:w="940" w:type="dxa"/>
                        <w:shd w:val="clear" w:color="auto" w:fill="F1DBDB"/>
                      </w:tcPr>
                      <w:p>
                        <w:pPr>
                          <w:pStyle w:val="TableParagraph"/>
                          <w:spacing w:line="225" w:lineRule="exact"/>
                          <w:ind w:left="108"/>
                          <w:rPr>
                            <w:sz w:val="20"/>
                          </w:rPr>
                        </w:pPr>
                        <w:r>
                          <w:rPr>
                            <w:sz w:val="20"/>
                          </w:rPr>
                          <w:t>PET</w:t>
                        </w:r>
                      </w:p>
                    </w:tc>
                    <w:tc>
                      <w:tcPr>
                        <w:tcW w:w="900" w:type="dxa"/>
                        <w:shd w:val="clear" w:color="auto" w:fill="F1DBDB"/>
                      </w:tcPr>
                      <w:p>
                        <w:pPr>
                          <w:pStyle w:val="TableParagraph"/>
                          <w:spacing w:line="225" w:lineRule="exact"/>
                          <w:rPr>
                            <w:sz w:val="20"/>
                          </w:rPr>
                        </w:pPr>
                        <w:r>
                          <w:rPr>
                            <w:sz w:val="20"/>
                          </w:rPr>
                          <w:t>Red</w:t>
                        </w:r>
                      </w:p>
                    </w:tc>
                    <w:tc>
                      <w:tcPr>
                        <w:tcW w:w="1079" w:type="dxa"/>
                        <w:shd w:val="clear" w:color="auto" w:fill="F1DBDB"/>
                      </w:tcPr>
                      <w:p>
                        <w:pPr>
                          <w:pStyle w:val="TableParagraph"/>
                          <w:spacing w:line="225" w:lineRule="exact"/>
                          <w:rPr>
                            <w:sz w:val="20"/>
                          </w:rPr>
                        </w:pPr>
                        <w:r>
                          <w:rPr>
                            <w:sz w:val="20"/>
                          </w:rPr>
                          <w:t>107-113</w:t>
                        </w:r>
                      </w:p>
                    </w:tc>
                    <w:tc>
                      <w:tcPr>
                        <w:tcW w:w="1079" w:type="dxa"/>
                        <w:shd w:val="clear" w:color="auto" w:fill="F1DBDB"/>
                      </w:tcPr>
                      <w:p>
                        <w:pPr>
                          <w:pStyle w:val="TableParagraph"/>
                          <w:spacing w:line="225" w:lineRule="exact"/>
                          <w:ind w:left="108"/>
                          <w:rPr>
                            <w:sz w:val="20"/>
                          </w:rPr>
                        </w:pPr>
                        <w:r>
                          <w:rPr>
                            <w:w w:val="99"/>
                            <w:sz w:val="20"/>
                          </w:rPr>
                          <w:t>2</w:t>
                        </w:r>
                      </w:p>
                    </w:tc>
                    <w:tc>
                      <w:tcPr>
                        <w:tcW w:w="2519" w:type="dxa"/>
                        <w:shd w:val="clear" w:color="auto" w:fill="F1DBDB"/>
                      </w:tcPr>
                      <w:p>
                        <w:pPr>
                          <w:pStyle w:val="TableParagraph"/>
                          <w:spacing w:line="225" w:lineRule="exact"/>
                          <w:ind w:left="109"/>
                          <w:rPr>
                            <w:sz w:val="20"/>
                          </w:rPr>
                        </w:pPr>
                        <w:r>
                          <w:rPr>
                            <w:sz w:val="20"/>
                          </w:rPr>
                          <w:t>X, Y</w:t>
                        </w:r>
                      </w:p>
                    </w:tc>
                    <w:tc>
                      <w:tcPr>
                        <w:tcW w:w="1258" w:type="dxa"/>
                        <w:shd w:val="clear" w:color="auto" w:fill="F1DBDB"/>
                      </w:tcPr>
                      <w:p>
                        <w:pPr>
                          <w:pStyle w:val="TableParagraph"/>
                          <w:spacing w:line="225" w:lineRule="exact"/>
                          <w:ind w:left="111"/>
                          <w:rPr>
                            <w:sz w:val="20"/>
                          </w:rPr>
                        </w:pPr>
                        <w:r>
                          <w:rPr>
                            <w:w w:val="99"/>
                            <w:sz w:val="20"/>
                          </w:rPr>
                          <w:t>-</w:t>
                        </w:r>
                      </w:p>
                    </w:tc>
                    <w:tc>
                      <w:tcPr>
                        <w:tcW w:w="898" w:type="dxa"/>
                        <w:shd w:val="clear" w:color="auto" w:fill="F1DBDB"/>
                      </w:tcPr>
                      <w:p>
                        <w:pPr>
                          <w:pStyle w:val="TableParagraph"/>
                          <w:spacing w:line="225" w:lineRule="exact"/>
                          <w:ind w:left="113"/>
                          <w:rPr>
                            <w:sz w:val="20"/>
                          </w:rPr>
                        </w:pPr>
                        <w:r>
                          <w:rPr>
                            <w:w w:val="99"/>
                            <w:sz w:val="20"/>
                          </w:rPr>
                          <w:t>X</w:t>
                        </w:r>
                      </w:p>
                    </w:tc>
                  </w:tr>
                  <w:tr>
                    <w:trPr>
                      <w:trHeight w:val="486" w:hRule="atLeast"/>
                    </w:trPr>
                    <w:tc>
                      <w:tcPr>
                        <w:tcW w:w="1238" w:type="dxa"/>
                        <w:shd w:val="clear" w:color="auto" w:fill="F1DBDB"/>
                      </w:tcPr>
                      <w:p>
                        <w:pPr>
                          <w:pStyle w:val="TableParagraph"/>
                          <w:spacing w:line="243" w:lineRule="exact"/>
                          <w:rPr>
                            <w:sz w:val="20"/>
                          </w:rPr>
                        </w:pPr>
                        <w:r>
                          <w:rPr>
                            <w:sz w:val="20"/>
                          </w:rPr>
                          <w:t>D5S818</w:t>
                        </w:r>
                      </w:p>
                    </w:tc>
                    <w:tc>
                      <w:tcPr>
                        <w:tcW w:w="940" w:type="dxa"/>
                        <w:shd w:val="clear" w:color="auto" w:fill="F1DBDB"/>
                      </w:tcPr>
                      <w:p>
                        <w:pPr>
                          <w:pStyle w:val="TableParagraph"/>
                          <w:spacing w:line="243" w:lineRule="exact"/>
                          <w:ind w:left="108"/>
                          <w:rPr>
                            <w:sz w:val="20"/>
                          </w:rPr>
                        </w:pPr>
                        <w:r>
                          <w:rPr>
                            <w:sz w:val="20"/>
                          </w:rPr>
                          <w:t>PET</w:t>
                        </w:r>
                      </w:p>
                    </w:tc>
                    <w:tc>
                      <w:tcPr>
                        <w:tcW w:w="900" w:type="dxa"/>
                        <w:shd w:val="clear" w:color="auto" w:fill="F1DBDB"/>
                      </w:tcPr>
                      <w:p>
                        <w:pPr>
                          <w:pStyle w:val="TableParagraph"/>
                          <w:spacing w:line="243" w:lineRule="exact"/>
                          <w:rPr>
                            <w:sz w:val="20"/>
                          </w:rPr>
                        </w:pPr>
                        <w:r>
                          <w:rPr>
                            <w:sz w:val="20"/>
                          </w:rPr>
                          <w:t>Red</w:t>
                        </w:r>
                      </w:p>
                    </w:tc>
                    <w:tc>
                      <w:tcPr>
                        <w:tcW w:w="1079" w:type="dxa"/>
                        <w:shd w:val="clear" w:color="auto" w:fill="F1DBDB"/>
                      </w:tcPr>
                      <w:p>
                        <w:pPr>
                          <w:pStyle w:val="TableParagraph"/>
                          <w:spacing w:line="243" w:lineRule="exact"/>
                          <w:rPr>
                            <w:sz w:val="20"/>
                          </w:rPr>
                        </w:pPr>
                        <w:r>
                          <w:rPr>
                            <w:sz w:val="20"/>
                          </w:rPr>
                          <w:t>135-171</w:t>
                        </w:r>
                      </w:p>
                    </w:tc>
                    <w:tc>
                      <w:tcPr>
                        <w:tcW w:w="1079" w:type="dxa"/>
                        <w:shd w:val="clear" w:color="auto" w:fill="F1DBDB"/>
                      </w:tcPr>
                      <w:p>
                        <w:pPr>
                          <w:pStyle w:val="TableParagraph"/>
                          <w:spacing w:line="243" w:lineRule="exact"/>
                          <w:ind w:left="108"/>
                          <w:rPr>
                            <w:sz w:val="20"/>
                          </w:rPr>
                        </w:pPr>
                        <w:r>
                          <w:rPr>
                            <w:sz w:val="20"/>
                          </w:rPr>
                          <w:t>10</w:t>
                        </w:r>
                      </w:p>
                    </w:tc>
                    <w:tc>
                      <w:tcPr>
                        <w:tcW w:w="2519" w:type="dxa"/>
                        <w:shd w:val="clear" w:color="auto" w:fill="F1DBDB"/>
                      </w:tcPr>
                      <w:p>
                        <w:pPr>
                          <w:pStyle w:val="TableParagraph"/>
                          <w:spacing w:line="243" w:lineRule="exact"/>
                          <w:ind w:left="109"/>
                          <w:rPr>
                            <w:sz w:val="20"/>
                          </w:rPr>
                        </w:pPr>
                        <w:r>
                          <w:rPr>
                            <w:sz w:val="20"/>
                          </w:rPr>
                          <w:t>7, 8, 9, 10, 11, 12, 13, 14,</w:t>
                        </w:r>
                      </w:p>
                      <w:p>
                        <w:pPr>
                          <w:pStyle w:val="TableParagraph"/>
                          <w:spacing w:line="223" w:lineRule="exact"/>
                          <w:ind w:left="109"/>
                          <w:rPr>
                            <w:sz w:val="20"/>
                          </w:rPr>
                        </w:pPr>
                        <w:r>
                          <w:rPr>
                            <w:sz w:val="20"/>
                          </w:rPr>
                          <w:t>15, 16</w:t>
                        </w:r>
                      </w:p>
                    </w:tc>
                    <w:tc>
                      <w:tcPr>
                        <w:tcW w:w="1258" w:type="dxa"/>
                        <w:shd w:val="clear" w:color="auto" w:fill="F1DBDB"/>
                      </w:tcPr>
                      <w:p>
                        <w:pPr>
                          <w:pStyle w:val="TableParagraph"/>
                          <w:spacing w:line="243" w:lineRule="exact"/>
                          <w:ind w:left="111"/>
                          <w:rPr>
                            <w:sz w:val="20"/>
                          </w:rPr>
                        </w:pPr>
                        <w:r>
                          <w:rPr>
                            <w:w w:val="99"/>
                            <w:sz w:val="20"/>
                          </w:rPr>
                          <w:t>-</w:t>
                        </w:r>
                      </w:p>
                    </w:tc>
                    <w:tc>
                      <w:tcPr>
                        <w:tcW w:w="898" w:type="dxa"/>
                        <w:shd w:val="clear" w:color="auto" w:fill="F1DBDB"/>
                      </w:tcPr>
                      <w:p>
                        <w:pPr>
                          <w:pStyle w:val="TableParagraph"/>
                          <w:spacing w:line="243" w:lineRule="exact"/>
                          <w:ind w:left="113"/>
                          <w:rPr>
                            <w:sz w:val="20"/>
                          </w:rPr>
                        </w:pPr>
                        <w:r>
                          <w:rPr>
                            <w:sz w:val="20"/>
                          </w:rPr>
                          <w:t>11</w:t>
                        </w:r>
                      </w:p>
                    </w:tc>
                  </w:tr>
                  <w:tr>
                    <w:trPr>
                      <w:trHeight w:val="1710" w:hRule="atLeast"/>
                    </w:trPr>
                    <w:tc>
                      <w:tcPr>
                        <w:tcW w:w="1238" w:type="dxa"/>
                        <w:shd w:val="clear" w:color="auto" w:fill="F1DBDB"/>
                      </w:tcPr>
                      <w:p>
                        <w:pPr>
                          <w:pStyle w:val="TableParagraph"/>
                          <w:spacing w:before="1"/>
                          <w:rPr>
                            <w:sz w:val="20"/>
                          </w:rPr>
                        </w:pPr>
                        <w:r>
                          <w:rPr>
                            <w:sz w:val="20"/>
                          </w:rPr>
                          <w:t>FGA</w:t>
                        </w:r>
                      </w:p>
                    </w:tc>
                    <w:tc>
                      <w:tcPr>
                        <w:tcW w:w="940" w:type="dxa"/>
                        <w:shd w:val="clear" w:color="auto" w:fill="F1DBDB"/>
                      </w:tcPr>
                      <w:p>
                        <w:pPr>
                          <w:pStyle w:val="TableParagraph"/>
                          <w:spacing w:before="1"/>
                          <w:ind w:left="108"/>
                          <w:rPr>
                            <w:sz w:val="20"/>
                          </w:rPr>
                        </w:pPr>
                        <w:r>
                          <w:rPr>
                            <w:sz w:val="20"/>
                          </w:rPr>
                          <w:t>PET</w:t>
                        </w:r>
                      </w:p>
                    </w:tc>
                    <w:tc>
                      <w:tcPr>
                        <w:tcW w:w="900" w:type="dxa"/>
                        <w:shd w:val="clear" w:color="auto" w:fill="F1DBDB"/>
                      </w:tcPr>
                      <w:p>
                        <w:pPr>
                          <w:pStyle w:val="TableParagraph"/>
                          <w:spacing w:before="1"/>
                          <w:rPr>
                            <w:sz w:val="20"/>
                          </w:rPr>
                        </w:pPr>
                        <w:r>
                          <w:rPr>
                            <w:sz w:val="20"/>
                          </w:rPr>
                          <w:t>Red</w:t>
                        </w:r>
                      </w:p>
                    </w:tc>
                    <w:tc>
                      <w:tcPr>
                        <w:tcW w:w="1079" w:type="dxa"/>
                        <w:shd w:val="clear" w:color="auto" w:fill="F1DBDB"/>
                      </w:tcPr>
                      <w:p>
                        <w:pPr>
                          <w:pStyle w:val="TableParagraph"/>
                          <w:spacing w:before="1"/>
                          <w:rPr>
                            <w:sz w:val="20"/>
                          </w:rPr>
                        </w:pPr>
                        <w:r>
                          <w:rPr>
                            <w:sz w:val="20"/>
                          </w:rPr>
                          <w:t>215-353</w:t>
                        </w:r>
                      </w:p>
                    </w:tc>
                    <w:tc>
                      <w:tcPr>
                        <w:tcW w:w="1079" w:type="dxa"/>
                        <w:shd w:val="clear" w:color="auto" w:fill="F1DBDB"/>
                      </w:tcPr>
                      <w:p>
                        <w:pPr>
                          <w:pStyle w:val="TableParagraph"/>
                          <w:spacing w:before="1"/>
                          <w:ind w:left="108"/>
                          <w:rPr>
                            <w:sz w:val="20"/>
                          </w:rPr>
                        </w:pPr>
                        <w:r>
                          <w:rPr>
                            <w:sz w:val="20"/>
                          </w:rPr>
                          <w:t>28</w:t>
                        </w:r>
                      </w:p>
                    </w:tc>
                    <w:tc>
                      <w:tcPr>
                        <w:tcW w:w="2519" w:type="dxa"/>
                        <w:shd w:val="clear" w:color="auto" w:fill="F1DBDB"/>
                      </w:tcPr>
                      <w:p>
                        <w:pPr>
                          <w:pStyle w:val="TableParagraph"/>
                          <w:spacing w:line="243" w:lineRule="exact" w:before="1"/>
                          <w:ind w:left="109"/>
                          <w:rPr>
                            <w:sz w:val="20"/>
                          </w:rPr>
                        </w:pPr>
                        <w:r>
                          <w:rPr>
                            <w:sz w:val="20"/>
                          </w:rPr>
                          <w:t>17, 18, 19, 20, 21, 22, 23,</w:t>
                        </w:r>
                      </w:p>
                      <w:p>
                        <w:pPr>
                          <w:pStyle w:val="TableParagraph"/>
                          <w:spacing w:line="243" w:lineRule="exact"/>
                          <w:ind w:left="109"/>
                          <w:rPr>
                            <w:sz w:val="20"/>
                          </w:rPr>
                        </w:pPr>
                        <w:r>
                          <w:rPr>
                            <w:sz w:val="20"/>
                          </w:rPr>
                          <w:t>24, 25, 26, 26.2, 27, 28, 29,</w:t>
                        </w:r>
                      </w:p>
                      <w:p>
                        <w:pPr>
                          <w:pStyle w:val="TableParagraph"/>
                          <w:spacing w:before="1"/>
                          <w:ind w:left="109"/>
                          <w:rPr>
                            <w:sz w:val="20"/>
                          </w:rPr>
                        </w:pPr>
                        <w:r>
                          <w:rPr>
                            <w:sz w:val="20"/>
                          </w:rPr>
                          <w:t>30, 30.2, 31.2, 32.2, 33.2,</w:t>
                        </w:r>
                      </w:p>
                      <w:p>
                        <w:pPr>
                          <w:pStyle w:val="TableParagraph"/>
                          <w:ind w:left="109"/>
                          <w:rPr>
                            <w:sz w:val="20"/>
                          </w:rPr>
                        </w:pPr>
                        <w:r>
                          <w:rPr>
                            <w:sz w:val="20"/>
                          </w:rPr>
                          <w:t>42.2, 43.2, 44.2, 45.2, 46.2,</w:t>
                        </w:r>
                      </w:p>
                      <w:p>
                        <w:pPr>
                          <w:pStyle w:val="TableParagraph"/>
                          <w:spacing w:before="1"/>
                          <w:ind w:left="109"/>
                          <w:rPr>
                            <w:sz w:val="20"/>
                          </w:rPr>
                        </w:pPr>
                        <w:r>
                          <w:rPr>
                            <w:sz w:val="20"/>
                          </w:rPr>
                          <w:t>47.2, 48.2, 50.2, 51.2</w:t>
                        </w:r>
                      </w:p>
                    </w:tc>
                    <w:tc>
                      <w:tcPr>
                        <w:tcW w:w="1258" w:type="dxa"/>
                        <w:shd w:val="clear" w:color="auto" w:fill="F1DBDB"/>
                      </w:tcPr>
                      <w:p>
                        <w:pPr>
                          <w:pStyle w:val="TableParagraph"/>
                          <w:spacing w:line="243" w:lineRule="exact" w:before="1"/>
                          <w:ind w:left="111"/>
                          <w:rPr>
                            <w:sz w:val="20"/>
                          </w:rPr>
                        </w:pPr>
                        <w:r>
                          <w:rPr>
                            <w:sz w:val="20"/>
                          </w:rPr>
                          <w:t>15, 16, 16.2,</w:t>
                        </w:r>
                      </w:p>
                      <w:p>
                        <w:pPr>
                          <w:pStyle w:val="TableParagraph"/>
                          <w:spacing w:line="243" w:lineRule="exact"/>
                          <w:ind w:left="111"/>
                          <w:rPr>
                            <w:sz w:val="20"/>
                          </w:rPr>
                        </w:pPr>
                        <w:r>
                          <w:rPr>
                            <w:sz w:val="20"/>
                          </w:rPr>
                          <w:t>18.2,</w:t>
                        </w:r>
                        <w:r>
                          <w:rPr>
                            <w:spacing w:val="-4"/>
                            <w:sz w:val="20"/>
                          </w:rPr>
                          <w:t> </w:t>
                        </w:r>
                        <w:r>
                          <w:rPr>
                            <w:sz w:val="20"/>
                          </w:rPr>
                          <w:t>19.2,</w:t>
                        </w:r>
                      </w:p>
                      <w:p>
                        <w:pPr>
                          <w:pStyle w:val="TableParagraph"/>
                          <w:spacing w:before="1"/>
                          <w:ind w:left="111"/>
                          <w:rPr>
                            <w:sz w:val="20"/>
                          </w:rPr>
                        </w:pPr>
                        <w:r>
                          <w:rPr>
                            <w:sz w:val="20"/>
                          </w:rPr>
                          <w:t>20.2,</w:t>
                        </w:r>
                        <w:r>
                          <w:rPr>
                            <w:spacing w:val="-5"/>
                            <w:sz w:val="20"/>
                          </w:rPr>
                          <w:t> </w:t>
                        </w:r>
                        <w:r>
                          <w:rPr>
                            <w:sz w:val="20"/>
                          </w:rPr>
                          <w:t>21.2,</w:t>
                        </w:r>
                      </w:p>
                      <w:p>
                        <w:pPr>
                          <w:pStyle w:val="TableParagraph"/>
                          <w:ind w:left="111"/>
                          <w:rPr>
                            <w:sz w:val="20"/>
                          </w:rPr>
                        </w:pPr>
                        <w:r>
                          <w:rPr>
                            <w:sz w:val="20"/>
                          </w:rPr>
                          <w:t>22.2,</w:t>
                        </w:r>
                        <w:r>
                          <w:rPr>
                            <w:spacing w:val="-4"/>
                            <w:sz w:val="20"/>
                          </w:rPr>
                          <w:t> </w:t>
                        </w:r>
                        <w:r>
                          <w:rPr>
                            <w:sz w:val="20"/>
                          </w:rPr>
                          <w:t>22.3,</w:t>
                        </w:r>
                      </w:p>
                      <w:p>
                        <w:pPr>
                          <w:pStyle w:val="TableParagraph"/>
                          <w:spacing w:line="243" w:lineRule="exact" w:before="1"/>
                          <w:ind w:left="111"/>
                          <w:rPr>
                            <w:sz w:val="20"/>
                          </w:rPr>
                        </w:pPr>
                        <w:r>
                          <w:rPr>
                            <w:sz w:val="20"/>
                          </w:rPr>
                          <w:t>23.2,</w:t>
                        </w:r>
                        <w:r>
                          <w:rPr>
                            <w:spacing w:val="-4"/>
                            <w:sz w:val="20"/>
                          </w:rPr>
                          <w:t> </w:t>
                        </w:r>
                        <w:r>
                          <w:rPr>
                            <w:sz w:val="20"/>
                          </w:rPr>
                          <w:t>24.2,</w:t>
                        </w:r>
                      </w:p>
                      <w:p>
                        <w:pPr>
                          <w:pStyle w:val="TableParagraph"/>
                          <w:spacing w:line="243" w:lineRule="exact"/>
                          <w:ind w:left="111"/>
                          <w:rPr>
                            <w:sz w:val="20"/>
                          </w:rPr>
                        </w:pPr>
                        <w:r>
                          <w:rPr>
                            <w:sz w:val="20"/>
                          </w:rPr>
                          <w:t>25.2,</w:t>
                        </w:r>
                        <w:r>
                          <w:rPr>
                            <w:spacing w:val="-4"/>
                            <w:sz w:val="20"/>
                          </w:rPr>
                          <w:t> </w:t>
                        </w:r>
                        <w:r>
                          <w:rPr>
                            <w:sz w:val="20"/>
                          </w:rPr>
                          <w:t>27.2,</w:t>
                        </w:r>
                      </w:p>
                      <w:p>
                        <w:pPr>
                          <w:pStyle w:val="TableParagraph"/>
                          <w:spacing w:line="225" w:lineRule="exact" w:before="1"/>
                          <w:ind w:left="111"/>
                          <w:rPr>
                            <w:sz w:val="20"/>
                          </w:rPr>
                        </w:pPr>
                        <w:r>
                          <w:rPr>
                            <w:sz w:val="20"/>
                          </w:rPr>
                          <w:t>28.2, 34.2</w:t>
                        </w:r>
                      </w:p>
                    </w:tc>
                    <w:tc>
                      <w:tcPr>
                        <w:tcW w:w="898" w:type="dxa"/>
                        <w:shd w:val="clear" w:color="auto" w:fill="F1DBDB"/>
                      </w:tcPr>
                      <w:p>
                        <w:pPr>
                          <w:pStyle w:val="TableParagraph"/>
                          <w:spacing w:before="1"/>
                          <w:ind w:left="113"/>
                          <w:rPr>
                            <w:sz w:val="20"/>
                          </w:rPr>
                        </w:pPr>
                        <w:r>
                          <w:rPr>
                            <w:sz w:val="20"/>
                          </w:rPr>
                          <w:t>23, 24</w:t>
                        </w:r>
                      </w:p>
                    </w:tc>
                  </w:tr>
                </w:tbl>
                <w:p>
                  <w:pPr>
                    <w:pStyle w:val="BodyText"/>
                    <w:spacing w:before="0"/>
                    <w:ind w:left="0"/>
                    <w:jc w:val="left"/>
                  </w:pPr>
                </w:p>
              </w:txbxContent>
            </v:textbox>
            <w10:wrap type="none"/>
          </v:shape>
        </w:pict>
      </w:r>
      <w:r>
        <w:rPr/>
        <w:t>Appendix I AmpFlSTR Identifiler® Plus and Identifiler® Direct Loci</w:t>
      </w:r>
    </w:p>
    <w:p>
      <w:pPr>
        <w:spacing w:after="0" w:line="480" w:lineRule="auto"/>
        <w:sectPr>
          <w:pgSz w:w="12240" w:h="15840"/>
          <w:pgMar w:header="734" w:footer="810" w:top="1840" w:bottom="1000" w:left="1500" w:right="580"/>
        </w:sectPr>
      </w:pPr>
    </w:p>
    <w:p>
      <w:pPr>
        <w:pStyle w:val="Heading2"/>
        <w:spacing w:line="480" w:lineRule="auto" w:before="61" w:after="5"/>
        <w:ind w:right="4053" w:firstLine="4332"/>
      </w:pPr>
      <w:r>
        <w:rPr/>
        <w:t>Appendix II GeneScan-600 [LIZ] v2.0 Denatured Fragment Molecular Lengths</w:t>
      </w:r>
    </w:p>
    <w:tbl>
      <w:tblPr>
        <w:tblW w:w="0" w:type="auto"/>
        <w:jc w:val="left"/>
        <w:tblInd w:w="2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9"/>
        <w:gridCol w:w="1469"/>
        <w:gridCol w:w="1469"/>
      </w:tblGrid>
      <w:tr>
        <w:trPr>
          <w:trHeight w:val="431" w:hRule="atLeast"/>
        </w:trPr>
        <w:tc>
          <w:tcPr>
            <w:tcW w:w="1469" w:type="dxa"/>
          </w:tcPr>
          <w:p>
            <w:pPr>
              <w:pStyle w:val="TableParagraph"/>
              <w:spacing w:before="78"/>
              <w:ind w:left="482"/>
              <w:rPr>
                <w:sz w:val="22"/>
              </w:rPr>
            </w:pPr>
            <w:r>
              <w:rPr>
                <w:sz w:val="22"/>
              </w:rPr>
              <w:t>80 bp</w:t>
            </w:r>
          </w:p>
        </w:tc>
        <w:tc>
          <w:tcPr>
            <w:tcW w:w="1469" w:type="dxa"/>
          </w:tcPr>
          <w:p>
            <w:pPr>
              <w:pStyle w:val="TableParagraph"/>
              <w:spacing w:before="78"/>
              <w:ind w:left="406" w:right="395"/>
              <w:jc w:val="center"/>
              <w:rPr>
                <w:sz w:val="22"/>
              </w:rPr>
            </w:pPr>
            <w:r>
              <w:rPr>
                <w:sz w:val="22"/>
              </w:rPr>
              <w:t>200 bp</w:t>
            </w:r>
          </w:p>
        </w:tc>
        <w:tc>
          <w:tcPr>
            <w:tcW w:w="1469" w:type="dxa"/>
          </w:tcPr>
          <w:p>
            <w:pPr>
              <w:pStyle w:val="TableParagraph"/>
              <w:spacing w:before="78"/>
              <w:ind w:left="406" w:right="395"/>
              <w:jc w:val="center"/>
              <w:rPr>
                <w:sz w:val="22"/>
              </w:rPr>
            </w:pPr>
            <w:r>
              <w:rPr>
                <w:sz w:val="22"/>
              </w:rPr>
              <w:t>300 bp</w:t>
            </w:r>
          </w:p>
        </w:tc>
      </w:tr>
      <w:tr>
        <w:trPr>
          <w:trHeight w:val="431" w:hRule="atLeast"/>
        </w:trPr>
        <w:tc>
          <w:tcPr>
            <w:tcW w:w="1469" w:type="dxa"/>
          </w:tcPr>
          <w:p>
            <w:pPr>
              <w:pStyle w:val="TableParagraph"/>
              <w:spacing w:before="78"/>
              <w:ind w:left="426"/>
              <w:rPr>
                <w:sz w:val="22"/>
              </w:rPr>
            </w:pPr>
            <w:r>
              <w:rPr>
                <w:sz w:val="22"/>
              </w:rPr>
              <w:t>100 bp</w:t>
            </w:r>
          </w:p>
        </w:tc>
        <w:tc>
          <w:tcPr>
            <w:tcW w:w="1469" w:type="dxa"/>
          </w:tcPr>
          <w:p>
            <w:pPr>
              <w:pStyle w:val="TableParagraph"/>
              <w:spacing w:before="78"/>
              <w:ind w:left="406" w:right="395"/>
              <w:jc w:val="center"/>
              <w:rPr>
                <w:sz w:val="22"/>
              </w:rPr>
            </w:pPr>
            <w:r>
              <w:rPr>
                <w:sz w:val="22"/>
              </w:rPr>
              <w:t>214 bp</w:t>
            </w:r>
          </w:p>
        </w:tc>
        <w:tc>
          <w:tcPr>
            <w:tcW w:w="1469" w:type="dxa"/>
          </w:tcPr>
          <w:p>
            <w:pPr>
              <w:pStyle w:val="TableParagraph"/>
              <w:spacing w:before="78"/>
              <w:ind w:left="406" w:right="395"/>
              <w:jc w:val="center"/>
              <w:rPr>
                <w:sz w:val="22"/>
              </w:rPr>
            </w:pPr>
            <w:r>
              <w:rPr>
                <w:sz w:val="22"/>
              </w:rPr>
              <w:t>314 bp</w:t>
            </w:r>
          </w:p>
        </w:tc>
      </w:tr>
      <w:tr>
        <w:trPr>
          <w:trHeight w:val="431" w:hRule="atLeast"/>
        </w:trPr>
        <w:tc>
          <w:tcPr>
            <w:tcW w:w="1469" w:type="dxa"/>
          </w:tcPr>
          <w:p>
            <w:pPr>
              <w:pStyle w:val="TableParagraph"/>
              <w:spacing w:before="78"/>
              <w:ind w:left="426"/>
              <w:rPr>
                <w:sz w:val="22"/>
              </w:rPr>
            </w:pPr>
            <w:r>
              <w:rPr>
                <w:sz w:val="22"/>
              </w:rPr>
              <w:t>114 bp</w:t>
            </w:r>
          </w:p>
        </w:tc>
        <w:tc>
          <w:tcPr>
            <w:tcW w:w="1469" w:type="dxa"/>
          </w:tcPr>
          <w:p>
            <w:pPr>
              <w:pStyle w:val="TableParagraph"/>
              <w:spacing w:before="78"/>
              <w:ind w:left="406" w:right="395"/>
              <w:jc w:val="center"/>
              <w:rPr>
                <w:sz w:val="22"/>
              </w:rPr>
            </w:pPr>
            <w:r>
              <w:rPr>
                <w:sz w:val="22"/>
              </w:rPr>
              <w:t>220 bp</w:t>
            </w:r>
          </w:p>
        </w:tc>
        <w:tc>
          <w:tcPr>
            <w:tcW w:w="1469" w:type="dxa"/>
          </w:tcPr>
          <w:p>
            <w:pPr>
              <w:pStyle w:val="TableParagraph"/>
              <w:spacing w:before="78"/>
              <w:ind w:left="407" w:right="395"/>
              <w:jc w:val="center"/>
              <w:rPr>
                <w:sz w:val="22"/>
              </w:rPr>
            </w:pPr>
            <w:r>
              <w:rPr>
                <w:sz w:val="22"/>
              </w:rPr>
              <w:t>320 bp</w:t>
            </w:r>
          </w:p>
        </w:tc>
      </w:tr>
      <w:tr>
        <w:trPr>
          <w:trHeight w:val="434" w:hRule="atLeast"/>
        </w:trPr>
        <w:tc>
          <w:tcPr>
            <w:tcW w:w="1469" w:type="dxa"/>
          </w:tcPr>
          <w:p>
            <w:pPr>
              <w:pStyle w:val="TableParagraph"/>
              <w:spacing w:before="80"/>
              <w:ind w:left="426"/>
              <w:rPr>
                <w:sz w:val="22"/>
              </w:rPr>
            </w:pPr>
            <w:r>
              <w:rPr>
                <w:sz w:val="22"/>
              </w:rPr>
              <w:t>120 bp</w:t>
            </w:r>
          </w:p>
        </w:tc>
        <w:tc>
          <w:tcPr>
            <w:tcW w:w="1469" w:type="dxa"/>
          </w:tcPr>
          <w:p>
            <w:pPr>
              <w:pStyle w:val="TableParagraph"/>
              <w:spacing w:before="80"/>
              <w:ind w:left="406" w:right="395"/>
              <w:jc w:val="center"/>
              <w:rPr>
                <w:sz w:val="22"/>
              </w:rPr>
            </w:pPr>
            <w:r>
              <w:rPr>
                <w:sz w:val="22"/>
              </w:rPr>
              <w:t>240 bp</w:t>
            </w:r>
          </w:p>
        </w:tc>
        <w:tc>
          <w:tcPr>
            <w:tcW w:w="1469" w:type="dxa"/>
          </w:tcPr>
          <w:p>
            <w:pPr>
              <w:pStyle w:val="TableParagraph"/>
              <w:spacing w:before="80"/>
              <w:ind w:left="407" w:right="395"/>
              <w:jc w:val="center"/>
              <w:rPr>
                <w:sz w:val="22"/>
              </w:rPr>
            </w:pPr>
            <w:r>
              <w:rPr>
                <w:sz w:val="22"/>
              </w:rPr>
              <w:t>340 bp</w:t>
            </w:r>
          </w:p>
        </w:tc>
      </w:tr>
      <w:tr>
        <w:trPr>
          <w:trHeight w:val="432" w:hRule="atLeast"/>
        </w:trPr>
        <w:tc>
          <w:tcPr>
            <w:tcW w:w="1469" w:type="dxa"/>
          </w:tcPr>
          <w:p>
            <w:pPr>
              <w:pStyle w:val="TableParagraph"/>
              <w:spacing w:before="79"/>
              <w:ind w:left="426"/>
              <w:rPr>
                <w:sz w:val="22"/>
              </w:rPr>
            </w:pPr>
            <w:r>
              <w:rPr>
                <w:sz w:val="22"/>
              </w:rPr>
              <w:t>140 bp</w:t>
            </w:r>
          </w:p>
        </w:tc>
        <w:tc>
          <w:tcPr>
            <w:tcW w:w="1469" w:type="dxa"/>
          </w:tcPr>
          <w:p>
            <w:pPr>
              <w:pStyle w:val="TableParagraph"/>
              <w:spacing w:before="79"/>
              <w:ind w:left="406" w:right="395"/>
              <w:jc w:val="center"/>
              <w:rPr>
                <w:sz w:val="22"/>
              </w:rPr>
            </w:pPr>
            <w:r>
              <w:rPr>
                <w:sz w:val="22"/>
              </w:rPr>
              <w:t>250 bp</w:t>
            </w:r>
          </w:p>
        </w:tc>
        <w:tc>
          <w:tcPr>
            <w:tcW w:w="1469" w:type="dxa"/>
          </w:tcPr>
          <w:p>
            <w:pPr>
              <w:pStyle w:val="TableParagraph"/>
              <w:spacing w:before="79"/>
              <w:ind w:left="407" w:right="395"/>
              <w:jc w:val="center"/>
              <w:rPr>
                <w:sz w:val="22"/>
              </w:rPr>
            </w:pPr>
            <w:r>
              <w:rPr>
                <w:sz w:val="22"/>
              </w:rPr>
              <w:t>360 bp</w:t>
            </w:r>
          </w:p>
        </w:tc>
      </w:tr>
      <w:tr>
        <w:trPr>
          <w:trHeight w:val="431" w:hRule="atLeast"/>
        </w:trPr>
        <w:tc>
          <w:tcPr>
            <w:tcW w:w="1469" w:type="dxa"/>
          </w:tcPr>
          <w:p>
            <w:pPr>
              <w:pStyle w:val="TableParagraph"/>
              <w:spacing w:before="78"/>
              <w:ind w:left="426"/>
              <w:rPr>
                <w:sz w:val="22"/>
              </w:rPr>
            </w:pPr>
            <w:r>
              <w:rPr>
                <w:sz w:val="22"/>
              </w:rPr>
              <w:t>160 bp</w:t>
            </w:r>
          </w:p>
        </w:tc>
        <w:tc>
          <w:tcPr>
            <w:tcW w:w="1469" w:type="dxa"/>
          </w:tcPr>
          <w:p>
            <w:pPr>
              <w:pStyle w:val="TableParagraph"/>
              <w:spacing w:before="78"/>
              <w:ind w:left="406" w:right="395"/>
              <w:jc w:val="center"/>
              <w:rPr>
                <w:sz w:val="22"/>
              </w:rPr>
            </w:pPr>
            <w:r>
              <w:rPr>
                <w:sz w:val="22"/>
              </w:rPr>
              <w:t>260 bp</w:t>
            </w:r>
          </w:p>
        </w:tc>
        <w:tc>
          <w:tcPr>
            <w:tcW w:w="1469" w:type="dxa"/>
          </w:tcPr>
          <w:p>
            <w:pPr>
              <w:pStyle w:val="TableParagraph"/>
              <w:spacing w:before="78"/>
              <w:ind w:left="407" w:right="395"/>
              <w:jc w:val="center"/>
              <w:rPr>
                <w:sz w:val="22"/>
              </w:rPr>
            </w:pPr>
            <w:r>
              <w:rPr>
                <w:sz w:val="22"/>
              </w:rPr>
              <w:t>380 bp</w:t>
            </w:r>
          </w:p>
        </w:tc>
      </w:tr>
      <w:tr>
        <w:trPr>
          <w:trHeight w:val="431" w:hRule="atLeast"/>
        </w:trPr>
        <w:tc>
          <w:tcPr>
            <w:tcW w:w="1469" w:type="dxa"/>
          </w:tcPr>
          <w:p>
            <w:pPr>
              <w:pStyle w:val="TableParagraph"/>
              <w:spacing w:before="78"/>
              <w:ind w:left="426"/>
              <w:rPr>
                <w:sz w:val="22"/>
              </w:rPr>
            </w:pPr>
            <w:r>
              <w:rPr>
                <w:sz w:val="22"/>
              </w:rPr>
              <w:t>180 bp</w:t>
            </w:r>
          </w:p>
        </w:tc>
        <w:tc>
          <w:tcPr>
            <w:tcW w:w="1469" w:type="dxa"/>
          </w:tcPr>
          <w:p>
            <w:pPr>
              <w:pStyle w:val="TableParagraph"/>
              <w:spacing w:before="78"/>
              <w:ind w:left="406" w:right="395"/>
              <w:jc w:val="center"/>
              <w:rPr>
                <w:sz w:val="22"/>
              </w:rPr>
            </w:pPr>
            <w:r>
              <w:rPr>
                <w:sz w:val="22"/>
              </w:rPr>
              <w:t>280 bp</w:t>
            </w:r>
          </w:p>
        </w:tc>
        <w:tc>
          <w:tcPr>
            <w:tcW w:w="1469" w:type="dxa"/>
          </w:tcPr>
          <w:p>
            <w:pPr>
              <w:pStyle w:val="TableParagraph"/>
              <w:spacing w:before="78"/>
              <w:ind w:left="407" w:right="395"/>
              <w:jc w:val="center"/>
              <w:rPr>
                <w:sz w:val="22"/>
              </w:rPr>
            </w:pPr>
            <w:r>
              <w:rPr>
                <w:sz w:val="22"/>
              </w:rPr>
              <w:t>400 bp</w:t>
            </w:r>
          </w:p>
        </w:tc>
      </w:tr>
    </w:tbl>
    <w:sectPr>
      <w:pgSz w:w="12240" w:h="15840"/>
      <w:pgMar w:header="734" w:footer="810" w:top="1840" w:bottom="1000" w:left="1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22672" from="84.984001pt,737.856018pt" to="573.094001pt,737.856018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9.809998pt;margin-top:740.30603pt;width:138.35pt;height:12pt;mso-position-horizontal-relative:page;mso-position-vertical-relative:page;z-index:-22648" type="#_x0000_t202" filled="false" stroked="false">
          <v:textbox inset="0,0,0,0">
            <w:txbxContent>
              <w:p>
                <w:pPr>
                  <w:spacing w:line="223" w:lineRule="exact" w:before="0"/>
                  <w:ind w:left="20" w:right="0" w:firstLine="0"/>
                  <w:jc w:val="left"/>
                  <w:rPr>
                    <w:b/>
                    <w:sz w:val="20"/>
                  </w:rPr>
                </w:pPr>
                <w:r>
                  <w:rPr>
                    <w:b/>
                    <w:sz w:val="20"/>
                  </w:rPr>
                  <w:t>UNCONTROLLED WHEN PRINTED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81.143997pt;margin-top:36pt;width:492.8pt;height:57.3pt;mso-position-horizontal-relative:page;mso-position-vertical-relative:page;z-index:102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83"/>
                  <w:gridCol w:w="2069"/>
                  <w:gridCol w:w="1260"/>
                </w:tblGrid>
                <w:tr>
                  <w:trPr>
                    <w:trHeight w:val="596" w:hRule="atLeast"/>
                  </w:trPr>
                  <w:tc>
                    <w:tcPr>
                      <w:tcW w:w="6483" w:type="dxa"/>
                      <w:tcBorders>
                        <w:bottom w:val="single" w:sz="6" w:space="0" w:color="000000"/>
                        <w:right w:val="single" w:sz="6" w:space="0" w:color="000000"/>
                      </w:tcBorders>
                      <w:shd w:val="clear" w:color="auto" w:fill="404040"/>
                    </w:tcPr>
                    <w:p>
                      <w:pPr>
                        <w:pStyle w:val="TableParagraph"/>
                        <w:spacing w:line="244" w:lineRule="exact" w:before="97"/>
                        <w:ind w:left="1422" w:right="1409"/>
                        <w:jc w:val="center"/>
                        <w:rPr>
                          <w:b/>
                          <w:i/>
                          <w:sz w:val="20"/>
                        </w:rPr>
                      </w:pPr>
                      <w:r>
                        <w:rPr>
                          <w:b/>
                          <w:i/>
                          <w:color w:val="FFFFFF"/>
                          <w:sz w:val="20"/>
                        </w:rPr>
                        <w:t>DNA Standard Operating Procedure (DSOP)</w:t>
                      </w:r>
                    </w:p>
                    <w:p>
                      <w:pPr>
                        <w:pStyle w:val="TableParagraph"/>
                        <w:spacing w:line="195" w:lineRule="exact"/>
                        <w:ind w:left="1422" w:right="1406"/>
                        <w:jc w:val="center"/>
                        <w:rPr>
                          <w:b/>
                          <w:sz w:val="16"/>
                        </w:rPr>
                      </w:pPr>
                      <w:r>
                        <w:rPr>
                          <w:b/>
                          <w:color w:val="FFFFFF"/>
                          <w:sz w:val="16"/>
                        </w:rPr>
                        <w:t>Mock Regional Crime Laboratory</w:t>
                      </w:r>
                    </w:p>
                  </w:tc>
                  <w:tc>
                    <w:tcPr>
                      <w:tcW w:w="2069" w:type="dxa"/>
                      <w:tcBorders>
                        <w:left w:val="single" w:sz="6" w:space="0" w:color="000000"/>
                        <w:bottom w:val="single" w:sz="6" w:space="0" w:color="000000"/>
                        <w:right w:val="single" w:sz="6" w:space="0" w:color="000000"/>
                      </w:tcBorders>
                    </w:tcPr>
                    <w:p>
                      <w:pPr>
                        <w:pStyle w:val="TableParagraph"/>
                        <w:spacing w:before="120"/>
                        <w:ind w:left="112"/>
                        <w:rPr>
                          <w:b/>
                          <w:sz w:val="14"/>
                        </w:rPr>
                      </w:pPr>
                      <w:r>
                        <w:rPr>
                          <w:b/>
                          <w:sz w:val="14"/>
                        </w:rPr>
                        <w:t>Issue Date:</w:t>
                      </w:r>
                    </w:p>
                    <w:p>
                      <w:pPr>
                        <w:pStyle w:val="TableParagraph"/>
                        <w:ind w:left="556"/>
                        <w:rPr>
                          <w:sz w:val="20"/>
                        </w:rPr>
                      </w:pPr>
                      <w:r>
                        <w:rPr>
                          <w:sz w:val="20"/>
                        </w:rPr>
                        <w:t>12/16/2014</w:t>
                      </w:r>
                    </w:p>
                  </w:tc>
                  <w:tc>
                    <w:tcPr>
                      <w:tcW w:w="1260" w:type="dxa"/>
                      <w:tcBorders>
                        <w:left w:val="single" w:sz="6" w:space="0" w:color="000000"/>
                        <w:bottom w:val="single" w:sz="6" w:space="0" w:color="000000"/>
                      </w:tcBorders>
                    </w:tcPr>
                    <w:p>
                      <w:pPr>
                        <w:pStyle w:val="TableParagraph"/>
                        <w:spacing w:before="120"/>
                        <w:ind w:left="115"/>
                        <w:rPr>
                          <w:b/>
                          <w:sz w:val="14"/>
                        </w:rPr>
                      </w:pPr>
                      <w:r>
                        <w:rPr>
                          <w:b/>
                          <w:sz w:val="14"/>
                        </w:rPr>
                        <w:t>Rev.:</w:t>
                      </w:r>
                    </w:p>
                    <w:p>
                      <w:pPr>
                        <w:pStyle w:val="TableParagraph"/>
                        <w:ind w:left="35"/>
                        <w:jc w:val="center"/>
                        <w:rPr>
                          <w:b/>
                          <w:sz w:val="20"/>
                        </w:rPr>
                      </w:pPr>
                      <w:r>
                        <w:rPr>
                          <w:b/>
                          <w:w w:val="99"/>
                          <w:sz w:val="20"/>
                        </w:rPr>
                        <w:t>4</w:t>
                      </w:r>
                    </w:p>
                  </w:tc>
                </w:tr>
                <w:tr>
                  <w:trPr>
                    <w:trHeight w:val="474" w:hRule="atLeast"/>
                  </w:trPr>
                  <w:tc>
                    <w:tcPr>
                      <w:tcW w:w="6483" w:type="dxa"/>
                      <w:tcBorders>
                        <w:top w:val="single" w:sz="6" w:space="0" w:color="000000"/>
                        <w:right w:val="single" w:sz="6" w:space="0" w:color="000000"/>
                      </w:tcBorders>
                    </w:tcPr>
                    <w:p>
                      <w:pPr>
                        <w:pStyle w:val="TableParagraph"/>
                        <w:spacing w:before="90"/>
                        <w:rPr>
                          <w:b/>
                          <w:sz w:val="24"/>
                        </w:rPr>
                      </w:pPr>
                      <w:r>
                        <w:rPr>
                          <w:b/>
                          <w:sz w:val="24"/>
                        </w:rPr>
                        <w:t>11. Results Interpretation Guidelines</w:t>
                      </w:r>
                    </w:p>
                  </w:tc>
                  <w:tc>
                    <w:tcPr>
                      <w:tcW w:w="2069" w:type="dxa"/>
                      <w:tcBorders>
                        <w:top w:val="single" w:sz="6" w:space="0" w:color="000000"/>
                        <w:left w:val="single" w:sz="6" w:space="0" w:color="000000"/>
                        <w:right w:val="single" w:sz="6" w:space="0" w:color="000000"/>
                      </w:tcBorders>
                    </w:tcPr>
                    <w:p>
                      <w:pPr>
                        <w:pStyle w:val="TableParagraph"/>
                        <w:spacing w:before="60"/>
                        <w:ind w:left="115"/>
                        <w:rPr>
                          <w:b/>
                          <w:sz w:val="14"/>
                        </w:rPr>
                      </w:pPr>
                      <w:r>
                        <w:rPr>
                          <w:b/>
                          <w:sz w:val="14"/>
                        </w:rPr>
                        <w:t>Approved By:</w:t>
                      </w:r>
                    </w:p>
                    <w:p>
                      <w:pPr>
                        <w:pStyle w:val="TableParagraph"/>
                        <w:spacing w:line="223" w:lineRule="exact" w:before="1"/>
                        <w:ind w:left="710"/>
                        <w:rPr>
                          <w:sz w:val="20"/>
                        </w:rPr>
                      </w:pPr>
                      <w:r>
                        <w:rPr>
                          <w:sz w:val="20"/>
                        </w:rPr>
                        <w:t>L. Reviewer</w:t>
                      </w:r>
                    </w:p>
                  </w:tc>
                  <w:tc>
                    <w:tcPr>
                      <w:tcW w:w="1260" w:type="dxa"/>
                      <w:tcBorders>
                        <w:top w:val="single" w:sz="6" w:space="0" w:color="000000"/>
                        <w:left w:val="single" w:sz="6" w:space="0" w:color="000000"/>
                      </w:tcBorders>
                    </w:tcPr>
                    <w:p>
                      <w:pPr>
                        <w:pStyle w:val="TableParagraph"/>
                        <w:spacing w:before="48"/>
                        <w:ind w:left="115"/>
                        <w:rPr>
                          <w:sz w:val="14"/>
                        </w:rPr>
                      </w:pPr>
                      <w:r>
                        <w:rPr>
                          <w:sz w:val="14"/>
                        </w:rPr>
                        <w:t>Page #:</w:t>
                      </w:r>
                    </w:p>
                    <w:p>
                      <w:pPr>
                        <w:pStyle w:val="TableParagraph"/>
                        <w:spacing w:line="235" w:lineRule="exact" w:before="1"/>
                        <w:ind w:left="353"/>
                        <w:rPr>
                          <w:b/>
                          <w:sz w:val="20"/>
                        </w:rPr>
                      </w:pPr>
                      <w:r>
                        <w:rPr>
                          <w:b/>
                          <w:sz w:val="20"/>
                        </w:rPr>
                        <w:t>2 of 11</w:t>
                      </w:r>
                    </w:p>
                  </w:tc>
                </w:tr>
              </w:tbl>
              <w:p>
                <w:pPr>
                  <w:pStyle w:val="BodyText"/>
                  <w:spacing w:before="0"/>
                  <w:ind w:left="0"/>
                  <w:jc w:val="left"/>
                </w:pP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8"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862" w:hanging="360"/>
      </w:pPr>
      <w:rPr>
        <w:rFonts w:hint="default"/>
        <w:lang w:val="en-us" w:eastAsia="en-us" w:bidi="en-us"/>
      </w:rPr>
    </w:lvl>
    <w:lvl w:ilvl="2">
      <w:start w:val="0"/>
      <w:numFmt w:val="bullet"/>
      <w:lvlText w:val="•"/>
      <w:lvlJc w:val="left"/>
      <w:pPr>
        <w:ind w:left="2784" w:hanging="360"/>
      </w:pPr>
      <w:rPr>
        <w:rFonts w:hint="default"/>
        <w:lang w:val="en-us" w:eastAsia="en-us" w:bidi="en-us"/>
      </w:rPr>
    </w:lvl>
    <w:lvl w:ilvl="3">
      <w:start w:val="0"/>
      <w:numFmt w:val="bullet"/>
      <w:lvlText w:val="•"/>
      <w:lvlJc w:val="left"/>
      <w:pPr>
        <w:ind w:left="3706" w:hanging="360"/>
      </w:pPr>
      <w:rPr>
        <w:rFonts w:hint="default"/>
        <w:lang w:val="en-us" w:eastAsia="en-us" w:bidi="en-us"/>
      </w:rPr>
    </w:lvl>
    <w:lvl w:ilvl="4">
      <w:start w:val="0"/>
      <w:numFmt w:val="bullet"/>
      <w:lvlText w:val="•"/>
      <w:lvlJc w:val="left"/>
      <w:pPr>
        <w:ind w:left="4628"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72" w:hanging="360"/>
      </w:pPr>
      <w:rPr>
        <w:rFonts w:hint="default"/>
        <w:lang w:val="en-us" w:eastAsia="en-us" w:bidi="en-us"/>
      </w:rPr>
    </w:lvl>
    <w:lvl w:ilvl="7">
      <w:start w:val="0"/>
      <w:numFmt w:val="bullet"/>
      <w:lvlText w:val="•"/>
      <w:lvlJc w:val="left"/>
      <w:pPr>
        <w:ind w:left="7394" w:hanging="360"/>
      </w:pPr>
      <w:rPr>
        <w:rFonts w:hint="default"/>
        <w:lang w:val="en-us" w:eastAsia="en-us" w:bidi="en-us"/>
      </w:rPr>
    </w:lvl>
    <w:lvl w:ilvl="8">
      <w:start w:val="0"/>
      <w:numFmt w:val="bullet"/>
      <w:lvlText w:val="•"/>
      <w:lvlJc w:val="left"/>
      <w:pPr>
        <w:ind w:left="8316" w:hanging="360"/>
      </w:pPr>
      <w:rPr>
        <w:rFonts w:hint="default"/>
        <w:lang w:val="en-us" w:eastAsia="en-us" w:bidi="en-us"/>
      </w:rPr>
    </w:lvl>
  </w:abstractNum>
  <w:abstractNum w:abstractNumId="1">
    <w:multiLevelType w:val="hybridMultilevel"/>
    <w:lvl w:ilvl="0">
      <w:start w:val="1"/>
      <w:numFmt w:val="upperRoman"/>
      <w:lvlText w:val="%1."/>
      <w:lvlJc w:val="left"/>
      <w:pPr>
        <w:ind w:left="545" w:hanging="317"/>
        <w:jc w:val="left"/>
      </w:pPr>
      <w:rPr>
        <w:rFonts w:hint="default" w:ascii="Calibri" w:hAnsi="Calibri" w:eastAsia="Calibri" w:cs="Calibri"/>
        <w:b/>
        <w:bCs/>
        <w:w w:val="100"/>
        <w:sz w:val="22"/>
        <w:szCs w:val="22"/>
        <w:lang w:val="en-us" w:eastAsia="en-us" w:bidi="en-us"/>
      </w:rPr>
    </w:lvl>
    <w:lvl w:ilvl="1">
      <w:start w:val="0"/>
      <w:numFmt w:val="bullet"/>
      <w:lvlText w:val=""/>
      <w:lvlJc w:val="left"/>
      <w:pPr>
        <w:ind w:left="948" w:hanging="360"/>
      </w:pPr>
      <w:rPr>
        <w:rFonts w:hint="default" w:ascii="Symbol" w:hAnsi="Symbol" w:eastAsia="Symbol" w:cs="Symbol"/>
        <w:w w:val="100"/>
        <w:sz w:val="22"/>
        <w:szCs w:val="22"/>
        <w:lang w:val="en-us" w:eastAsia="en-us" w:bidi="en-us"/>
      </w:rPr>
    </w:lvl>
    <w:lvl w:ilvl="2">
      <w:start w:val="0"/>
      <w:numFmt w:val="bullet"/>
      <w:lvlText w:val="o"/>
      <w:lvlJc w:val="left"/>
      <w:pPr>
        <w:ind w:left="1668" w:hanging="360"/>
      </w:pPr>
      <w:rPr>
        <w:rFonts w:hint="default" w:ascii="Courier New" w:hAnsi="Courier New" w:eastAsia="Courier New" w:cs="Courier New"/>
        <w:w w:val="100"/>
        <w:sz w:val="22"/>
        <w:szCs w:val="22"/>
        <w:lang w:val="en-us" w:eastAsia="en-us" w:bidi="en-us"/>
      </w:rPr>
    </w:lvl>
    <w:lvl w:ilvl="3">
      <w:start w:val="0"/>
      <w:numFmt w:val="bullet"/>
      <w:lvlText w:val="•"/>
      <w:lvlJc w:val="left"/>
      <w:pPr>
        <w:ind w:left="2722" w:hanging="360"/>
      </w:pPr>
      <w:rPr>
        <w:rFonts w:hint="default"/>
        <w:lang w:val="en-us" w:eastAsia="en-us" w:bidi="en-us"/>
      </w:rPr>
    </w:lvl>
    <w:lvl w:ilvl="4">
      <w:start w:val="0"/>
      <w:numFmt w:val="bullet"/>
      <w:lvlText w:val="•"/>
      <w:lvlJc w:val="left"/>
      <w:pPr>
        <w:ind w:left="3785" w:hanging="360"/>
      </w:pPr>
      <w:rPr>
        <w:rFonts w:hint="default"/>
        <w:lang w:val="en-us" w:eastAsia="en-us" w:bidi="en-us"/>
      </w:rPr>
    </w:lvl>
    <w:lvl w:ilvl="5">
      <w:start w:val="0"/>
      <w:numFmt w:val="bullet"/>
      <w:lvlText w:val="•"/>
      <w:lvlJc w:val="left"/>
      <w:pPr>
        <w:ind w:left="4847" w:hanging="360"/>
      </w:pPr>
      <w:rPr>
        <w:rFonts w:hint="default"/>
        <w:lang w:val="en-us" w:eastAsia="en-us" w:bidi="en-us"/>
      </w:rPr>
    </w:lvl>
    <w:lvl w:ilvl="6">
      <w:start w:val="0"/>
      <w:numFmt w:val="bullet"/>
      <w:lvlText w:val="•"/>
      <w:lvlJc w:val="left"/>
      <w:pPr>
        <w:ind w:left="5910"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8035" w:hanging="360"/>
      </w:pPr>
      <w:rPr>
        <w:rFonts w:hint="default"/>
        <w:lang w:val="en-us" w:eastAsia="en-us" w:bidi="en-us"/>
      </w:rPr>
    </w:lvl>
  </w:abstractNum>
  <w:abstractNum w:abstractNumId="0">
    <w:multiLevelType w:val="hybridMultilevel"/>
    <w:lvl w:ilvl="0">
      <w:start w:val="0"/>
      <w:numFmt w:val="bullet"/>
      <w:lvlText w:val=""/>
      <w:lvlJc w:val="left"/>
      <w:pPr>
        <w:ind w:left="948" w:hanging="360"/>
      </w:pPr>
      <w:rPr>
        <w:rFonts w:hint="default" w:ascii="Symbol" w:hAnsi="Symbol" w:eastAsia="Symbol" w:cs="Symbol"/>
        <w:w w:val="100"/>
        <w:sz w:val="22"/>
        <w:szCs w:val="22"/>
        <w:lang w:val="en-us" w:eastAsia="en-us" w:bidi="en-us"/>
      </w:rPr>
    </w:lvl>
    <w:lvl w:ilvl="1">
      <w:start w:val="0"/>
      <w:numFmt w:val="bullet"/>
      <w:lvlText w:val="•"/>
      <w:lvlJc w:val="left"/>
      <w:pPr>
        <w:ind w:left="1862" w:hanging="360"/>
      </w:pPr>
      <w:rPr>
        <w:rFonts w:hint="default"/>
        <w:lang w:val="en-us" w:eastAsia="en-us" w:bidi="en-us"/>
      </w:rPr>
    </w:lvl>
    <w:lvl w:ilvl="2">
      <w:start w:val="0"/>
      <w:numFmt w:val="bullet"/>
      <w:lvlText w:val="•"/>
      <w:lvlJc w:val="left"/>
      <w:pPr>
        <w:ind w:left="2784" w:hanging="360"/>
      </w:pPr>
      <w:rPr>
        <w:rFonts w:hint="default"/>
        <w:lang w:val="en-us" w:eastAsia="en-us" w:bidi="en-us"/>
      </w:rPr>
    </w:lvl>
    <w:lvl w:ilvl="3">
      <w:start w:val="0"/>
      <w:numFmt w:val="bullet"/>
      <w:lvlText w:val="•"/>
      <w:lvlJc w:val="left"/>
      <w:pPr>
        <w:ind w:left="3706" w:hanging="360"/>
      </w:pPr>
      <w:rPr>
        <w:rFonts w:hint="default"/>
        <w:lang w:val="en-us" w:eastAsia="en-us" w:bidi="en-us"/>
      </w:rPr>
    </w:lvl>
    <w:lvl w:ilvl="4">
      <w:start w:val="0"/>
      <w:numFmt w:val="bullet"/>
      <w:lvlText w:val="•"/>
      <w:lvlJc w:val="left"/>
      <w:pPr>
        <w:ind w:left="4628"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72" w:hanging="360"/>
      </w:pPr>
      <w:rPr>
        <w:rFonts w:hint="default"/>
        <w:lang w:val="en-us" w:eastAsia="en-us" w:bidi="en-us"/>
      </w:rPr>
    </w:lvl>
    <w:lvl w:ilvl="7">
      <w:start w:val="0"/>
      <w:numFmt w:val="bullet"/>
      <w:lvlText w:val="•"/>
      <w:lvlJc w:val="left"/>
      <w:pPr>
        <w:ind w:left="7394" w:hanging="360"/>
      </w:pPr>
      <w:rPr>
        <w:rFonts w:hint="default"/>
        <w:lang w:val="en-us" w:eastAsia="en-us" w:bidi="en-us"/>
      </w:rPr>
    </w:lvl>
    <w:lvl w:ilvl="8">
      <w:start w:val="0"/>
      <w:numFmt w:val="bullet"/>
      <w:lvlText w:val="•"/>
      <w:lvlJc w:val="left"/>
      <w:pPr>
        <w:ind w:left="831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21"/>
      <w:ind w:left="948"/>
      <w:jc w:val="both"/>
    </w:pPr>
    <w:rPr>
      <w:rFonts w:ascii="Calibri" w:hAnsi="Calibri" w:eastAsia="Calibri" w:cs="Calibri"/>
      <w:sz w:val="22"/>
      <w:szCs w:val="22"/>
      <w:lang w:val="en-us" w:eastAsia="en-us" w:bidi="en-us"/>
    </w:rPr>
  </w:style>
  <w:style w:styleId="Heading1" w:type="paragraph">
    <w:name w:val="Heading 1"/>
    <w:basedOn w:val="Normal"/>
    <w:uiPriority w:val="1"/>
    <w:qFormat/>
    <w:pPr>
      <w:ind w:left="199"/>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228"/>
      <w:outlineLvl w:val="2"/>
    </w:pPr>
    <w:rPr>
      <w:rFonts w:ascii="Calibri" w:hAnsi="Calibri" w:eastAsia="Calibri" w:cs="Calibri"/>
      <w:b/>
      <w:bCs/>
      <w:sz w:val="22"/>
      <w:szCs w:val="22"/>
      <w:lang w:val="en-us" w:eastAsia="en-us" w:bidi="en-us"/>
    </w:rPr>
  </w:style>
  <w:style w:styleId="Heading3" w:type="paragraph">
    <w:name w:val="Heading 3"/>
    <w:basedOn w:val="Normal"/>
    <w:uiPriority w:val="1"/>
    <w:qFormat/>
    <w:pPr>
      <w:ind w:left="948" w:hanging="360"/>
      <w:outlineLvl w:val="3"/>
    </w:pPr>
    <w:rPr>
      <w:rFonts w:ascii="Calibri" w:hAnsi="Calibri" w:eastAsia="Calibri" w:cs="Calibri"/>
      <w:b/>
      <w:bCs/>
      <w:i/>
      <w:sz w:val="22"/>
      <w:szCs w:val="22"/>
      <w:lang w:val="en-us" w:eastAsia="en-us" w:bidi="en-us"/>
    </w:rPr>
  </w:style>
  <w:style w:styleId="ListParagraph" w:type="paragraph">
    <w:name w:val="List Paragraph"/>
    <w:basedOn w:val="Normal"/>
    <w:uiPriority w:val="1"/>
    <w:qFormat/>
    <w:pPr>
      <w:spacing w:before="121"/>
      <w:ind w:left="948" w:hanging="360"/>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Nguyen</dc:creator>
  <dc:title>2 Organic DNA Extraction</dc:title>
  <dcterms:created xsi:type="dcterms:W3CDTF">2019-02-19T19:28:28Z</dcterms:created>
  <dcterms:modified xsi:type="dcterms:W3CDTF">2019-02-19T19:28:28Z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Word 2010</vt:lpwstr>
  </property>
  <property fmtid="{D5CDD505-2E9C-101B-9397-08002B2CF9AE}" pid="4" name="LastSaved">
    <vt:filetime>2019-02-19T00:00:00Z</vt:filetime>
  </property>
</Properties>
</file>