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420"/>
      </w:tblGrid>
      <w:tr>
        <w:trPr>
          <w:trHeight w:val="811" w:hRule="atLeast"/>
        </w:trPr>
        <w:tc>
          <w:tcPr>
            <w:tcW w:w="5960" w:type="dxa"/>
          </w:tcPr>
          <w:p>
            <w:pPr>
              <w:pStyle w:val="TableParagraph"/>
              <w:spacing w:before="1"/>
              <w:ind w:left="107" w:right="1771"/>
              <w:rPr>
                <w:sz w:val="24"/>
              </w:rPr>
            </w:pPr>
            <w:r>
              <w:rPr>
                <w:sz w:val="24"/>
              </w:rPr>
              <w:t>District Court, Arapahoe County, Colorado Arapahoe County Courthouse</w:t>
            </w:r>
          </w:p>
          <w:p>
            <w:pPr>
              <w:pStyle w:val="TableParagraph"/>
              <w:tabs>
                <w:tab w:pos="5445" w:val="left" w:leader="none"/>
              </w:tabs>
              <w:spacing w:line="249" w:lineRule="exact" w:before="1"/>
              <w:ind w:left="107" w:right="-44"/>
              <w:rPr>
                <w:rFonts w:ascii="Times New Roman"/>
                <w:sz w:val="20"/>
              </w:rPr>
            </w:pPr>
            <w:r>
              <w:rPr>
                <w:sz w:val="24"/>
              </w:rPr>
              <w:t>7325 S. Potomac St., Englewood,</w:t>
            </w:r>
            <w:r>
              <w:rPr>
                <w:spacing w:val="-7"/>
                <w:sz w:val="24"/>
              </w:rPr>
              <w:t> </w:t>
            </w:r>
            <w:r>
              <w:rPr>
                <w:sz w:val="24"/>
              </w:rPr>
              <w:t>CO</w:t>
            </w:r>
            <w:r>
              <w:rPr>
                <w:spacing w:val="-3"/>
                <w:sz w:val="24"/>
              </w:rPr>
              <w:t> </w:t>
            </w:r>
            <w:r>
              <w:rPr>
                <w:sz w:val="24"/>
              </w:rPr>
              <w:t>80112</w:t>
              <w:tab/>
            </w:r>
            <w:r>
              <w:rPr>
                <w:rFonts w:ascii="Times New Roman"/>
                <w:color w:val="0000FF"/>
                <w:position w:val="-6"/>
                <w:sz w:val="20"/>
              </w:rPr>
              <w:t>DATE</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41" w:right="329" w:firstLine="242"/>
              <w:rPr>
                <w:rFonts w:ascii="Times New Roman"/>
                <w:sz w:val="20"/>
              </w:rPr>
            </w:pPr>
            <w:r>
              <w:rPr>
                <w:rFonts w:ascii="Times New Roman"/>
                <w:color w:val="0000FF"/>
                <w:sz w:val="20"/>
              </w:rPr>
              <w:t>FILED: October 3, 2017 3:46 PM NG ID: 29C91C6351460</w:t>
            </w:r>
          </w:p>
          <w:p>
            <w:pPr>
              <w:pStyle w:val="TableParagraph"/>
              <w:spacing w:line="218" w:lineRule="exact"/>
              <w:ind w:left="80"/>
              <w:rPr>
                <w:rFonts w:ascii="Times New Roman"/>
                <w:sz w:val="20"/>
              </w:rPr>
            </w:pPr>
            <w:r>
              <w:rPr>
                <w:rFonts w:ascii="Times New Roman"/>
                <w:color w:val="0000FF"/>
                <w:sz w:val="20"/>
              </w:rPr>
              <w:t>NUMBER: 2017CR988</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numPr>
                <w:ilvl w:val="0"/>
                <w:numId w:val="1"/>
              </w:numPr>
              <w:tabs>
                <w:tab w:pos="689" w:val="left" w:leader="none"/>
              </w:tabs>
              <w:spacing w:line="258" w:lineRule="exact" w:before="131" w:after="0"/>
              <w:ind w:left="688" w:right="0" w:hanging="170"/>
              <w:jc w:val="left"/>
              <w:rPr>
                <w:rFonts w:ascii="Wingdings" w:hAnsi="Wingdings"/>
                <w:sz w:val="24"/>
              </w:rPr>
            </w:pPr>
            <w:r>
              <w:rPr>
                <w:sz w:val="24"/>
              </w:rPr>
              <w:t>COURT USE ONLY</w:t>
            </w:r>
            <w:r>
              <w:rPr>
                <w:spacing w:val="-1"/>
                <w:sz w:val="24"/>
              </w:rPr>
              <w:t> </w:t>
            </w:r>
            <w:r>
              <w:rPr>
                <w:rFonts w:ascii="Wingdings" w:hAnsi="Wingdings"/>
                <w:sz w:val="24"/>
              </w:rPr>
              <w:t></w:t>
            </w:r>
          </w:p>
        </w:tc>
      </w:tr>
      <w:tr>
        <w:trPr>
          <w:trHeight w:val="1888" w:hRule="atLeast"/>
        </w:trPr>
        <w:tc>
          <w:tcPr>
            <w:tcW w:w="5960" w:type="dxa"/>
          </w:tcPr>
          <w:p>
            <w:pPr>
              <w:pStyle w:val="TableParagraph"/>
              <w:spacing w:line="254" w:lineRule="exact" w:before="2"/>
              <w:ind w:left="107"/>
              <w:rPr>
                <w:rFonts w:ascii="Times New Roman"/>
                <w:sz w:val="20"/>
              </w:rPr>
            </w:pPr>
            <w:r>
              <w:rPr>
                <w:b/>
                <w:sz w:val="24"/>
              </w:rPr>
              <w:t>THE PEOPLE OF THE STATE OF COLORADO</w:t>
            </w:r>
            <w:r>
              <w:rPr>
                <w:sz w:val="24"/>
              </w:rPr>
              <w:t>,</w:t>
            </w:r>
            <w:r>
              <w:rPr>
                <w:rFonts w:ascii="Times New Roman"/>
                <w:color w:val="0000FF"/>
                <w:sz w:val="20"/>
              </w:rPr>
              <w:t>FILI</w:t>
            </w:r>
          </w:p>
          <w:p>
            <w:pPr>
              <w:pStyle w:val="TableParagraph"/>
              <w:tabs>
                <w:tab w:pos="5445" w:val="left" w:leader="none"/>
              </w:tabs>
              <w:spacing w:line="284" w:lineRule="exact"/>
              <w:ind w:left="107" w:right="-29"/>
              <w:rPr>
                <w:rFonts w:ascii="Times New Roman"/>
                <w:sz w:val="20"/>
              </w:rPr>
            </w:pPr>
            <w:r>
              <w:rPr>
                <w:sz w:val="24"/>
              </w:rPr>
              <w:t>Plaintiff</w:t>
              <w:tab/>
            </w:r>
            <w:r>
              <w:rPr>
                <w:rFonts w:ascii="Times New Roman"/>
                <w:color w:val="0000FF"/>
                <w:position w:val="5"/>
                <w:sz w:val="20"/>
              </w:rPr>
              <w:t>CASE</w:t>
            </w:r>
          </w:p>
          <w:p>
            <w:pPr>
              <w:pStyle w:val="TableParagraph"/>
              <w:spacing w:before="5"/>
              <w:rPr>
                <w:rFonts w:ascii="Times New Roman"/>
                <w:sz w:val="23"/>
              </w:rPr>
            </w:pPr>
          </w:p>
          <w:p>
            <w:pPr>
              <w:pStyle w:val="TableParagraph"/>
              <w:ind w:left="107"/>
              <w:rPr>
                <w:sz w:val="24"/>
              </w:rPr>
            </w:pPr>
            <w:r>
              <w:rPr>
                <w:sz w:val="24"/>
              </w:rPr>
              <w:t>v.</w:t>
            </w:r>
          </w:p>
          <w:p>
            <w:pPr>
              <w:pStyle w:val="TableParagraph"/>
              <w:spacing w:before="6"/>
              <w:rPr>
                <w:rFonts w:ascii="Times New Roman"/>
                <w:sz w:val="23"/>
              </w:rPr>
            </w:pPr>
          </w:p>
          <w:p>
            <w:pPr>
              <w:pStyle w:val="TableParagraph"/>
              <w:spacing w:line="269" w:lineRule="exact"/>
              <w:ind w:left="107"/>
              <w:rPr>
                <w:sz w:val="24"/>
              </w:rPr>
            </w:pPr>
            <w:r>
              <w:rPr>
                <w:b/>
                <w:sz w:val="24"/>
              </w:rPr>
              <w:t>ANGELA INGA</w:t>
            </w:r>
            <w:r>
              <w:rPr>
                <w:sz w:val="24"/>
              </w:rPr>
              <w:t>,</w:t>
            </w:r>
          </w:p>
          <w:p>
            <w:pPr>
              <w:pStyle w:val="TableParagraph"/>
              <w:spacing w:line="248" w:lineRule="exact"/>
              <w:ind w:left="107"/>
              <w:rPr>
                <w:sz w:val="24"/>
              </w:rPr>
            </w:pPr>
            <w:r>
              <w:rPr>
                <w:sz w:val="24"/>
              </w:rPr>
              <w:t>Defendant.</w:t>
            </w:r>
          </w:p>
        </w:tc>
        <w:tc>
          <w:tcPr>
            <w:tcW w:w="3420" w:type="dxa"/>
            <w:vMerge/>
            <w:tcBorders>
              <w:top w:val="nil"/>
            </w:tcBorders>
          </w:tcPr>
          <w:p>
            <w:pPr>
              <w:rPr>
                <w:sz w:val="2"/>
                <w:szCs w:val="2"/>
              </w:rPr>
            </w:pPr>
          </w:p>
        </w:tc>
      </w:tr>
      <w:tr>
        <w:trPr>
          <w:trHeight w:val="1891" w:hRule="atLeast"/>
        </w:trPr>
        <w:tc>
          <w:tcPr>
            <w:tcW w:w="5960" w:type="dxa"/>
          </w:tcPr>
          <w:p>
            <w:pPr>
              <w:pStyle w:val="TableParagraph"/>
              <w:spacing w:before="1"/>
              <w:ind w:left="107"/>
              <w:rPr>
                <w:sz w:val="24"/>
              </w:rPr>
            </w:pPr>
            <w:r>
              <w:rPr>
                <w:sz w:val="24"/>
              </w:rPr>
              <w:t>Katie Telfer, #41720</w:t>
            </w:r>
          </w:p>
          <w:p>
            <w:pPr>
              <w:pStyle w:val="TableParagraph"/>
              <w:spacing w:line="269" w:lineRule="exact" w:before="2"/>
              <w:ind w:left="107"/>
              <w:rPr>
                <w:sz w:val="24"/>
              </w:rPr>
            </w:pPr>
            <w:r>
              <w:rPr>
                <w:sz w:val="24"/>
              </w:rPr>
              <w:t>Deputy State Public Defender</w:t>
            </w:r>
          </w:p>
          <w:p>
            <w:pPr>
              <w:pStyle w:val="TableParagraph"/>
              <w:ind w:left="107" w:right="958"/>
              <w:rPr>
                <w:sz w:val="24"/>
              </w:rPr>
            </w:pPr>
            <w:r>
              <w:rPr>
                <w:sz w:val="24"/>
              </w:rPr>
              <w:t>Douglas K. Wilson, Colorado State Public Defender Arapahoe County Public Defenders</w:t>
            </w:r>
          </w:p>
          <w:p>
            <w:pPr>
              <w:pStyle w:val="TableParagraph"/>
              <w:tabs>
                <w:tab w:pos="3428" w:val="left" w:leader="none"/>
                <w:tab w:pos="4071" w:val="left" w:leader="none"/>
              </w:tabs>
              <w:ind w:left="107" w:right="398"/>
              <w:rPr>
                <w:sz w:val="24"/>
              </w:rPr>
            </w:pPr>
            <w:r>
              <w:rPr>
                <w:sz w:val="24"/>
              </w:rPr>
              <w:t>12350 E. Arapahoe Road, Suite A, Centennial, CO 80112 Phone</w:t>
            </w:r>
            <w:r>
              <w:rPr>
                <w:spacing w:val="-3"/>
                <w:sz w:val="24"/>
              </w:rPr>
              <w:t> </w:t>
            </w:r>
            <w:r>
              <w:rPr>
                <w:sz w:val="24"/>
              </w:rPr>
              <w:t>(303)</w:t>
            </w:r>
            <w:r>
              <w:rPr>
                <w:spacing w:val="-1"/>
                <w:sz w:val="24"/>
              </w:rPr>
              <w:t> </w:t>
            </w:r>
            <w:r>
              <w:rPr>
                <w:sz w:val="24"/>
              </w:rPr>
              <w:t>799-9001</w:t>
              <w:tab/>
              <w:t>Fax</w:t>
              <w:tab/>
              <w:t>(303)</w:t>
            </w:r>
            <w:r>
              <w:rPr>
                <w:spacing w:val="-1"/>
                <w:sz w:val="24"/>
              </w:rPr>
              <w:t> </w:t>
            </w:r>
            <w:r>
              <w:rPr>
                <w:sz w:val="24"/>
              </w:rPr>
              <w:t>792-0822</w:t>
            </w:r>
          </w:p>
          <w:p>
            <w:pPr>
              <w:pStyle w:val="TableParagraph"/>
              <w:spacing w:line="249" w:lineRule="exact"/>
              <w:ind w:left="107"/>
              <w:rPr>
                <w:sz w:val="24"/>
              </w:rPr>
            </w:pPr>
            <w:r>
              <w:rPr>
                <w:sz w:val="24"/>
              </w:rPr>
              <w:t>E-</w:t>
            </w:r>
            <w:hyperlink r:id="rId5">
              <w:r>
                <w:rPr>
                  <w:sz w:val="24"/>
                </w:rPr>
                <w:t>mail:</w:t>
              </w:r>
              <w:r>
                <w:rPr>
                  <w:spacing w:val="59"/>
                  <w:sz w:val="24"/>
                </w:rPr>
                <w:t> </w:t>
              </w:r>
              <w:r>
                <w:rPr>
                  <w:sz w:val="24"/>
                </w:rPr>
                <w:t>katie.telfer@coloradodefenders.us</w:t>
              </w:r>
            </w:hyperlink>
          </w:p>
        </w:tc>
        <w:tc>
          <w:tcPr>
            <w:tcW w:w="3420" w:type="dxa"/>
          </w:tcPr>
          <w:p>
            <w:pPr>
              <w:pStyle w:val="TableParagraph"/>
              <w:spacing w:before="1"/>
              <w:ind w:left="105"/>
              <w:rPr>
                <w:b/>
                <w:sz w:val="24"/>
              </w:rPr>
            </w:pPr>
            <w:r>
              <w:rPr>
                <w:sz w:val="24"/>
              </w:rPr>
              <w:t>Case No.: </w:t>
            </w:r>
            <w:r>
              <w:rPr>
                <w:b/>
                <w:sz w:val="24"/>
              </w:rPr>
              <w:t>2017CR988</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line="249" w:lineRule="exact" w:before="155"/>
              <w:ind w:left="105"/>
              <w:rPr>
                <w:b/>
                <w:sz w:val="24"/>
              </w:rPr>
            </w:pPr>
            <w:r>
              <w:rPr>
                <w:sz w:val="24"/>
              </w:rPr>
              <w:t>Division: </w:t>
            </w:r>
            <w:r>
              <w:rPr>
                <w:b/>
                <w:sz w:val="24"/>
              </w:rPr>
              <w:t>309</w:t>
            </w:r>
          </w:p>
        </w:tc>
      </w:tr>
      <w:tr>
        <w:trPr>
          <w:trHeight w:val="1619" w:hRule="atLeast"/>
        </w:trPr>
        <w:tc>
          <w:tcPr>
            <w:tcW w:w="9380" w:type="dxa"/>
            <w:gridSpan w:val="2"/>
          </w:tcPr>
          <w:p>
            <w:pPr>
              <w:pStyle w:val="TableParagraph"/>
              <w:spacing w:before="6"/>
              <w:rPr>
                <w:rFonts w:ascii="Times New Roman"/>
                <w:sz w:val="23"/>
              </w:rPr>
            </w:pPr>
          </w:p>
          <w:p>
            <w:pPr>
              <w:pStyle w:val="TableParagraph"/>
              <w:ind w:left="3332" w:right="3327"/>
              <w:jc w:val="center"/>
              <w:rPr>
                <w:b/>
                <w:sz w:val="24"/>
              </w:rPr>
            </w:pPr>
            <w:r>
              <w:rPr>
                <w:b/>
                <w:sz w:val="24"/>
              </w:rPr>
              <w:t>DEFENSE MOTION #1:</w:t>
            </w:r>
          </w:p>
          <w:p>
            <w:pPr>
              <w:pStyle w:val="TableParagraph"/>
              <w:spacing w:line="235" w:lineRule="auto" w:before="5"/>
              <w:ind w:left="225" w:right="214" w:hanging="5"/>
              <w:jc w:val="center"/>
              <w:rPr>
                <w:b/>
                <w:sz w:val="24"/>
              </w:rPr>
            </w:pPr>
            <w:r>
              <w:rPr>
                <w:b/>
                <w:sz w:val="24"/>
              </w:rPr>
              <w:t>MOTION FOR PRE-TRIAL NOTICE AND HEARING PRIOR TO THE INTRODUCTION OF CHARACTER, BAD ACTS, AND </w:t>
            </w:r>
            <w:r>
              <w:rPr>
                <w:b/>
                <w:i/>
                <w:sz w:val="25"/>
              </w:rPr>
              <w:t>RES GESTAE </w:t>
            </w:r>
            <w:r>
              <w:rPr>
                <w:b/>
                <w:sz w:val="24"/>
              </w:rPr>
              <w:t>EVIDENCE AT TRIAL</w:t>
            </w:r>
          </w:p>
        </w:tc>
      </w:tr>
    </w:tbl>
    <w:p>
      <w:pPr>
        <w:pStyle w:val="BodyText"/>
        <w:spacing w:before="3"/>
        <w:rPr>
          <w:rFonts w:ascii="Times New Roman"/>
          <w:sz w:val="21"/>
        </w:rPr>
      </w:pPr>
    </w:p>
    <w:p>
      <w:pPr>
        <w:pStyle w:val="BodyText"/>
        <w:spacing w:line="213" w:lineRule="auto" w:before="123"/>
        <w:ind w:left="300" w:right="915"/>
        <w:jc w:val="both"/>
      </w:pPr>
      <w:r>
        <w:rPr/>
        <w:t>Ms. Inga, through counsel, respectfully moves this Court to (1) require the prosecution to provide notice as to any character or bad conduct evidence that it wishes to admit at trial with the purpose and evidentiary basis for the admission of this evidence and (2) set a pre- trial hearing to determine the admissibility of any such</w:t>
      </w:r>
      <w:r>
        <w:rPr>
          <w:spacing w:val="-5"/>
        </w:rPr>
        <w:t> </w:t>
      </w:r>
      <w:r>
        <w:rPr/>
        <w:t>evidence.</w:t>
      </w:r>
    </w:p>
    <w:p>
      <w:pPr>
        <w:pStyle w:val="BodyText"/>
        <w:spacing w:before="113"/>
        <w:ind w:left="1020"/>
      </w:pPr>
      <w:r>
        <w:rPr/>
        <w:t>AS GROUNDS for this motion, Ms. Inga states as follows:</w:t>
      </w:r>
    </w:p>
    <w:p>
      <w:pPr>
        <w:pStyle w:val="BodyText"/>
      </w:pPr>
    </w:p>
    <w:p>
      <w:pPr>
        <w:pStyle w:val="ListParagraph"/>
        <w:numPr>
          <w:ilvl w:val="0"/>
          <w:numId w:val="2"/>
        </w:numPr>
        <w:tabs>
          <w:tab w:pos="1740" w:val="left" w:leader="none"/>
          <w:tab w:pos="1741" w:val="left" w:leader="none"/>
        </w:tabs>
        <w:spacing w:line="240" w:lineRule="auto" w:before="0" w:after="0"/>
        <w:ind w:left="300" w:right="973" w:firstLine="720"/>
        <w:jc w:val="left"/>
        <w:rPr>
          <w:sz w:val="24"/>
        </w:rPr>
      </w:pPr>
      <w:r>
        <w:rPr>
          <w:sz w:val="24"/>
        </w:rPr>
        <w:t>Effective September 27, 2007, C.R.E. 404(b) was amended to require the defense to request notice of any “bad acts” evidence, including res gestae. The language added to the end of the rule states that “…upon request by the accused, the prosecution in a criminal case shall provide reasonable notice in advance of trial, or during trial, if the court excuses pretrial notice on good cause shown, of the general nature of such evidence it intends to introduce at trial.” </w:t>
      </w:r>
      <w:r>
        <w:rPr>
          <w:sz w:val="24"/>
          <w:u w:val="single"/>
        </w:rPr>
        <w:t>See,</w:t>
      </w:r>
      <w:r>
        <w:rPr>
          <w:sz w:val="24"/>
        </w:rPr>
        <w:t> </w:t>
      </w:r>
      <w:r>
        <w:rPr>
          <w:sz w:val="24"/>
          <w:u w:val="single"/>
        </w:rPr>
        <w:t>People v. Pratt</w:t>
      </w:r>
      <w:r>
        <w:rPr>
          <w:sz w:val="24"/>
        </w:rPr>
        <w:t>, 759 P.2d 676, 684-85 (Colo.</w:t>
      </w:r>
      <w:r>
        <w:rPr>
          <w:spacing w:val="-17"/>
          <w:sz w:val="24"/>
        </w:rPr>
        <w:t> </w:t>
      </w:r>
      <w:r>
        <w:rPr>
          <w:sz w:val="24"/>
        </w:rPr>
        <w:t>1988).</w:t>
      </w:r>
    </w:p>
    <w:p>
      <w:pPr>
        <w:pStyle w:val="BodyText"/>
        <w:spacing w:before="1"/>
        <w:rPr>
          <w:sz w:val="15"/>
        </w:rPr>
      </w:pPr>
    </w:p>
    <w:p>
      <w:pPr>
        <w:pStyle w:val="ListParagraph"/>
        <w:numPr>
          <w:ilvl w:val="0"/>
          <w:numId w:val="2"/>
        </w:numPr>
        <w:tabs>
          <w:tab w:pos="1740" w:val="left" w:leader="none"/>
          <w:tab w:pos="1741" w:val="left" w:leader="none"/>
          <w:tab w:pos="6508" w:val="left" w:leader="none"/>
        </w:tabs>
        <w:spacing w:line="240" w:lineRule="auto" w:before="100" w:after="0"/>
        <w:ind w:left="300" w:right="951" w:firstLine="720"/>
        <w:jc w:val="left"/>
        <w:rPr>
          <w:sz w:val="24"/>
        </w:rPr>
      </w:pPr>
      <w:r>
        <w:rPr>
          <w:sz w:val="24"/>
        </w:rPr>
        <w:t>In general, evidence of bad conduct of a criminal defendant is not allowed per C.R.E. 404. This rule goes to the heart of a defendant's constitutional right to a fair trial before an impartial jury.</w:t>
      </w:r>
      <w:r>
        <w:rPr>
          <w:sz w:val="24"/>
          <w:u w:val="single"/>
        </w:rPr>
        <w:t> See Oaks v. People</w:t>
      </w:r>
      <w:r>
        <w:rPr>
          <w:sz w:val="24"/>
        </w:rPr>
        <w:t>, 150 Colo. 64, 68-69, 371 P.2d 443, 447 (1962);</w:t>
      </w:r>
      <w:r>
        <w:rPr>
          <w:sz w:val="24"/>
          <w:u w:val="single"/>
        </w:rPr>
        <w:t> U.S. Const.</w:t>
      </w:r>
      <w:r>
        <w:rPr>
          <w:sz w:val="24"/>
        </w:rPr>
        <w:t>, amends. V, VI, XIV; </w:t>
      </w:r>
      <w:r>
        <w:rPr>
          <w:sz w:val="24"/>
          <w:u w:val="single"/>
        </w:rPr>
        <w:t>Colo. Const.</w:t>
      </w:r>
      <w:r>
        <w:rPr>
          <w:sz w:val="24"/>
        </w:rPr>
        <w:t>, art. II, §§</w:t>
      </w:r>
      <w:r>
        <w:rPr>
          <w:spacing w:val="-17"/>
          <w:sz w:val="24"/>
        </w:rPr>
        <w:t> </w:t>
      </w:r>
      <w:r>
        <w:rPr>
          <w:sz w:val="24"/>
        </w:rPr>
        <w:t>16,</w:t>
      </w:r>
      <w:r>
        <w:rPr>
          <w:spacing w:val="-2"/>
          <w:sz w:val="24"/>
        </w:rPr>
        <w:t> </w:t>
      </w:r>
      <w:r>
        <w:rPr>
          <w:sz w:val="24"/>
        </w:rPr>
        <w:t>25.</w:t>
        <w:tab/>
        <w:t>The introduction of evidence of a prior criminal act, </w:t>
      </w:r>
      <w:r>
        <w:rPr>
          <w:i/>
          <w:sz w:val="24"/>
        </w:rPr>
        <w:t>or other prior bad acts or accusations or arrests</w:t>
      </w:r>
      <w:r>
        <w:rPr>
          <w:sz w:val="24"/>
        </w:rPr>
        <w:t>, may constitute grounds for a mistrial. </w:t>
      </w:r>
      <w:r>
        <w:rPr>
          <w:sz w:val="24"/>
          <w:u w:val="single"/>
        </w:rPr>
        <w:t>See People v. District Court</w:t>
      </w:r>
      <w:r>
        <w:rPr>
          <w:sz w:val="24"/>
        </w:rPr>
        <w:t>, 767 P.2d 239, 241 (Colo. 1989); </w:t>
      </w:r>
      <w:r>
        <w:rPr>
          <w:sz w:val="24"/>
          <w:u w:val="single"/>
        </w:rPr>
        <w:t>People v. Goldsberry</w:t>
      </w:r>
      <w:r>
        <w:rPr>
          <w:sz w:val="24"/>
        </w:rPr>
        <w:t>, 181 Colo. 406, 509 P.2d 801 (1973); </w:t>
      </w:r>
      <w:r>
        <w:rPr>
          <w:sz w:val="24"/>
          <w:u w:val="single"/>
        </w:rPr>
        <w:t>Salas v. People</w:t>
      </w:r>
      <w:r>
        <w:rPr>
          <w:sz w:val="24"/>
        </w:rPr>
        <w:t>, 177 Colo. 264, 493 P.2d 1356 (1972).</w:t>
      </w:r>
    </w:p>
    <w:p>
      <w:pPr>
        <w:spacing w:after="0" w:line="240" w:lineRule="auto"/>
        <w:jc w:val="left"/>
        <w:rPr>
          <w:sz w:val="24"/>
        </w:rPr>
        <w:sectPr>
          <w:type w:val="continuous"/>
          <w:pgSz w:w="12240" w:h="15840"/>
          <w:pgMar w:top="1440" w:bottom="280" w:left="1500" w:right="880"/>
        </w:sectPr>
      </w:pPr>
    </w:p>
    <w:p>
      <w:pPr>
        <w:pStyle w:val="ListParagraph"/>
        <w:numPr>
          <w:ilvl w:val="0"/>
          <w:numId w:val="2"/>
        </w:numPr>
        <w:tabs>
          <w:tab w:pos="1741" w:val="left" w:leader="none"/>
        </w:tabs>
        <w:spacing w:line="213" w:lineRule="auto" w:before="108" w:after="0"/>
        <w:ind w:left="300" w:right="916" w:firstLine="720"/>
        <w:jc w:val="both"/>
        <w:rPr>
          <w:sz w:val="24"/>
        </w:rPr>
      </w:pPr>
      <w:r>
        <w:rPr/>
        <w:pict>
          <v:line style="position:absolute;mso-position-horizontal-relative:page;mso-position-vertical-relative:page;z-index:1024" from="387.910004pt,556.425964pt" to="552.748012pt,556.425964pt" stroked="true" strokeweight=".498pt" strokecolor="#000000">
            <v:stroke dashstyle="solid"/>
            <w10:wrap type="none"/>
          </v:line>
        </w:pict>
      </w:r>
      <w:r>
        <w:rPr>
          <w:sz w:val="24"/>
        </w:rPr>
        <w:t>“A defendant on trial for a specific offense should not be expected or required to meet anything other than the specific accusation made against her.” </w:t>
      </w:r>
      <w:r>
        <w:rPr>
          <w:sz w:val="24"/>
          <w:u w:val="single"/>
        </w:rPr>
        <w:t>People v. Pratt</w:t>
      </w:r>
      <w:r>
        <w:rPr>
          <w:sz w:val="24"/>
        </w:rPr>
        <w:t>, 759 P.2d at 682 (citing </w:t>
      </w:r>
      <w:r>
        <w:rPr>
          <w:sz w:val="24"/>
          <w:u w:val="single"/>
        </w:rPr>
        <w:t>Edmisten v. People</w:t>
      </w:r>
      <w:r>
        <w:rPr>
          <w:sz w:val="24"/>
        </w:rPr>
        <w:t>, 176 Colo. 262, 275, 490 P.2d 58, 64  (1971); </w:t>
      </w:r>
      <w:r>
        <w:rPr>
          <w:sz w:val="24"/>
          <w:u w:val="single"/>
        </w:rPr>
        <w:t>Stull v. People</w:t>
      </w:r>
      <w:r>
        <w:rPr>
          <w:sz w:val="24"/>
        </w:rPr>
        <w:t>, 140 Colo. 278, 283, 344 P.2d 455, 458 (1959). “An accused has the right to know the allegations against which he must defend.” </w:t>
      </w:r>
      <w:r>
        <w:rPr>
          <w:sz w:val="24"/>
          <w:u w:val="single"/>
        </w:rPr>
        <w:t>People v. Pratt</w:t>
      </w:r>
      <w:r>
        <w:rPr>
          <w:sz w:val="24"/>
        </w:rPr>
        <w:t>, 759 P.2d at  682 (citations</w:t>
      </w:r>
      <w:r>
        <w:rPr>
          <w:spacing w:val="-2"/>
          <w:sz w:val="24"/>
        </w:rPr>
        <w:t> </w:t>
      </w:r>
      <w:r>
        <w:rPr>
          <w:sz w:val="24"/>
        </w:rPr>
        <w:t>omitted).</w:t>
      </w:r>
    </w:p>
    <w:p>
      <w:pPr>
        <w:pStyle w:val="BodyText"/>
        <w:rPr>
          <w:sz w:val="26"/>
        </w:rPr>
      </w:pPr>
    </w:p>
    <w:p>
      <w:pPr>
        <w:pStyle w:val="ListParagraph"/>
        <w:numPr>
          <w:ilvl w:val="0"/>
          <w:numId w:val="2"/>
        </w:numPr>
        <w:tabs>
          <w:tab w:pos="1741" w:val="left" w:leader="none"/>
        </w:tabs>
        <w:spacing w:line="213" w:lineRule="auto" w:before="186" w:after="0"/>
        <w:ind w:left="300" w:right="914" w:firstLine="720"/>
        <w:jc w:val="both"/>
        <w:rPr>
          <w:sz w:val="24"/>
        </w:rPr>
      </w:pPr>
      <w:r>
        <w:rPr>
          <w:sz w:val="24"/>
        </w:rPr>
        <w:t>Defense requests the Court order the prosecution provide notice to the defense of intent to submit any 404(b), res gestae, or other similar evidence, under the conditions set forth herein, no later than two weeks prior to the motions</w:t>
      </w:r>
      <w:r>
        <w:rPr>
          <w:spacing w:val="-17"/>
          <w:sz w:val="24"/>
        </w:rPr>
        <w:t> </w:t>
      </w:r>
      <w:r>
        <w:rPr>
          <w:sz w:val="24"/>
        </w:rPr>
        <w:t>hearing.</w:t>
      </w:r>
    </w:p>
    <w:p>
      <w:pPr>
        <w:pStyle w:val="BodyText"/>
        <w:rPr>
          <w:sz w:val="26"/>
        </w:rPr>
      </w:pPr>
    </w:p>
    <w:p>
      <w:pPr>
        <w:pStyle w:val="BodyText"/>
        <w:rPr>
          <w:sz w:val="26"/>
        </w:rPr>
      </w:pPr>
    </w:p>
    <w:p>
      <w:pPr>
        <w:pStyle w:val="BodyText"/>
        <w:spacing w:before="157"/>
        <w:ind w:left="300" w:right="929" w:firstLine="719"/>
      </w:pPr>
      <w:r>
        <w:rPr/>
        <w:t>WHEREFORE, Ms. Inga moves this Court to (1) require the prosecution to provide notice as to any character or bad conduct evidence that it wishes to admit at trial with the purpose and evidentiary basis for the admission of this evidence, (2) set a deadline for the disclosure of such notice, and (3) set a pre-trial hearing to determine the admissibility of any such evidence.</w:t>
      </w:r>
    </w:p>
    <w:p>
      <w:pPr>
        <w:pStyle w:val="BodyText"/>
      </w:pPr>
    </w:p>
    <w:p>
      <w:pPr>
        <w:pStyle w:val="BodyText"/>
        <w:ind w:left="300"/>
      </w:pPr>
      <w:r>
        <w:rPr/>
        <w:t>DOUGLAS K. WILSON</w:t>
      </w:r>
    </w:p>
    <w:p>
      <w:pPr>
        <w:pStyle w:val="BodyText"/>
        <w:spacing w:before="1"/>
        <w:ind w:left="300"/>
      </w:pPr>
      <w:r>
        <w:rPr/>
        <w:t>COLORADO STATE PUBLIC DEFENDER</w:t>
      </w:r>
    </w:p>
    <w:p>
      <w:pPr>
        <w:pStyle w:val="BodyText"/>
        <w:rPr>
          <w:sz w:val="26"/>
        </w:rPr>
      </w:pPr>
    </w:p>
    <w:p>
      <w:pPr>
        <w:pStyle w:val="BodyText"/>
        <w:rPr>
          <w:sz w:val="26"/>
        </w:rPr>
      </w:pPr>
    </w:p>
    <w:p>
      <w:pPr>
        <w:pStyle w:val="BodyText"/>
        <w:rPr>
          <w:sz w:val="26"/>
        </w:rPr>
      </w:pPr>
    </w:p>
    <w:p>
      <w:pPr>
        <w:pStyle w:val="BodyText"/>
        <w:spacing w:before="8"/>
        <w:rPr>
          <w:sz w:val="36"/>
        </w:rPr>
      </w:pPr>
    </w:p>
    <w:p>
      <w:pPr>
        <w:pStyle w:val="BodyText"/>
        <w:spacing w:line="269" w:lineRule="exact"/>
        <w:ind w:left="300"/>
      </w:pPr>
      <w:r>
        <w:rPr/>
        <w:t>DOUGLAS K. WILSON</w:t>
      </w:r>
    </w:p>
    <w:p>
      <w:pPr>
        <w:pStyle w:val="BodyText"/>
        <w:spacing w:line="269" w:lineRule="exact"/>
        <w:ind w:left="300"/>
      </w:pPr>
      <w:r>
        <w:rPr/>
        <w:t>COLORADO STATE PUBLIC DEFENDER</w:t>
      </w:r>
    </w:p>
    <w:p>
      <w:pPr>
        <w:pStyle w:val="BodyText"/>
        <w:spacing w:before="11"/>
        <w:rPr>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3"/>
        <w:gridCol w:w="4941"/>
      </w:tblGrid>
      <w:tr>
        <w:trPr>
          <w:trHeight w:val="2069" w:hRule="atLeast"/>
        </w:trPr>
        <w:tc>
          <w:tcPr>
            <w:tcW w:w="4713" w:type="dxa"/>
          </w:tcPr>
          <w:p>
            <w:pPr>
              <w:pStyle w:val="TableParagraph"/>
              <w:spacing w:before="2"/>
              <w:rPr>
                <w:sz w:val="24"/>
              </w:rPr>
            </w:pPr>
          </w:p>
          <w:p>
            <w:pPr>
              <w:pStyle w:val="TableParagraph"/>
              <w:tabs>
                <w:tab w:pos="1039" w:val="left" w:leader="none"/>
                <w:tab w:pos="3323" w:val="left" w:leader="none"/>
              </w:tabs>
              <w:ind w:left="200" w:right="1387"/>
              <w:rPr>
                <w:sz w:val="24"/>
              </w:rPr>
            </w:pPr>
            <w:r>
              <w:rPr>
                <w:sz w:val="24"/>
                <w:u w:val="single"/>
              </w:rPr>
              <w:t> </w:t>
              <w:tab/>
            </w:r>
            <w:r>
              <w:rPr>
                <w:sz w:val="24"/>
              </w:rPr>
              <w:t>/s/</w:t>
            </w:r>
            <w:r>
              <w:rPr>
                <w:spacing w:val="-2"/>
                <w:sz w:val="24"/>
              </w:rPr>
              <w:t> </w:t>
            </w:r>
            <w:r>
              <w:rPr>
                <w:sz w:val="24"/>
              </w:rPr>
              <w:t>Katie</w:t>
            </w:r>
            <w:r>
              <w:rPr>
                <w:spacing w:val="-1"/>
                <w:sz w:val="24"/>
              </w:rPr>
              <w:t> </w:t>
            </w:r>
            <w:r>
              <w:rPr>
                <w:sz w:val="24"/>
              </w:rPr>
              <w:t>Telfer</w:t>
            </w:r>
            <w:r>
              <w:rPr>
                <w:sz w:val="24"/>
                <w:u w:val="single"/>
              </w:rPr>
              <w:t> </w:t>
              <w:tab/>
            </w:r>
            <w:r>
              <w:rPr>
                <w:sz w:val="24"/>
              </w:rPr>
              <w:t> Katie Telfer,</w:t>
            </w:r>
            <w:r>
              <w:rPr>
                <w:spacing w:val="-1"/>
                <w:sz w:val="24"/>
              </w:rPr>
              <w:t> </w:t>
            </w:r>
            <w:r>
              <w:rPr>
                <w:sz w:val="24"/>
              </w:rPr>
              <w:t>#41720</w:t>
            </w:r>
          </w:p>
          <w:p>
            <w:pPr>
              <w:pStyle w:val="TableParagraph"/>
              <w:spacing w:before="10"/>
              <w:rPr>
                <w:sz w:val="23"/>
              </w:rPr>
            </w:pPr>
          </w:p>
          <w:p>
            <w:pPr>
              <w:pStyle w:val="TableParagraph"/>
              <w:ind w:left="200" w:right="1608"/>
              <w:rPr>
                <w:sz w:val="24"/>
              </w:rPr>
            </w:pPr>
            <w:r>
              <w:rPr>
                <w:sz w:val="24"/>
              </w:rPr>
              <w:t>Deputy State Public Defenders Dated: October 3, 2017</w:t>
            </w:r>
          </w:p>
        </w:tc>
        <w:tc>
          <w:tcPr>
            <w:tcW w:w="4941" w:type="dxa"/>
          </w:tcPr>
          <w:p>
            <w:pPr>
              <w:pStyle w:val="TableParagraph"/>
              <w:spacing w:line="224" w:lineRule="exact"/>
              <w:ind w:left="2272"/>
              <w:rPr>
                <w:b/>
                <w:sz w:val="20"/>
              </w:rPr>
            </w:pPr>
            <w:r>
              <w:rPr>
                <w:b/>
                <w:sz w:val="20"/>
                <w:u w:val="single"/>
              </w:rPr>
              <w:t>Certificate of Service</w:t>
            </w:r>
          </w:p>
          <w:p>
            <w:pPr>
              <w:pStyle w:val="TableParagraph"/>
              <w:spacing w:before="1"/>
              <w:rPr>
                <w:sz w:val="20"/>
              </w:rPr>
            </w:pPr>
          </w:p>
          <w:p>
            <w:pPr>
              <w:pStyle w:val="TableParagraph"/>
              <w:ind w:left="1444" w:right="217"/>
              <w:rPr>
                <w:sz w:val="20"/>
              </w:rPr>
            </w:pPr>
            <w:r>
              <w:rPr>
                <w:sz w:val="20"/>
              </w:rPr>
              <w:t>I hereby certify that on October 3, 2017, I served the foregoing document through ICCES to opposing counsel of record.</w:t>
            </w:r>
          </w:p>
          <w:p>
            <w:pPr>
              <w:pStyle w:val="TableParagraph"/>
              <w:rPr>
                <w:sz w:val="22"/>
              </w:rPr>
            </w:pPr>
          </w:p>
          <w:p>
            <w:pPr>
              <w:pStyle w:val="TableParagraph"/>
              <w:spacing w:before="11"/>
              <w:rPr>
                <w:sz w:val="17"/>
              </w:rPr>
            </w:pPr>
          </w:p>
          <w:p>
            <w:pPr>
              <w:pStyle w:val="TableParagraph"/>
              <w:ind w:left="2284"/>
              <w:rPr>
                <w:sz w:val="24"/>
              </w:rPr>
            </w:pPr>
            <w:r>
              <w:rPr>
                <w:sz w:val="24"/>
              </w:rPr>
              <w:t>/s/ Katie Telfer</w:t>
            </w:r>
          </w:p>
        </w:tc>
      </w:tr>
    </w:tbl>
    <w:sectPr>
      <w:pgSz w:w="12240" w:h="15840"/>
      <w:pgMar w:top="1340" w:bottom="280" w:left="15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00" w:hanging="720"/>
        <w:jc w:val="left"/>
      </w:pPr>
      <w:rPr>
        <w:rFonts w:hint="default" w:ascii="Garamond" w:hAnsi="Garamond" w:eastAsia="Garamond" w:cs="Garamond"/>
        <w:spacing w:val="-3"/>
        <w:w w:val="100"/>
        <w:sz w:val="24"/>
        <w:szCs w:val="24"/>
      </w:rPr>
    </w:lvl>
    <w:lvl w:ilvl="1">
      <w:start w:val="0"/>
      <w:numFmt w:val="bullet"/>
      <w:lvlText w:val="•"/>
      <w:lvlJc w:val="left"/>
      <w:pPr>
        <w:ind w:left="1256" w:hanging="720"/>
      </w:pPr>
      <w:rPr>
        <w:rFonts w:hint="default"/>
      </w:rPr>
    </w:lvl>
    <w:lvl w:ilvl="2">
      <w:start w:val="0"/>
      <w:numFmt w:val="bullet"/>
      <w:lvlText w:val="•"/>
      <w:lvlJc w:val="left"/>
      <w:pPr>
        <w:ind w:left="2212" w:hanging="720"/>
      </w:pPr>
      <w:rPr>
        <w:rFonts w:hint="default"/>
      </w:rPr>
    </w:lvl>
    <w:lvl w:ilvl="3">
      <w:start w:val="0"/>
      <w:numFmt w:val="bullet"/>
      <w:lvlText w:val="•"/>
      <w:lvlJc w:val="left"/>
      <w:pPr>
        <w:ind w:left="3168" w:hanging="720"/>
      </w:pPr>
      <w:rPr>
        <w:rFonts w:hint="default"/>
      </w:rPr>
    </w:lvl>
    <w:lvl w:ilvl="4">
      <w:start w:val="0"/>
      <w:numFmt w:val="bullet"/>
      <w:lvlText w:val="•"/>
      <w:lvlJc w:val="left"/>
      <w:pPr>
        <w:ind w:left="4124" w:hanging="720"/>
      </w:pPr>
      <w:rPr>
        <w:rFonts w:hint="default"/>
      </w:rPr>
    </w:lvl>
    <w:lvl w:ilvl="5">
      <w:start w:val="0"/>
      <w:numFmt w:val="bullet"/>
      <w:lvlText w:val="•"/>
      <w:lvlJc w:val="left"/>
      <w:pPr>
        <w:ind w:left="5080" w:hanging="720"/>
      </w:pPr>
      <w:rPr>
        <w:rFonts w:hint="default"/>
      </w:rPr>
    </w:lvl>
    <w:lvl w:ilvl="6">
      <w:start w:val="0"/>
      <w:numFmt w:val="bullet"/>
      <w:lvlText w:val="•"/>
      <w:lvlJc w:val="left"/>
      <w:pPr>
        <w:ind w:left="6036" w:hanging="720"/>
      </w:pPr>
      <w:rPr>
        <w:rFonts w:hint="default"/>
      </w:rPr>
    </w:lvl>
    <w:lvl w:ilvl="7">
      <w:start w:val="0"/>
      <w:numFmt w:val="bullet"/>
      <w:lvlText w:val="•"/>
      <w:lvlJc w:val="left"/>
      <w:pPr>
        <w:ind w:left="6992" w:hanging="720"/>
      </w:pPr>
      <w:rPr>
        <w:rFonts w:hint="default"/>
      </w:rPr>
    </w:lvl>
    <w:lvl w:ilvl="8">
      <w:start w:val="0"/>
      <w:numFmt w:val="bullet"/>
      <w:lvlText w:val="•"/>
      <w:lvlJc w:val="left"/>
      <w:pPr>
        <w:ind w:left="7948" w:hanging="720"/>
      </w:pPr>
      <w:rPr>
        <w:rFonts w:hint="default"/>
      </w:rPr>
    </w:lvl>
  </w:abstractNum>
  <w:abstractNum w:abstractNumId="0">
    <w:multiLevelType w:val="hybridMultilevel"/>
    <w:lvl w:ilvl="0">
      <w:start w:val="0"/>
      <w:numFmt w:val="bullet"/>
      <w:lvlText w:val=""/>
      <w:lvlJc w:val="left"/>
      <w:pPr>
        <w:ind w:left="688"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4"/>
      <w:szCs w:val="24"/>
    </w:rPr>
  </w:style>
  <w:style w:styleId="ListParagraph" w:type="paragraph">
    <w:name w:val="List Paragraph"/>
    <w:basedOn w:val="Normal"/>
    <w:uiPriority w:val="1"/>
    <w:qFormat/>
    <w:pPr>
      <w:ind w:left="300" w:right="914" w:firstLine="720"/>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atie.telfer@coloradodefenders.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2019-03-22T15:39:13Z</dcterms:created>
  <dcterms:modified xsi:type="dcterms:W3CDTF">2019-03-22T15:39:13Z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