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827" w:hRule="atLeast"/>
        </w:trPr>
        <w:tc>
          <w:tcPr>
            <w:tcW w:w="5958" w:type="dxa"/>
          </w:tcPr>
          <w:p>
            <w:pPr>
              <w:pStyle w:val="TableParagraph"/>
              <w:ind w:right="795"/>
              <w:rPr>
                <w:sz w:val="24"/>
              </w:rPr>
            </w:pPr>
            <w:r>
              <w:rPr>
                <w:sz w:val="24"/>
              </w:rPr>
              <w:t>DISTRICT COURT, Adams County, Colorado Court Address: 1100 Judicial Center Drive</w:t>
            </w:r>
          </w:p>
          <w:p>
            <w:pPr>
              <w:pStyle w:val="TableParagraph"/>
              <w:tabs>
                <w:tab w:pos="5058" w:val="left" w:leader="none"/>
              </w:tabs>
              <w:spacing w:line="261" w:lineRule="exact"/>
              <w:ind w:left="1667" w:right="-44"/>
              <w:rPr>
                <w:sz w:val="20"/>
              </w:rPr>
            </w:pPr>
            <w:r>
              <w:rPr>
                <w:sz w:val="24"/>
              </w:rPr>
              <w:t>Brighton,</w:t>
            </w:r>
            <w:r>
              <w:rPr>
                <w:spacing w:val="-1"/>
                <w:sz w:val="24"/>
              </w:rPr>
              <w:t> </w:t>
            </w:r>
            <w:r>
              <w:rPr>
                <w:sz w:val="24"/>
              </w:rPr>
              <w:t>CO</w:t>
            </w:r>
            <w:r>
              <w:rPr>
                <w:spacing w:val="59"/>
                <w:sz w:val="24"/>
              </w:rPr>
              <w:t> </w:t>
            </w:r>
            <w:r>
              <w:rPr>
                <w:sz w:val="24"/>
              </w:rPr>
              <w:t>80601</w:t>
              <w:tab/>
            </w:r>
            <w:r>
              <w:rPr>
                <w:color w:val="0000FF"/>
                <w:position w:val="-3"/>
                <w:sz w:val="20"/>
              </w:rPr>
              <w:t>DATE</w:t>
            </w:r>
            <w:r>
              <w:rPr>
                <w:color w:val="0000FF"/>
                <w:spacing w:val="34"/>
                <w:position w:val="-3"/>
                <w:sz w:val="20"/>
              </w:rPr>
              <w:t> </w:t>
            </w:r>
            <w:r>
              <w:rPr>
                <w:color w:val="0000FF"/>
                <w:spacing w:val="2"/>
                <w:position w:val="-3"/>
                <w:sz w:val="20"/>
              </w:rPr>
              <w:t>FIL</w:t>
            </w:r>
          </w:p>
        </w:tc>
        <w:tc>
          <w:tcPr>
            <w:tcW w:w="3418" w:type="dxa"/>
            <w:vMerge w:val="restart"/>
          </w:tcPr>
          <w:p>
            <w:pPr>
              <w:pStyle w:val="TableParagraph"/>
              <w:ind w:left="0"/>
              <w:rPr>
                <w:sz w:val="22"/>
              </w:rPr>
            </w:pPr>
          </w:p>
          <w:p>
            <w:pPr>
              <w:pStyle w:val="TableParagraph"/>
              <w:ind w:left="0"/>
              <w:rPr>
                <w:sz w:val="22"/>
              </w:rPr>
            </w:pPr>
          </w:p>
          <w:p>
            <w:pPr>
              <w:pStyle w:val="TableParagraph"/>
              <w:spacing w:line="225" w:lineRule="auto" w:before="132"/>
              <w:ind w:left="-88" w:right="459" w:firstLine="111"/>
              <w:rPr>
                <w:sz w:val="20"/>
              </w:rPr>
            </w:pPr>
            <w:r>
              <w:rPr>
                <w:color w:val="0000FF"/>
                <w:sz w:val="20"/>
              </w:rPr>
              <w:t>ED: November 27, 2017 9:37 AM D: 3A2E3A30AE2D9</w:t>
            </w:r>
          </w:p>
          <w:p>
            <w:pPr>
              <w:pStyle w:val="TableParagraph"/>
              <w:spacing w:line="218" w:lineRule="exact"/>
              <w:ind w:left="-158"/>
              <w:rPr>
                <w:sz w:val="20"/>
              </w:rPr>
            </w:pPr>
            <w:r>
              <w:rPr>
                <w:color w:val="0000FF"/>
                <w:sz w:val="20"/>
              </w:rPr>
              <w:t>UMBER: 2017CR2407</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9" w:lineRule="exact" w:before="170"/>
              <w:rPr>
                <w:rFonts w:ascii="Symbol" w:hAnsi="Symbol"/>
                <w:sz w:val="24"/>
              </w:rPr>
            </w:pPr>
            <w:r>
              <w:rPr>
                <w:rFonts w:ascii="Symbol" w:hAnsi="Symbol"/>
                <w:sz w:val="24"/>
              </w:rPr>
              <w:t></w:t>
            </w:r>
            <w:r>
              <w:rPr>
                <w:sz w:val="24"/>
              </w:rPr>
              <w:t> COURT USE ONLY </w:t>
            </w:r>
            <w:r>
              <w:rPr>
                <w:rFonts w:ascii="Symbol" w:hAnsi="Symbol"/>
                <w:sz w:val="24"/>
              </w:rPr>
              <w:t></w:t>
            </w:r>
          </w:p>
        </w:tc>
      </w:tr>
      <w:tr>
        <w:trPr>
          <w:trHeight w:val="1931" w:hRule="atLeast"/>
        </w:trPr>
        <w:tc>
          <w:tcPr>
            <w:tcW w:w="5958" w:type="dxa"/>
          </w:tcPr>
          <w:p>
            <w:pPr>
              <w:pStyle w:val="TableParagraph"/>
              <w:spacing w:line="244" w:lineRule="exact"/>
              <w:rPr>
                <w:sz w:val="20"/>
              </w:rPr>
            </w:pPr>
            <w:r>
              <w:rPr>
                <w:sz w:val="24"/>
              </w:rPr>
              <w:t>THE PEOPLE OF THE STATE OF COLORADO, </w:t>
            </w:r>
            <w:r>
              <w:rPr>
                <w:color w:val="0000FF"/>
                <w:position w:val="3"/>
                <w:sz w:val="20"/>
              </w:rPr>
              <w:t>FILING I</w:t>
            </w:r>
          </w:p>
          <w:p>
            <w:pPr>
              <w:pStyle w:val="TableParagraph"/>
              <w:tabs>
                <w:tab w:pos="5058" w:val="left" w:leader="none"/>
              </w:tabs>
              <w:spacing w:line="302" w:lineRule="exact"/>
              <w:rPr>
                <w:sz w:val="20"/>
              </w:rPr>
            </w:pPr>
            <w:r>
              <w:rPr>
                <w:sz w:val="24"/>
              </w:rPr>
              <w:t>Plaintiff</w:t>
              <w:tab/>
            </w:r>
            <w:r>
              <w:rPr>
                <w:color w:val="0000FF"/>
                <w:position w:val="9"/>
                <w:sz w:val="20"/>
              </w:rPr>
              <w:t>CASE</w:t>
            </w:r>
            <w:r>
              <w:rPr>
                <w:color w:val="0000FF"/>
                <w:spacing w:val="30"/>
                <w:position w:val="9"/>
                <w:sz w:val="20"/>
              </w:rPr>
              <w:t> </w:t>
            </w:r>
            <w:r>
              <w:rPr>
                <w:color w:val="0000FF"/>
                <w:position w:val="9"/>
                <w:sz w:val="20"/>
              </w:rPr>
              <w:t>N</w:t>
            </w:r>
          </w:p>
          <w:p>
            <w:pPr>
              <w:pStyle w:val="TableParagraph"/>
              <w:spacing w:before="276"/>
              <w:rPr>
                <w:sz w:val="24"/>
              </w:rPr>
            </w:pPr>
            <w:r>
              <w:rPr>
                <w:sz w:val="24"/>
              </w:rPr>
              <w:t>v.</w:t>
            </w:r>
          </w:p>
          <w:p>
            <w:pPr>
              <w:pStyle w:val="TableParagraph"/>
              <w:ind w:left="0"/>
              <w:rPr>
                <w:sz w:val="24"/>
              </w:rPr>
            </w:pPr>
          </w:p>
          <w:p>
            <w:pPr>
              <w:pStyle w:val="TableParagraph"/>
              <w:rPr>
                <w:sz w:val="24"/>
              </w:rPr>
            </w:pPr>
            <w:r>
              <w:rPr>
                <w:sz w:val="24"/>
              </w:rPr>
              <w:t>MONIKA FIRMAN,</w:t>
            </w:r>
          </w:p>
          <w:p>
            <w:pPr>
              <w:pStyle w:val="TableParagraph"/>
              <w:spacing w:line="261" w:lineRule="exact"/>
              <w:rPr>
                <w:sz w:val="24"/>
              </w:rPr>
            </w:pPr>
            <w:r>
              <w:rPr>
                <w:sz w:val="24"/>
              </w:rPr>
              <w:t>Defendant</w:t>
            </w:r>
          </w:p>
        </w:tc>
        <w:tc>
          <w:tcPr>
            <w:tcW w:w="3418" w:type="dxa"/>
            <w:vMerge/>
            <w:tcBorders>
              <w:top w:val="nil"/>
            </w:tcBorders>
          </w:tcPr>
          <w:p>
            <w:pPr>
              <w:rPr>
                <w:sz w:val="2"/>
                <w:szCs w:val="2"/>
              </w:rPr>
            </w:pPr>
          </w:p>
        </w:tc>
      </w:tr>
      <w:tr>
        <w:trPr>
          <w:trHeight w:val="1656" w:hRule="atLeast"/>
        </w:trPr>
        <w:tc>
          <w:tcPr>
            <w:tcW w:w="5958" w:type="dxa"/>
          </w:tcPr>
          <w:p>
            <w:pPr>
              <w:pStyle w:val="TableParagraph"/>
              <w:ind w:right="795"/>
              <w:rPr>
                <w:sz w:val="24"/>
              </w:rPr>
            </w:pPr>
            <w:r>
              <w:rPr>
                <w:sz w:val="24"/>
              </w:rPr>
              <w:t>Douglas K. Wilson, Colorado State Public Defender Lindsey Watson, No. 44043</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7"/>
                <w:sz w:val="24"/>
              </w:rPr>
              <w:t> </w:t>
            </w:r>
            <w:r>
              <w:rPr>
                <w:sz w:val="24"/>
              </w:rPr>
              <w:t>80601</w:t>
            </w:r>
          </w:p>
          <w:p>
            <w:pPr>
              <w:pStyle w:val="TableParagraph"/>
              <w:tabs>
                <w:tab w:pos="3354" w:val="left" w:leader="none"/>
              </w:tabs>
              <w:rPr>
                <w:sz w:val="24"/>
              </w:rPr>
            </w:pPr>
            <w:r>
              <w:rPr>
                <w:sz w:val="24"/>
              </w:rPr>
              <w:t>Phone:</w:t>
            </w:r>
            <w:r>
              <w:rPr>
                <w:spacing w:val="59"/>
                <w:sz w:val="24"/>
              </w:rPr>
              <w:t> </w:t>
            </w:r>
            <w:r>
              <w:rPr>
                <w:sz w:val="24"/>
              </w:rPr>
              <w:t>(303)</w:t>
            </w:r>
            <w:r>
              <w:rPr>
                <w:spacing w:val="-2"/>
                <w:sz w:val="24"/>
              </w:rPr>
              <w:t> </w:t>
            </w:r>
            <w:r>
              <w:rPr>
                <w:sz w:val="24"/>
              </w:rPr>
              <w:t>659-4274</w:t>
              <w:tab/>
              <w:t>Fax: (303) 659-6935</w:t>
            </w:r>
          </w:p>
          <w:p>
            <w:pPr>
              <w:pStyle w:val="TableParagraph"/>
              <w:spacing w:line="261" w:lineRule="exact"/>
              <w:rPr>
                <w:sz w:val="24"/>
              </w:rPr>
            </w:pPr>
            <w:r>
              <w:rPr>
                <w:sz w:val="24"/>
              </w:rPr>
              <w:t>E-</w:t>
            </w:r>
            <w:hyperlink r:id="rId5">
              <w:r>
                <w:rPr>
                  <w:sz w:val="24"/>
                </w:rPr>
                <w:t>mail:</w:t>
              </w:r>
              <w:r>
                <w:rPr>
                  <w:spacing w:val="59"/>
                  <w:sz w:val="24"/>
                </w:rPr>
                <w:t> </w:t>
              </w:r>
              <w:r>
                <w:rPr>
                  <w:sz w:val="24"/>
                </w:rPr>
                <w:t>lindsey.watson@coloradodefenders.us</w:t>
              </w:r>
            </w:hyperlink>
          </w:p>
        </w:tc>
        <w:tc>
          <w:tcPr>
            <w:tcW w:w="3418" w:type="dxa"/>
          </w:tcPr>
          <w:p>
            <w:pPr>
              <w:pStyle w:val="TableParagraph"/>
              <w:spacing w:before="5"/>
              <w:ind w:left="0"/>
              <w:rPr>
                <w:sz w:val="23"/>
              </w:rPr>
            </w:pPr>
          </w:p>
          <w:p>
            <w:pPr>
              <w:pStyle w:val="TableParagraph"/>
              <w:rPr>
                <w:sz w:val="24"/>
              </w:rPr>
            </w:pPr>
            <w:r>
              <w:rPr>
                <w:sz w:val="24"/>
              </w:rPr>
              <w:t>Case No. 17CR2407</w:t>
            </w:r>
          </w:p>
          <w:p>
            <w:pPr>
              <w:pStyle w:val="TableParagraph"/>
              <w:ind w:left="0"/>
              <w:rPr>
                <w:sz w:val="26"/>
              </w:rPr>
            </w:pPr>
          </w:p>
          <w:p>
            <w:pPr>
              <w:pStyle w:val="TableParagraph"/>
              <w:ind w:left="0"/>
              <w:rPr>
                <w:sz w:val="26"/>
              </w:rPr>
            </w:pPr>
          </w:p>
          <w:p>
            <w:pPr>
              <w:pStyle w:val="TableParagraph"/>
              <w:spacing w:line="261" w:lineRule="exact" w:before="231"/>
              <w:rPr>
                <w:sz w:val="24"/>
              </w:rPr>
            </w:pPr>
            <w:r>
              <w:rPr>
                <w:sz w:val="24"/>
              </w:rPr>
              <w:t>Division No. F</w:t>
            </w:r>
          </w:p>
        </w:tc>
      </w:tr>
      <w:tr>
        <w:trPr>
          <w:trHeight w:val="1115" w:hRule="atLeast"/>
        </w:trPr>
        <w:tc>
          <w:tcPr>
            <w:tcW w:w="9376" w:type="dxa"/>
            <w:gridSpan w:val="2"/>
          </w:tcPr>
          <w:p>
            <w:pPr>
              <w:pStyle w:val="TableParagraph"/>
              <w:spacing w:before="10"/>
              <w:ind w:left="0"/>
              <w:rPr>
                <w:sz w:val="23"/>
              </w:rPr>
            </w:pPr>
          </w:p>
          <w:p>
            <w:pPr>
              <w:pStyle w:val="TableParagraph"/>
              <w:spacing w:line="270" w:lineRule="atLeast"/>
              <w:ind w:left="395" w:right="388"/>
              <w:jc w:val="center"/>
              <w:rPr>
                <w:b/>
                <w:sz w:val="24"/>
              </w:rPr>
            </w:pPr>
            <w:r>
              <w:rPr>
                <w:b/>
                <w:sz w:val="24"/>
              </w:rPr>
              <w:t>DEMAND PURSUANT TO C.R.E. 404(b) FOR NOTICE OF ANY EVIDENCE OF OTHER CRIMES, WRONGS, OR ACTS THE PROSECUTION INTENDS TO INTRODUCE AT TRIAL</w:t>
            </w:r>
          </w:p>
        </w:tc>
      </w:tr>
    </w:tbl>
    <w:p>
      <w:pPr>
        <w:pStyle w:val="BodyText"/>
        <w:spacing w:before="8"/>
        <w:rPr>
          <w:sz w:val="15"/>
        </w:rPr>
      </w:pPr>
    </w:p>
    <w:p>
      <w:pPr>
        <w:pStyle w:val="BodyText"/>
        <w:spacing w:before="90"/>
        <w:ind w:left="220" w:right="1161" w:firstLine="719"/>
      </w:pPr>
      <w:r>
        <w:rPr/>
        <w:t>Monika Firman, through counsel, demands notice from the prosecution of any allegations of other misconduct it intends to introduce at trial. As grounds, Ms. Firman states:</w:t>
      </w:r>
    </w:p>
    <w:p>
      <w:pPr>
        <w:pStyle w:val="BodyText"/>
      </w:pPr>
    </w:p>
    <w:p>
      <w:pPr>
        <w:pStyle w:val="ListParagraph"/>
        <w:numPr>
          <w:ilvl w:val="0"/>
          <w:numId w:val="1"/>
        </w:numPr>
        <w:tabs>
          <w:tab w:pos="941" w:val="left" w:leader="none"/>
        </w:tabs>
        <w:spacing w:line="240" w:lineRule="auto" w:before="0" w:after="0"/>
        <w:ind w:left="940" w:right="1309" w:hanging="360"/>
        <w:jc w:val="left"/>
        <w:rPr>
          <w:sz w:val="24"/>
        </w:rPr>
      </w:pPr>
      <w:r>
        <w:rPr>
          <w:sz w:val="24"/>
        </w:rPr>
        <w:t>Upon request of the accused, “the prosecution in a criminal case shall provide reasonable notice in advance of trial . . . of the general nature of the evidence</w:t>
      </w:r>
      <w:r>
        <w:rPr>
          <w:spacing w:val="-10"/>
          <w:sz w:val="24"/>
        </w:rPr>
        <w:t> </w:t>
      </w:r>
      <w:r>
        <w:rPr>
          <w:sz w:val="24"/>
        </w:rPr>
        <w:t>it intends to introduce at trial” of other misconduct. C.R.E.</w:t>
      </w:r>
      <w:r>
        <w:rPr>
          <w:spacing w:val="-8"/>
          <w:sz w:val="24"/>
        </w:rPr>
        <w:t> </w:t>
      </w:r>
      <w:r>
        <w:rPr>
          <w:sz w:val="24"/>
        </w:rPr>
        <w:t>404(b).</w:t>
      </w:r>
    </w:p>
    <w:p>
      <w:pPr>
        <w:pStyle w:val="BodyText"/>
      </w:pPr>
    </w:p>
    <w:p>
      <w:pPr>
        <w:pStyle w:val="ListParagraph"/>
        <w:numPr>
          <w:ilvl w:val="0"/>
          <w:numId w:val="1"/>
        </w:numPr>
        <w:tabs>
          <w:tab w:pos="941" w:val="left" w:leader="none"/>
        </w:tabs>
        <w:spacing w:line="240" w:lineRule="auto" w:before="0" w:after="0"/>
        <w:ind w:left="940" w:right="1085" w:hanging="360"/>
        <w:jc w:val="left"/>
        <w:rPr>
          <w:sz w:val="24"/>
        </w:rPr>
      </w:pPr>
      <w:r>
        <w:rPr>
          <w:sz w:val="24"/>
        </w:rPr>
        <w:t>Ms. Firman asks this Court to order the prosecution to provide a precise description of each allegation of other misconduct, including the date and place</w:t>
      </w:r>
      <w:r>
        <w:rPr>
          <w:spacing w:val="-15"/>
          <w:sz w:val="24"/>
        </w:rPr>
        <w:t> </w:t>
      </w:r>
      <w:r>
        <w:rPr>
          <w:sz w:val="24"/>
        </w:rPr>
        <w:t>it is alleged to have occurred and the name(s) of the witness(es) who will testify to it, as well as the current addresses and telephone numbers of each</w:t>
      </w:r>
      <w:r>
        <w:rPr>
          <w:spacing w:val="-5"/>
          <w:sz w:val="24"/>
        </w:rPr>
        <w:t> </w:t>
      </w:r>
      <w:r>
        <w:rPr>
          <w:sz w:val="24"/>
        </w:rPr>
        <w:t>witness.</w:t>
      </w:r>
    </w:p>
    <w:p>
      <w:pPr>
        <w:pStyle w:val="BodyText"/>
      </w:pPr>
    </w:p>
    <w:p>
      <w:pPr>
        <w:pStyle w:val="ListParagraph"/>
        <w:numPr>
          <w:ilvl w:val="0"/>
          <w:numId w:val="1"/>
        </w:numPr>
        <w:tabs>
          <w:tab w:pos="941" w:val="left" w:leader="none"/>
        </w:tabs>
        <w:spacing w:line="240" w:lineRule="auto" w:before="0" w:after="0"/>
        <w:ind w:left="940" w:right="1198" w:hanging="360"/>
        <w:jc w:val="left"/>
        <w:rPr>
          <w:sz w:val="24"/>
        </w:rPr>
      </w:pPr>
      <w:r>
        <w:rPr>
          <w:sz w:val="24"/>
        </w:rPr>
        <w:t>Ms. Firman also asks this Court to order the prosecution to identify the specific purpose, as contemplated in C.R.E. 404(b), for which it intends to introduce this evidence.</w:t>
      </w:r>
    </w:p>
    <w:p>
      <w:pPr>
        <w:pStyle w:val="BodyText"/>
        <w:spacing w:before="1"/>
      </w:pPr>
    </w:p>
    <w:p>
      <w:pPr>
        <w:pStyle w:val="ListParagraph"/>
        <w:numPr>
          <w:ilvl w:val="0"/>
          <w:numId w:val="1"/>
        </w:numPr>
        <w:tabs>
          <w:tab w:pos="941" w:val="left" w:leader="none"/>
        </w:tabs>
        <w:spacing w:line="240" w:lineRule="auto" w:before="0" w:after="0"/>
        <w:ind w:left="940" w:right="1288" w:hanging="360"/>
        <w:jc w:val="left"/>
        <w:rPr>
          <w:sz w:val="24"/>
        </w:rPr>
      </w:pPr>
      <w:r>
        <w:rPr>
          <w:sz w:val="24"/>
        </w:rPr>
        <w:t>As the proponent of the evidence, the prosecution must “</w:t>
      </w:r>
      <w:r>
        <w:rPr>
          <w:b/>
          <w:sz w:val="24"/>
        </w:rPr>
        <w:t>identify the specific purpose </w:t>
      </w:r>
      <w:r>
        <w:rPr>
          <w:sz w:val="24"/>
        </w:rPr>
        <w:t>for which the evidence will be used and </w:t>
      </w:r>
      <w:r>
        <w:rPr>
          <w:b/>
          <w:sz w:val="24"/>
        </w:rPr>
        <w:t>explain how the proffered evidence establishes that purpose </w:t>
      </w:r>
      <w:r>
        <w:rPr>
          <w:b/>
          <w:i/>
          <w:sz w:val="24"/>
        </w:rPr>
        <w:t>independent of the inference forbidden</w:t>
      </w:r>
      <w:r>
        <w:rPr>
          <w:b/>
          <w:i/>
          <w:spacing w:val="-8"/>
          <w:sz w:val="24"/>
        </w:rPr>
        <w:t> </w:t>
      </w:r>
      <w:r>
        <w:rPr>
          <w:sz w:val="24"/>
        </w:rPr>
        <w:t>by</w:t>
      </w:r>
    </w:p>
    <w:p>
      <w:pPr>
        <w:spacing w:before="0"/>
        <w:ind w:left="940" w:right="0" w:firstLine="0"/>
        <w:jc w:val="left"/>
        <w:rPr>
          <w:sz w:val="24"/>
        </w:rPr>
      </w:pPr>
      <w:r>
        <w:rPr>
          <w:sz w:val="24"/>
        </w:rPr>
        <w:t>C.R.E. 404(b).” </w:t>
      </w:r>
      <w:r>
        <w:rPr>
          <w:i/>
          <w:sz w:val="24"/>
        </w:rPr>
        <w:t>Yusem v. People, </w:t>
      </w:r>
      <w:r>
        <w:rPr>
          <w:sz w:val="24"/>
        </w:rPr>
        <w:t>210 P.3d 458, 464 (Colo. 2009).</w:t>
      </w:r>
    </w:p>
    <w:p>
      <w:pPr>
        <w:pStyle w:val="BodyText"/>
      </w:pPr>
    </w:p>
    <w:p>
      <w:pPr>
        <w:pStyle w:val="ListParagraph"/>
        <w:numPr>
          <w:ilvl w:val="0"/>
          <w:numId w:val="1"/>
        </w:numPr>
        <w:tabs>
          <w:tab w:pos="941" w:val="left" w:leader="none"/>
        </w:tabs>
        <w:spacing w:line="240" w:lineRule="auto" w:before="0" w:after="0"/>
        <w:ind w:left="940" w:right="1035" w:hanging="360"/>
        <w:jc w:val="left"/>
        <w:rPr>
          <w:i/>
          <w:sz w:val="24"/>
        </w:rPr>
      </w:pPr>
      <w:r>
        <w:rPr>
          <w:sz w:val="24"/>
        </w:rPr>
        <w:t>When the prosecution offers prior act evidence for purposes that are “carelessly grouped together” without submitting a separate, precisely articulated analysis</w:t>
      </w:r>
      <w:r>
        <w:rPr>
          <w:spacing w:val="-20"/>
          <w:sz w:val="24"/>
        </w:rPr>
        <w:t> </w:t>
      </w:r>
      <w:r>
        <w:rPr>
          <w:sz w:val="24"/>
        </w:rPr>
        <w:t>for each proposed purpose, it fails to meet its burden. </w:t>
      </w:r>
      <w:r>
        <w:rPr>
          <w:i/>
          <w:sz w:val="24"/>
        </w:rPr>
        <w:t>Id.; see also People v.</w:t>
      </w:r>
      <w:r>
        <w:rPr>
          <w:i/>
          <w:spacing w:val="-8"/>
          <w:sz w:val="24"/>
        </w:rPr>
        <w:t> </w:t>
      </w:r>
      <w:r>
        <w:rPr>
          <w:i/>
          <w:sz w:val="24"/>
        </w:rPr>
        <w:t>Garner,</w:t>
      </w:r>
    </w:p>
    <w:p>
      <w:pPr>
        <w:spacing w:after="0" w:line="240" w:lineRule="auto"/>
        <w:jc w:val="left"/>
        <w:rPr>
          <w:sz w:val="24"/>
        </w:rPr>
        <w:sectPr>
          <w:type w:val="continuous"/>
          <w:pgSz w:w="12240" w:h="15840"/>
          <w:pgMar w:top="1440" w:bottom="280" w:left="1580" w:right="820"/>
        </w:sectPr>
      </w:pPr>
    </w:p>
    <w:p>
      <w:pPr>
        <w:spacing w:before="74"/>
        <w:ind w:left="940" w:right="0" w:firstLine="0"/>
        <w:jc w:val="left"/>
        <w:rPr>
          <w:sz w:val="24"/>
        </w:rPr>
      </w:pPr>
      <w:r>
        <w:rPr>
          <w:sz w:val="24"/>
        </w:rPr>
        <w:t>806 P.2d 366, 373-374 (Colo. 1991); </w:t>
      </w:r>
      <w:r>
        <w:rPr>
          <w:i/>
          <w:sz w:val="24"/>
        </w:rPr>
        <w:t>Spoto v. People, </w:t>
      </w:r>
      <w:r>
        <w:rPr>
          <w:sz w:val="24"/>
        </w:rPr>
        <w:t>795 P.2d 1314 (Colo.</w:t>
      </w:r>
    </w:p>
    <w:p>
      <w:pPr>
        <w:pStyle w:val="BodyText"/>
        <w:ind w:left="940"/>
      </w:pPr>
      <w:r>
        <w:rPr/>
        <w:t>1990).</w:t>
      </w:r>
    </w:p>
    <w:p>
      <w:pPr>
        <w:pStyle w:val="BodyText"/>
      </w:pPr>
    </w:p>
    <w:p>
      <w:pPr>
        <w:pStyle w:val="ListParagraph"/>
        <w:numPr>
          <w:ilvl w:val="0"/>
          <w:numId w:val="1"/>
        </w:numPr>
        <w:tabs>
          <w:tab w:pos="941" w:val="left" w:leader="none"/>
        </w:tabs>
        <w:spacing w:line="240" w:lineRule="auto" w:before="1" w:after="0"/>
        <w:ind w:left="940" w:right="1585" w:hanging="360"/>
        <w:jc w:val="both"/>
        <w:rPr>
          <w:sz w:val="24"/>
        </w:rPr>
      </w:pPr>
      <w:r>
        <w:rPr>
          <w:sz w:val="24"/>
        </w:rPr>
        <w:t>If the state has alternative theories of admissibility for any evidence of</w:t>
      </w:r>
      <w:r>
        <w:rPr>
          <w:spacing w:val="-18"/>
          <w:sz w:val="24"/>
        </w:rPr>
        <w:t> </w:t>
      </w:r>
      <w:r>
        <w:rPr>
          <w:sz w:val="24"/>
        </w:rPr>
        <w:t>other misconduct, Ms. Firman asks this Court to require the state to provide those theories in writing, as</w:t>
      </w:r>
      <w:r>
        <w:rPr>
          <w:spacing w:val="1"/>
          <w:sz w:val="24"/>
        </w:rPr>
        <w:t> </w:t>
      </w:r>
      <w:r>
        <w:rPr>
          <w:sz w:val="24"/>
        </w:rPr>
        <w:t>well.</w:t>
      </w:r>
    </w:p>
    <w:p>
      <w:pPr>
        <w:pStyle w:val="BodyText"/>
        <w:spacing w:before="11"/>
        <w:rPr>
          <w:sz w:val="23"/>
        </w:rPr>
      </w:pPr>
    </w:p>
    <w:p>
      <w:pPr>
        <w:pStyle w:val="ListParagraph"/>
        <w:numPr>
          <w:ilvl w:val="0"/>
          <w:numId w:val="1"/>
        </w:numPr>
        <w:tabs>
          <w:tab w:pos="941" w:val="left" w:leader="none"/>
        </w:tabs>
        <w:spacing w:line="240" w:lineRule="auto" w:before="0" w:after="0"/>
        <w:ind w:left="940" w:right="986" w:hanging="360"/>
        <w:jc w:val="left"/>
        <w:rPr>
          <w:sz w:val="24"/>
        </w:rPr>
      </w:pPr>
      <w:r>
        <w:rPr>
          <w:sz w:val="24"/>
        </w:rPr>
        <w:t>The primary issue in a criminal case is the defendant’s guilt or innocence based on the alleged criminal conduct, not past conduct. </w:t>
      </w:r>
      <w:r>
        <w:rPr>
          <w:i/>
          <w:sz w:val="24"/>
        </w:rPr>
        <w:t>Kostal v. People</w:t>
      </w:r>
      <w:r>
        <w:rPr>
          <w:sz w:val="24"/>
        </w:rPr>
        <w:t>, 357 P.2d 70, 73 (Colo. 1960). </w:t>
      </w:r>
      <w:r>
        <w:rPr>
          <w:spacing w:val="-3"/>
          <w:sz w:val="24"/>
        </w:rPr>
        <w:t>It </w:t>
      </w:r>
      <w:r>
        <w:rPr>
          <w:sz w:val="24"/>
        </w:rPr>
        <w:t>is fundamental to a criminal defendant’s constitutional right to a fair and impartial trial that a defendant can only be convicted of the offenses that are charged and cannot be convicted on the basis of past crimes or prior uncharged acts. </w:t>
      </w:r>
      <w:r>
        <w:rPr>
          <w:i/>
          <w:sz w:val="24"/>
        </w:rPr>
        <w:t>Gill v. People</w:t>
      </w:r>
      <w:r>
        <w:rPr>
          <w:sz w:val="24"/>
        </w:rPr>
        <w:t>, 339 P.2d 1000, 1007-08 (Colo. 1959). Therefore, only conduct which occurs “contemporaneously with or is part and parcel” of the criminal transaction for which the defendant is being tried is considered part of the res gestae of that offense and is admissible at trial.  </w:t>
      </w:r>
      <w:r>
        <w:rPr>
          <w:i/>
          <w:sz w:val="24"/>
        </w:rPr>
        <w:t>People v. Czemerynski</w:t>
      </w:r>
      <w:r>
        <w:rPr>
          <w:sz w:val="24"/>
        </w:rPr>
        <w:t>, 786 P.2d 1100, 1109 (Colo. 1990). Evidence of prior acts creates a prejudice in the minds of the jury against the accused, and the rule should, therefore, be strictly enforced in all cases. </w:t>
      </w:r>
      <w:r>
        <w:rPr>
          <w:i/>
          <w:sz w:val="24"/>
        </w:rPr>
        <w:t>Kostal</w:t>
      </w:r>
      <w:r>
        <w:rPr>
          <w:sz w:val="24"/>
        </w:rPr>
        <w:t>, 357 P.2d at 73 (Colo.</w:t>
      </w:r>
      <w:r>
        <w:rPr>
          <w:spacing w:val="-6"/>
          <w:sz w:val="24"/>
        </w:rPr>
        <w:t> </w:t>
      </w:r>
      <w:r>
        <w:rPr>
          <w:sz w:val="24"/>
        </w:rPr>
        <w:t>1960).</w:t>
      </w:r>
    </w:p>
    <w:p>
      <w:pPr>
        <w:pStyle w:val="BodyText"/>
        <w:spacing w:before="1"/>
      </w:pPr>
    </w:p>
    <w:p>
      <w:pPr>
        <w:pStyle w:val="ListParagraph"/>
        <w:numPr>
          <w:ilvl w:val="0"/>
          <w:numId w:val="1"/>
        </w:numPr>
        <w:tabs>
          <w:tab w:pos="941" w:val="left" w:leader="none"/>
        </w:tabs>
        <w:spacing w:line="240" w:lineRule="auto" w:before="0" w:after="0"/>
        <w:ind w:left="940" w:right="1008" w:hanging="360"/>
        <w:jc w:val="left"/>
        <w:rPr>
          <w:sz w:val="24"/>
        </w:rPr>
      </w:pPr>
      <w:r>
        <w:rPr>
          <w:sz w:val="24"/>
        </w:rPr>
        <w:t>Ms. Firman has the constitutional right to notice of what she must defend against at trial. “The notice given must be sufficient to advise the accused of the charges, to give him a fair and adequate opportunity to prepare his defense, and to ensure that he is not taken by surprise because of evidence offered at the time of trial.” </w:t>
      </w:r>
      <w:r>
        <w:rPr>
          <w:i/>
          <w:sz w:val="24"/>
        </w:rPr>
        <w:t>People v. Cooke, </w:t>
      </w:r>
      <w:r>
        <w:rPr>
          <w:sz w:val="24"/>
        </w:rPr>
        <w:t>525 P.2d 426, 428 (Colo. 1974); </w:t>
      </w:r>
      <w:r>
        <w:rPr>
          <w:i/>
          <w:sz w:val="24"/>
        </w:rPr>
        <w:t>see also </w:t>
      </w:r>
      <w:r>
        <w:rPr>
          <w:sz w:val="24"/>
        </w:rPr>
        <w:t>U.S. Const. amends. VI; XIV; Colo. Const. art II, section 16. Requiring the prosecution to provide</w:t>
      </w:r>
      <w:r>
        <w:rPr>
          <w:spacing w:val="-15"/>
          <w:sz w:val="24"/>
        </w:rPr>
        <w:t> </w:t>
      </w:r>
      <w:r>
        <w:rPr>
          <w:sz w:val="24"/>
        </w:rPr>
        <w:t>this information is fundamental to protecting Ms. Firman against trial </w:t>
      </w:r>
      <w:r>
        <w:rPr>
          <w:spacing w:val="2"/>
          <w:sz w:val="24"/>
        </w:rPr>
        <w:t>by </w:t>
      </w:r>
      <w:r>
        <w:rPr>
          <w:sz w:val="24"/>
        </w:rPr>
        <w:t>ambush. </w:t>
      </w:r>
      <w:r>
        <w:rPr>
          <w:i/>
          <w:sz w:val="24"/>
        </w:rPr>
        <w:t>See </w:t>
      </w:r>
      <w:r>
        <w:rPr>
          <w:i/>
          <w:sz w:val="24"/>
        </w:rPr>
        <w:t>generally, Lanari v. People, </w:t>
      </w:r>
      <w:r>
        <w:rPr>
          <w:sz w:val="24"/>
        </w:rPr>
        <w:t>827 P.2d 495, 499 (Colo.</w:t>
      </w:r>
      <w:r>
        <w:rPr>
          <w:spacing w:val="-1"/>
          <w:sz w:val="24"/>
        </w:rPr>
        <w:t> </w:t>
      </w:r>
      <w:r>
        <w:rPr>
          <w:sz w:val="24"/>
        </w:rPr>
        <w:t>1992).</w:t>
      </w:r>
    </w:p>
    <w:p>
      <w:pPr>
        <w:pStyle w:val="BodyText"/>
      </w:pPr>
    </w:p>
    <w:p>
      <w:pPr>
        <w:pStyle w:val="ListParagraph"/>
        <w:numPr>
          <w:ilvl w:val="0"/>
          <w:numId w:val="1"/>
        </w:numPr>
        <w:tabs>
          <w:tab w:pos="941" w:val="left" w:leader="none"/>
        </w:tabs>
        <w:spacing w:line="240" w:lineRule="auto" w:before="1" w:after="0"/>
        <w:ind w:left="940" w:right="1118" w:hanging="360"/>
        <w:jc w:val="left"/>
        <w:rPr>
          <w:i/>
          <w:sz w:val="24"/>
        </w:rPr>
      </w:pPr>
      <w:r>
        <w:rPr>
          <w:sz w:val="24"/>
        </w:rPr>
        <w:t>“[T]he right to present relevant testimony is not without limitation. The right may, in appropriate cases, bow to accommodate other legitimate interests in the criminal trial process.” </w:t>
      </w:r>
      <w:r>
        <w:rPr>
          <w:i/>
          <w:sz w:val="24"/>
        </w:rPr>
        <w:t>Rock v. Arkansas, </w:t>
      </w:r>
      <w:r>
        <w:rPr>
          <w:sz w:val="24"/>
        </w:rPr>
        <w:t>483 U.S. 44, 55-56 (1987) (internal citation and footnote omitted). Thus, evidentiary rules and their administration can impose upon constitutional rights to a limited extent, but this impact may</w:t>
      </w:r>
      <w:r>
        <w:rPr>
          <w:spacing w:val="-17"/>
          <w:sz w:val="24"/>
        </w:rPr>
        <w:t> </w:t>
      </w:r>
      <w:r>
        <w:rPr>
          <w:sz w:val="24"/>
        </w:rPr>
        <w:t>not be “arbitrary or disproportionate.”</w:t>
      </w:r>
      <w:r>
        <w:rPr>
          <w:spacing w:val="53"/>
          <w:sz w:val="24"/>
        </w:rPr>
        <w:t> </w:t>
      </w:r>
      <w:r>
        <w:rPr>
          <w:i/>
          <w:sz w:val="24"/>
        </w:rPr>
        <w:t>Id.</w:t>
      </w:r>
    </w:p>
    <w:p>
      <w:pPr>
        <w:pStyle w:val="BodyText"/>
        <w:rPr>
          <w:i/>
        </w:rPr>
      </w:pPr>
    </w:p>
    <w:p>
      <w:pPr>
        <w:pStyle w:val="ListParagraph"/>
        <w:numPr>
          <w:ilvl w:val="0"/>
          <w:numId w:val="1"/>
        </w:numPr>
        <w:tabs>
          <w:tab w:pos="941" w:val="left" w:leader="none"/>
        </w:tabs>
        <w:spacing w:line="240" w:lineRule="auto" w:before="0" w:after="0"/>
        <w:ind w:left="940" w:right="1212" w:hanging="360"/>
        <w:jc w:val="left"/>
        <w:rPr>
          <w:sz w:val="24"/>
        </w:rPr>
      </w:pPr>
      <w:r>
        <w:rPr>
          <w:sz w:val="24"/>
        </w:rPr>
        <w:t>“A fair trial in a fair tribunal is a basic requirement of due process.” </w:t>
      </w:r>
      <w:r>
        <w:rPr>
          <w:i/>
          <w:sz w:val="24"/>
        </w:rPr>
        <w:t>In re </w:t>
      </w:r>
      <w:r>
        <w:rPr>
          <w:i/>
          <w:sz w:val="24"/>
        </w:rPr>
        <w:t>Murchison, </w:t>
      </w:r>
      <w:r>
        <w:rPr>
          <w:sz w:val="24"/>
        </w:rPr>
        <w:t>349 U.S. 133, 136 (1955); </w:t>
      </w:r>
      <w:r>
        <w:rPr>
          <w:i/>
          <w:sz w:val="24"/>
        </w:rPr>
        <w:t>see also People v. Rhodus, </w:t>
      </w:r>
      <w:r>
        <w:rPr>
          <w:sz w:val="24"/>
        </w:rPr>
        <w:t>870 P.2d </w:t>
      </w:r>
      <w:r>
        <w:rPr>
          <w:spacing w:val="-3"/>
          <w:sz w:val="24"/>
        </w:rPr>
        <w:t>470, </w:t>
      </w:r>
      <w:r>
        <w:rPr>
          <w:sz w:val="24"/>
        </w:rPr>
        <w:t>473 (Colo. 1994); U.S. Const. amends. VI, XIV; Colo. Const. art. </w:t>
      </w:r>
      <w:r>
        <w:rPr>
          <w:spacing w:val="-3"/>
          <w:sz w:val="24"/>
        </w:rPr>
        <w:t>II, </w:t>
      </w:r>
      <w:r>
        <w:rPr>
          <w:sz w:val="24"/>
        </w:rPr>
        <w:t>section 16.</w:t>
      </w:r>
    </w:p>
    <w:p>
      <w:pPr>
        <w:pStyle w:val="BodyText"/>
      </w:pPr>
    </w:p>
    <w:p>
      <w:pPr>
        <w:pStyle w:val="ListParagraph"/>
        <w:numPr>
          <w:ilvl w:val="0"/>
          <w:numId w:val="1"/>
        </w:numPr>
        <w:tabs>
          <w:tab w:pos="941" w:val="left" w:leader="none"/>
        </w:tabs>
        <w:spacing w:line="240" w:lineRule="auto" w:before="0" w:after="0"/>
        <w:ind w:left="940" w:right="1144" w:hanging="360"/>
        <w:jc w:val="left"/>
        <w:rPr>
          <w:sz w:val="24"/>
        </w:rPr>
      </w:pPr>
      <w:r>
        <w:rPr>
          <w:sz w:val="24"/>
        </w:rPr>
        <w:t>In order to file any objection to allegations of other misconduct the state seeks</w:t>
      </w:r>
      <w:r>
        <w:rPr>
          <w:spacing w:val="-15"/>
          <w:sz w:val="24"/>
        </w:rPr>
        <w:t> </w:t>
      </w:r>
      <w:r>
        <w:rPr>
          <w:sz w:val="24"/>
        </w:rPr>
        <w:t>to admit, Ms. Firman must have adequate notice of the allegations and the</w:t>
      </w:r>
      <w:r>
        <w:rPr>
          <w:spacing w:val="-14"/>
          <w:sz w:val="24"/>
        </w:rPr>
        <w:t> </w:t>
      </w:r>
      <w:r>
        <w:rPr>
          <w:sz w:val="24"/>
        </w:rPr>
        <w:t>state’s</w:t>
      </w:r>
    </w:p>
    <w:p>
      <w:pPr>
        <w:pStyle w:val="BodyText"/>
        <w:spacing w:before="1"/>
        <w:ind w:left="940" w:right="1355"/>
      </w:pPr>
      <w:r>
        <w:rPr/>
        <w:t>theories of admissibility sufficiently in advance of this court’s deadline for the filing of motions.</w:t>
      </w:r>
    </w:p>
    <w:p>
      <w:pPr>
        <w:spacing w:after="0"/>
        <w:sectPr>
          <w:pgSz w:w="12240" w:h="15840"/>
          <w:pgMar w:top="1360" w:bottom="280" w:left="1580" w:right="820"/>
        </w:sectPr>
      </w:pPr>
    </w:p>
    <w:p>
      <w:pPr>
        <w:pStyle w:val="BodyText"/>
        <w:spacing w:before="74"/>
        <w:ind w:left="220" w:right="1161"/>
      </w:pPr>
      <w:r>
        <w:rPr/>
        <w:t>Wherefore, for the foregoing reasons and authorities, Ms. Firman respectfully requests that this Court order the prosecution to provide the information specified in this motion.</w:t>
      </w:r>
    </w:p>
    <w:p>
      <w:pPr>
        <w:pStyle w:val="BodyText"/>
      </w:pPr>
    </w:p>
    <w:p>
      <w:pPr>
        <w:pStyle w:val="BodyText"/>
        <w:spacing w:before="1"/>
        <w:ind w:left="220"/>
      </w:pPr>
      <w:r>
        <w:rPr/>
        <w:t>DOUGLAS K. WILSON</w:t>
      </w:r>
    </w:p>
    <w:p>
      <w:pPr>
        <w:pStyle w:val="BodyText"/>
        <w:ind w:left="220"/>
      </w:pPr>
      <w:r>
        <w:rPr/>
        <w:t>COLORADO STATE PUBLIC DEFENDER</w:t>
      </w:r>
    </w:p>
    <w:p>
      <w:pPr>
        <w:pStyle w:val="BodyText"/>
        <w:rPr>
          <w:sz w:val="26"/>
        </w:rPr>
      </w:pPr>
    </w:p>
    <w:p>
      <w:pPr>
        <w:pStyle w:val="BodyText"/>
        <w:spacing w:before="11"/>
        <w:rPr>
          <w:sz w:val="21"/>
        </w:rPr>
      </w:pPr>
    </w:p>
    <w:p>
      <w:pPr>
        <w:pStyle w:val="BodyText"/>
        <w:ind w:left="220"/>
      </w:pPr>
      <w:r>
        <w:rPr/>
        <w:t>/s/ Lindsey Watson</w:t>
      </w:r>
    </w:p>
    <w:p>
      <w:pPr>
        <w:pStyle w:val="BodyText"/>
        <w:spacing w:before="2"/>
        <w:rPr>
          <w:sz w:val="23"/>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15"/>
      </w:tblGrid>
      <w:tr>
        <w:trPr>
          <w:trHeight w:val="1656" w:hRule="atLeast"/>
        </w:trPr>
        <w:tc>
          <w:tcPr>
            <w:tcW w:w="4200" w:type="dxa"/>
            <w:tcBorders>
              <w:top w:val="single" w:sz="4" w:space="0" w:color="000000"/>
            </w:tcBorders>
          </w:tcPr>
          <w:p>
            <w:pPr>
              <w:pStyle w:val="TableParagraph"/>
              <w:ind w:left="0" w:right="913"/>
              <w:rPr>
                <w:sz w:val="24"/>
              </w:rPr>
            </w:pPr>
            <w:r>
              <w:rPr>
                <w:sz w:val="24"/>
              </w:rPr>
              <w:t>Lindsey Watson, No. 444043 Deputy State Public Defender 4710 East Bromley Lane Brighton, CO 80601</w:t>
            </w:r>
          </w:p>
          <w:p>
            <w:pPr>
              <w:pStyle w:val="TableParagraph"/>
              <w:ind w:left="0"/>
              <w:rPr>
                <w:sz w:val="24"/>
              </w:rPr>
            </w:pPr>
            <w:r>
              <w:rPr>
                <w:sz w:val="24"/>
              </w:rPr>
              <w:t>(303) 659-4274</w:t>
            </w:r>
          </w:p>
        </w:tc>
        <w:tc>
          <w:tcPr>
            <w:tcW w:w="5315" w:type="dxa"/>
          </w:tcPr>
          <w:p>
            <w:pPr>
              <w:pStyle w:val="TableParagraph"/>
              <w:spacing w:line="274" w:lineRule="exact" w:before="4"/>
              <w:ind w:left="1757"/>
              <w:rPr>
                <w:b/>
                <w:sz w:val="24"/>
              </w:rPr>
            </w:pPr>
            <w:r>
              <w:rPr>
                <w:b/>
                <w:sz w:val="24"/>
                <w:u w:val="thick"/>
              </w:rPr>
              <w:t>Certificate of Service</w:t>
            </w:r>
          </w:p>
          <w:p>
            <w:pPr>
              <w:pStyle w:val="TableParagraph"/>
              <w:ind w:left="1757" w:right="178"/>
              <w:rPr>
                <w:sz w:val="24"/>
              </w:rPr>
            </w:pPr>
            <w:r>
              <w:rPr>
                <w:sz w:val="24"/>
              </w:rPr>
              <w:t>I hereby certify that on November 27, 2017, one copy of the foregoing document was served on all opposing counsel of record.</w:t>
            </w:r>
          </w:p>
          <w:p>
            <w:pPr>
              <w:pStyle w:val="TableParagraph"/>
              <w:spacing w:line="256" w:lineRule="exact"/>
              <w:ind w:left="1757"/>
              <w:rPr>
                <w:sz w:val="24"/>
              </w:rPr>
            </w:pPr>
            <w:r>
              <w:rPr>
                <w:sz w:val="24"/>
              </w:rPr>
              <w:t>/s/ Lindsey Watson</w:t>
            </w:r>
          </w:p>
        </w:tc>
      </w:tr>
    </w:tbl>
    <w:p>
      <w:pPr>
        <w:pStyle w:val="BodyText"/>
        <w:ind w:left="220"/>
      </w:pPr>
      <w:r>
        <w:rPr/>
        <w:t>Dated: November 27, 2017</w:t>
      </w:r>
    </w:p>
    <w:sectPr>
      <w:pgSz w:w="12240" w:h="15840"/>
      <w:pgMar w:top="1360" w:bottom="280" w:left="15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830" w:hanging="360"/>
      </w:pPr>
      <w:rPr>
        <w:rFonts w:hint="default"/>
      </w:rPr>
    </w:lvl>
    <w:lvl w:ilvl="2">
      <w:start w:val="0"/>
      <w:numFmt w:val="bullet"/>
      <w:lvlText w:val="•"/>
      <w:lvlJc w:val="left"/>
      <w:pPr>
        <w:ind w:left="2720" w:hanging="360"/>
      </w:pPr>
      <w:rPr>
        <w:rFonts w:hint="default"/>
      </w:rPr>
    </w:lvl>
    <w:lvl w:ilvl="3">
      <w:start w:val="0"/>
      <w:numFmt w:val="bullet"/>
      <w:lvlText w:val="•"/>
      <w:lvlJc w:val="left"/>
      <w:pPr>
        <w:ind w:left="3610" w:hanging="360"/>
      </w:pPr>
      <w:rPr>
        <w:rFonts w:hint="default"/>
      </w:rPr>
    </w:lvl>
    <w:lvl w:ilvl="4">
      <w:start w:val="0"/>
      <w:numFmt w:val="bullet"/>
      <w:lvlText w:val="•"/>
      <w:lvlJc w:val="left"/>
      <w:pPr>
        <w:ind w:left="4500" w:hanging="360"/>
      </w:pPr>
      <w:rPr>
        <w:rFonts w:hint="default"/>
      </w:rPr>
    </w:lvl>
    <w:lvl w:ilvl="5">
      <w:start w:val="0"/>
      <w:numFmt w:val="bullet"/>
      <w:lvlText w:val="•"/>
      <w:lvlJc w:val="left"/>
      <w:pPr>
        <w:ind w:left="5390"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170" w:hanging="360"/>
      </w:pPr>
      <w:rPr>
        <w:rFonts w:hint="default"/>
      </w:rPr>
    </w:lvl>
    <w:lvl w:ilvl="8">
      <w:start w:val="0"/>
      <w:numFmt w:val="bullet"/>
      <w:lvlText w:val="•"/>
      <w:lvlJc w:val="left"/>
      <w:pPr>
        <w:ind w:left="80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940" w:right="986"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indsey.watson@coloradodefenders.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2019-03-22T16:28:27Z</dcterms:created>
  <dcterms:modified xsi:type="dcterms:W3CDTF">2019-03-22T16:28:27Z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2019-03-22T00:00:00Z</vt:filetime>
  </property>
</Properties>
</file>