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49" w:hRule="atLeast"/>
        </w:trPr>
        <w:tc>
          <w:tcPr>
            <w:tcW w:w="5958" w:type="dxa"/>
            <w:vMerge w:val="restart"/>
          </w:tcPr>
          <w:p>
            <w:pPr>
              <w:pStyle w:val="TableParagraph"/>
              <w:spacing w:line="208" w:lineRule="auto"/>
              <w:ind w:right="2561"/>
              <w:rPr>
                <w:sz w:val="24"/>
              </w:rPr>
            </w:pPr>
            <w:r>
              <w:rPr>
                <w:sz w:val="24"/>
              </w:rPr>
              <w:t>District Court, Criminal Matters Adams County, State of Colorado </w:t>
            </w:r>
            <w:r>
              <w:rPr>
                <w:b/>
                <w:sz w:val="24"/>
              </w:rPr>
              <w:t>Court Address</w:t>
            </w:r>
            <w:r>
              <w:rPr>
                <w:sz w:val="24"/>
              </w:rPr>
              <w:t>:</w:t>
            </w:r>
          </w:p>
          <w:p>
            <w:pPr>
              <w:pStyle w:val="TableParagraph"/>
              <w:tabs>
                <w:tab w:pos="5565" w:val="left" w:leader="none"/>
              </w:tabs>
              <w:spacing w:line="187" w:lineRule="exact"/>
              <w:ind w:right="-44"/>
              <w:rPr>
                <w:sz w:val="20"/>
              </w:rPr>
            </w:pPr>
            <w:r>
              <w:rPr>
                <w:sz w:val="24"/>
              </w:rPr>
              <w:t>1100 Judicial</w:t>
            </w:r>
            <w:r>
              <w:rPr>
                <w:spacing w:val="-3"/>
                <w:sz w:val="24"/>
              </w:rPr>
              <w:t> </w:t>
            </w:r>
            <w:r>
              <w:rPr>
                <w:sz w:val="24"/>
              </w:rPr>
              <w:t>Center</w:t>
            </w:r>
            <w:r>
              <w:rPr>
                <w:spacing w:val="-1"/>
                <w:sz w:val="24"/>
              </w:rPr>
              <w:t> </w:t>
            </w:r>
            <w:r>
              <w:rPr>
                <w:sz w:val="24"/>
              </w:rPr>
              <w:t>Drive</w:t>
              <w:tab/>
            </w:r>
            <w:r>
              <w:rPr>
                <w:color w:val="0000FF"/>
                <w:spacing w:val="-2"/>
                <w:position w:val="10"/>
                <w:sz w:val="20"/>
              </w:rPr>
              <w:t>DAT</w:t>
            </w:r>
          </w:p>
          <w:p>
            <w:pPr>
              <w:pStyle w:val="TableParagraph"/>
              <w:tabs>
                <w:tab w:pos="5565" w:val="left" w:leader="none"/>
              </w:tabs>
              <w:spacing w:line="96" w:lineRule="auto" w:before="72"/>
              <w:ind w:left="5565" w:right="-15" w:hanging="5458"/>
              <w:jc w:val="right"/>
              <w:rPr>
                <w:sz w:val="20"/>
              </w:rPr>
            </w:pPr>
            <w:r>
              <w:rPr>
                <w:sz w:val="24"/>
              </w:rPr>
              <w:t>Brighton,</w:t>
            </w:r>
            <w:r>
              <w:rPr>
                <w:spacing w:val="-1"/>
                <w:sz w:val="24"/>
              </w:rPr>
              <w:t> </w:t>
            </w:r>
            <w:r>
              <w:rPr>
                <w:sz w:val="24"/>
              </w:rPr>
              <w:t>Colorado</w:t>
            </w:r>
            <w:r>
              <w:rPr>
                <w:spacing w:val="58"/>
                <w:sz w:val="24"/>
              </w:rPr>
              <w:t> </w:t>
            </w:r>
            <w:r>
              <w:rPr>
                <w:sz w:val="24"/>
              </w:rPr>
              <w:t>80601</w:t>
              <w:tab/>
            </w:r>
            <w:r>
              <w:rPr>
                <w:color w:val="0000FF"/>
                <w:position w:val="12"/>
                <w:sz w:val="20"/>
              </w:rPr>
              <w:t>FILI </w:t>
            </w:r>
            <w:r>
              <w:rPr>
                <w:color w:val="0000FF"/>
                <w:spacing w:val="2"/>
                <w:sz w:val="20"/>
              </w:rPr>
              <w:t>CAS</w:t>
            </w:r>
          </w:p>
        </w:tc>
        <w:tc>
          <w:tcPr>
            <w:tcW w:w="3420" w:type="dxa"/>
            <w:tcBorders>
              <w:bottom w:val="nil"/>
            </w:tcBorders>
          </w:tcPr>
          <w:p>
            <w:pPr>
              <w:pStyle w:val="TableParagraph"/>
              <w:ind w:left="0"/>
              <w:rPr>
                <w:sz w:val="22"/>
              </w:rPr>
            </w:pPr>
          </w:p>
          <w:p>
            <w:pPr>
              <w:pStyle w:val="TableParagraph"/>
              <w:spacing w:before="6"/>
              <w:ind w:left="0"/>
              <w:rPr>
                <w:sz w:val="32"/>
              </w:rPr>
            </w:pPr>
          </w:p>
          <w:p>
            <w:pPr>
              <w:pStyle w:val="TableParagraph"/>
              <w:spacing w:line="202" w:lineRule="exact"/>
              <w:ind w:left="24"/>
              <w:rPr>
                <w:sz w:val="20"/>
              </w:rPr>
            </w:pPr>
            <w:r>
              <w:rPr>
                <w:color w:val="0000FF"/>
                <w:sz w:val="20"/>
              </w:rPr>
              <w:t>E FILED: February 23, 2017 4:13 PM</w:t>
            </w:r>
          </w:p>
        </w:tc>
      </w:tr>
      <w:tr>
        <w:trPr>
          <w:trHeight w:val="205" w:hRule="atLeast"/>
        </w:trPr>
        <w:tc>
          <w:tcPr>
            <w:tcW w:w="5958" w:type="dxa"/>
            <w:vMerge/>
            <w:tcBorders>
              <w:top w:val="nil"/>
            </w:tcBorders>
          </w:tcPr>
          <w:p>
            <w:pPr>
              <w:rPr>
                <w:sz w:val="2"/>
                <w:szCs w:val="2"/>
              </w:rPr>
            </w:pPr>
          </w:p>
        </w:tc>
        <w:tc>
          <w:tcPr>
            <w:tcW w:w="3420" w:type="dxa"/>
            <w:tcBorders>
              <w:top w:val="nil"/>
              <w:bottom w:val="nil"/>
            </w:tcBorders>
          </w:tcPr>
          <w:p>
            <w:pPr>
              <w:pStyle w:val="TableParagraph"/>
              <w:spacing w:line="186" w:lineRule="exact"/>
              <w:ind w:left="-18"/>
              <w:rPr>
                <w:sz w:val="20"/>
              </w:rPr>
            </w:pPr>
            <w:r>
              <w:rPr>
                <w:color w:val="0000FF"/>
                <w:sz w:val="20"/>
              </w:rPr>
              <w:t>NG ID: E1F3CE56D9F23</w:t>
            </w:r>
          </w:p>
        </w:tc>
      </w:tr>
      <w:tr>
        <w:trPr>
          <w:trHeight w:val="363" w:hRule="atLeast"/>
        </w:trPr>
        <w:tc>
          <w:tcPr>
            <w:tcW w:w="5958" w:type="dxa"/>
            <w:vMerge/>
            <w:tcBorders>
              <w:top w:val="nil"/>
            </w:tcBorders>
          </w:tcPr>
          <w:p>
            <w:pPr>
              <w:rPr>
                <w:sz w:val="2"/>
                <w:szCs w:val="2"/>
              </w:rPr>
            </w:pPr>
          </w:p>
        </w:tc>
        <w:tc>
          <w:tcPr>
            <w:tcW w:w="3420" w:type="dxa"/>
            <w:tcBorders>
              <w:top w:val="nil"/>
              <w:bottom w:val="nil"/>
            </w:tcBorders>
          </w:tcPr>
          <w:p>
            <w:pPr>
              <w:pStyle w:val="TableParagraph"/>
              <w:spacing w:line="214" w:lineRule="exact"/>
              <w:ind w:left="2"/>
              <w:rPr>
                <w:sz w:val="20"/>
              </w:rPr>
            </w:pPr>
            <w:r>
              <w:rPr>
                <w:color w:val="0000FF"/>
                <w:sz w:val="20"/>
              </w:rPr>
              <w:t>E NUMBER: 2016CR2658</w:t>
            </w:r>
          </w:p>
        </w:tc>
      </w:tr>
      <w:tr>
        <w:trPr>
          <w:trHeight w:val="472" w:hRule="atLeast"/>
        </w:trPr>
        <w:tc>
          <w:tcPr>
            <w:tcW w:w="5958" w:type="dxa"/>
            <w:tcBorders>
              <w:bottom w:val="nil"/>
            </w:tcBorders>
          </w:tcPr>
          <w:p>
            <w:pPr>
              <w:pStyle w:val="TableParagraph"/>
              <w:spacing w:line="243" w:lineRule="exact" w:before="209"/>
              <w:rPr>
                <w:sz w:val="24"/>
              </w:rPr>
            </w:pPr>
            <w:r>
              <w:rPr>
                <w:sz w:val="24"/>
              </w:rPr>
              <w:t>THE PEOPLE OF THE STATE OF COLORADO,</w:t>
            </w:r>
          </w:p>
        </w:tc>
        <w:tc>
          <w:tcPr>
            <w:tcW w:w="3420" w:type="dxa"/>
            <w:tcBorders>
              <w:top w:val="nil"/>
              <w:bottom w:val="nil"/>
            </w:tcBorders>
          </w:tcPr>
          <w:p>
            <w:pPr>
              <w:pStyle w:val="TableParagraph"/>
              <w:ind w:left="0"/>
              <w:rPr>
                <w:sz w:val="22"/>
              </w:rPr>
            </w:pPr>
          </w:p>
        </w:tc>
      </w:tr>
      <w:tr>
        <w:trPr>
          <w:trHeight w:val="480" w:hRule="atLeast"/>
        </w:trPr>
        <w:tc>
          <w:tcPr>
            <w:tcW w:w="5958" w:type="dxa"/>
            <w:tcBorders>
              <w:top w:val="nil"/>
              <w:bottom w:val="nil"/>
            </w:tcBorders>
          </w:tcPr>
          <w:p>
            <w:pPr>
              <w:pStyle w:val="TableParagraph"/>
              <w:spacing w:line="253" w:lineRule="exact"/>
              <w:rPr>
                <w:sz w:val="24"/>
              </w:rPr>
            </w:pPr>
            <w:r>
              <w:rPr>
                <w:sz w:val="24"/>
              </w:rPr>
              <w:t>Plaintiff</w:t>
            </w:r>
          </w:p>
        </w:tc>
        <w:tc>
          <w:tcPr>
            <w:tcW w:w="3420" w:type="dxa"/>
            <w:tcBorders>
              <w:top w:val="nil"/>
              <w:bottom w:val="nil"/>
            </w:tcBorders>
          </w:tcPr>
          <w:p>
            <w:pPr>
              <w:pStyle w:val="TableParagraph"/>
              <w:ind w:left="0"/>
              <w:rPr>
                <w:sz w:val="22"/>
              </w:rPr>
            </w:pPr>
          </w:p>
        </w:tc>
      </w:tr>
      <w:tr>
        <w:trPr>
          <w:trHeight w:val="600" w:hRule="atLeast"/>
        </w:trPr>
        <w:tc>
          <w:tcPr>
            <w:tcW w:w="5958" w:type="dxa"/>
            <w:tcBorders>
              <w:top w:val="nil"/>
              <w:bottom w:val="nil"/>
            </w:tcBorders>
          </w:tcPr>
          <w:p>
            <w:pPr>
              <w:pStyle w:val="TableParagraph"/>
              <w:spacing w:before="217"/>
              <w:rPr>
                <w:sz w:val="24"/>
              </w:rPr>
            </w:pPr>
            <w:r>
              <w:rPr>
                <w:sz w:val="24"/>
              </w:rPr>
              <w:t>v.</w:t>
            </w:r>
          </w:p>
        </w:tc>
        <w:tc>
          <w:tcPr>
            <w:tcW w:w="3420" w:type="dxa"/>
            <w:tcBorders>
              <w:top w:val="nil"/>
              <w:bottom w:val="nil"/>
            </w:tcBorders>
          </w:tcPr>
          <w:p>
            <w:pPr>
              <w:pStyle w:val="TableParagraph"/>
              <w:ind w:left="0"/>
              <w:rPr>
                <w:sz w:val="22"/>
              </w:rPr>
            </w:pPr>
          </w:p>
        </w:tc>
      </w:tr>
      <w:tr>
        <w:trPr>
          <w:trHeight w:val="360" w:hRule="atLeast"/>
        </w:trPr>
        <w:tc>
          <w:tcPr>
            <w:tcW w:w="5958" w:type="dxa"/>
            <w:tcBorders>
              <w:top w:val="nil"/>
              <w:bottom w:val="nil"/>
            </w:tcBorders>
          </w:tcPr>
          <w:p>
            <w:pPr>
              <w:pStyle w:val="TableParagraph"/>
              <w:spacing w:line="243" w:lineRule="exact" w:before="97"/>
              <w:rPr>
                <w:sz w:val="24"/>
              </w:rPr>
            </w:pPr>
            <w:r>
              <w:rPr>
                <w:sz w:val="24"/>
              </w:rPr>
              <w:t>JAMES WALKER,</w:t>
            </w:r>
          </w:p>
        </w:tc>
        <w:tc>
          <w:tcPr>
            <w:tcW w:w="3420" w:type="dxa"/>
            <w:tcBorders>
              <w:top w:val="nil"/>
              <w:bottom w:val="nil"/>
            </w:tcBorders>
          </w:tcPr>
          <w:p>
            <w:pPr>
              <w:pStyle w:val="TableParagraph"/>
              <w:ind w:left="0"/>
              <w:rPr>
                <w:sz w:val="22"/>
              </w:rPr>
            </w:pPr>
          </w:p>
        </w:tc>
      </w:tr>
      <w:tr>
        <w:trPr>
          <w:trHeight w:val="488" w:hRule="atLeast"/>
        </w:trPr>
        <w:tc>
          <w:tcPr>
            <w:tcW w:w="5958" w:type="dxa"/>
            <w:tcBorders>
              <w:top w:val="nil"/>
            </w:tcBorders>
          </w:tcPr>
          <w:p>
            <w:pPr>
              <w:pStyle w:val="TableParagraph"/>
              <w:spacing w:line="253" w:lineRule="exact"/>
              <w:rPr>
                <w:sz w:val="24"/>
              </w:rPr>
            </w:pPr>
            <w:r>
              <w:rPr>
                <w:sz w:val="24"/>
              </w:rPr>
              <w:t>Defendant</w:t>
            </w:r>
          </w:p>
        </w:tc>
        <w:tc>
          <w:tcPr>
            <w:tcW w:w="3420" w:type="dxa"/>
            <w:tcBorders>
              <w:top w:val="nil"/>
            </w:tcBorders>
          </w:tcPr>
          <w:p>
            <w:pPr>
              <w:pStyle w:val="TableParagraph"/>
              <w:spacing w:line="269" w:lineRule="exact" w:before="199"/>
              <w:ind w:left="478"/>
              <w:rPr>
                <w:rFonts w:ascii="Symbol" w:hAnsi="Symbol"/>
                <w:sz w:val="24"/>
              </w:rPr>
            </w:pPr>
            <w:r>
              <w:rPr>
                <w:rFonts w:ascii="Symbol" w:hAnsi="Symbol"/>
                <w:sz w:val="24"/>
              </w:rPr>
              <w:t></w:t>
            </w:r>
            <w:r>
              <w:rPr>
                <w:sz w:val="24"/>
              </w:rPr>
              <w:t> COURT USE ONLY </w:t>
            </w:r>
            <w:r>
              <w:rPr>
                <w:rFonts w:ascii="Symbol" w:hAnsi="Symbol"/>
                <w:sz w:val="24"/>
              </w:rPr>
              <w:t></w:t>
            </w:r>
          </w:p>
        </w:tc>
      </w:tr>
      <w:tr>
        <w:trPr>
          <w:trHeight w:val="2159" w:hRule="atLeast"/>
        </w:trPr>
        <w:tc>
          <w:tcPr>
            <w:tcW w:w="5958" w:type="dxa"/>
          </w:tcPr>
          <w:p>
            <w:pPr>
              <w:pStyle w:val="TableParagraph"/>
              <w:spacing w:line="226" w:lineRule="exact"/>
              <w:rPr>
                <w:sz w:val="24"/>
              </w:rPr>
            </w:pPr>
            <w:r>
              <w:rPr>
                <w:b/>
                <w:sz w:val="24"/>
              </w:rPr>
              <w:t>Attorne</w:t>
            </w:r>
            <w:r>
              <w:rPr>
                <w:sz w:val="24"/>
              </w:rPr>
              <w:t>y:</w:t>
            </w:r>
          </w:p>
          <w:p>
            <w:pPr>
              <w:pStyle w:val="TableParagraph"/>
              <w:spacing w:line="240" w:lineRule="exact"/>
              <w:rPr>
                <w:sz w:val="24"/>
              </w:rPr>
            </w:pPr>
            <w:r>
              <w:rPr>
                <w:sz w:val="24"/>
              </w:rPr>
              <w:t>Danielle M.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694" w:val="left" w:leader="none"/>
                <w:tab w:pos="1734" w:val="left" w:leader="none"/>
              </w:tabs>
              <w:spacing w:line="417" w:lineRule="auto" w:before="207"/>
              <w:ind w:right="667"/>
              <w:rPr>
                <w:sz w:val="24"/>
              </w:rPr>
            </w:pPr>
            <w:r>
              <w:rPr>
                <w:b/>
                <w:sz w:val="24"/>
              </w:rPr>
              <w:t>Case Number</w:t>
            </w:r>
            <w:r>
              <w:rPr>
                <w:sz w:val="24"/>
              </w:rPr>
              <w:t>: </w:t>
            </w:r>
            <w:r>
              <w:rPr>
                <w:spacing w:val="-3"/>
                <w:sz w:val="24"/>
              </w:rPr>
              <w:t>16CR2658 </w:t>
            </w:r>
            <w:r>
              <w:rPr>
                <w:b/>
                <w:sz w:val="24"/>
              </w:rPr>
              <w:t>Division</w:t>
            </w:r>
            <w:r>
              <w:rPr>
                <w:sz w:val="24"/>
              </w:rPr>
              <w:t>:</w:t>
              <w:tab/>
              <w:tab/>
              <w:t>G </w:t>
            </w:r>
            <w:r>
              <w:rPr>
                <w:b/>
                <w:sz w:val="24"/>
              </w:rPr>
              <w:t>Courtroom</w:t>
            </w:r>
            <w:r>
              <w:rPr>
                <w:sz w:val="24"/>
              </w:rPr>
              <w:t>:</w:t>
              <w:tab/>
              <w:t>406</w:t>
            </w:r>
          </w:p>
        </w:tc>
      </w:tr>
      <w:tr>
        <w:trPr>
          <w:trHeight w:val="720" w:hRule="atLeast"/>
        </w:trPr>
        <w:tc>
          <w:tcPr>
            <w:tcW w:w="9378" w:type="dxa"/>
            <w:gridSpan w:val="2"/>
          </w:tcPr>
          <w:p>
            <w:pPr>
              <w:pStyle w:val="TableParagraph"/>
              <w:spacing w:before="207"/>
              <w:ind w:left="1185"/>
              <w:rPr>
                <w:b/>
                <w:sz w:val="24"/>
              </w:rPr>
            </w:pPr>
            <w:r>
              <w:rPr>
                <w:b/>
                <w:sz w:val="24"/>
              </w:rPr>
              <w:t>MOTION FOR DISCOVERY OF IMPEACHING INFORMATION</w:t>
            </w:r>
          </w:p>
        </w:tc>
      </w:tr>
    </w:tbl>
    <w:p>
      <w:pPr>
        <w:pStyle w:val="BodyText"/>
        <w:spacing w:before="8"/>
        <w:rPr>
          <w:sz w:val="12"/>
        </w:rPr>
      </w:pPr>
    </w:p>
    <w:p>
      <w:pPr>
        <w:pStyle w:val="BodyText"/>
        <w:spacing w:before="90"/>
        <w:ind w:left="220" w:right="318"/>
        <w:jc w:val="both"/>
      </w:pPr>
      <w:r>
        <w:rPr/>
        <w:t>Pursuant to Rule 16 of the Colorado Rules of Criminal Procedure; the Fifth, Sixth, and Fourteenth Amendments to the United States Constitution; Article II, Sections 16 and 25 of the Colorado Constitution; and </w:t>
      </w:r>
      <w:r>
        <w:rPr>
          <w:b/>
          <w:i/>
        </w:rPr>
        <w:t>Brady v. Maryland</w:t>
      </w:r>
      <w:r>
        <w:rPr/>
        <w:t>, 373 U.S. 83 (1963), the defendant moves for an order directing the prosecution to make inquiry and disclose all of the following within their possession, custody, and control or the existence of which is known or by the exercise of due diligence could become known to the</w:t>
      </w:r>
      <w:r>
        <w:rPr>
          <w:spacing w:val="-1"/>
        </w:rPr>
        <w:t> </w:t>
      </w:r>
      <w:r>
        <w:rPr/>
        <w:t>prosecution:</w:t>
      </w:r>
    </w:p>
    <w:p>
      <w:pPr>
        <w:pStyle w:val="BodyText"/>
      </w:pPr>
    </w:p>
    <w:p>
      <w:pPr>
        <w:pStyle w:val="ListParagraph"/>
        <w:numPr>
          <w:ilvl w:val="0"/>
          <w:numId w:val="1"/>
        </w:numPr>
        <w:tabs>
          <w:tab w:pos="1660" w:val="left" w:leader="none"/>
        </w:tabs>
        <w:spacing w:line="240" w:lineRule="auto" w:before="1" w:after="0"/>
        <w:ind w:left="220" w:right="318" w:firstLine="720"/>
        <w:jc w:val="both"/>
        <w:rPr>
          <w:sz w:val="24"/>
        </w:rPr>
      </w:pPr>
      <w:r>
        <w:rPr>
          <w:sz w:val="24"/>
        </w:rPr>
        <w:t>Any and all records, police reports, and information regarding prior criminal convictions, guilty verdicts, juvenile adjudications, or pending criminal or juvenile cases of all prosecution witnesses, including but not limited to relevant rap sheets. As grounds for this paragraph, the defendant states as</w:t>
      </w:r>
      <w:r>
        <w:rPr>
          <w:spacing w:val="-1"/>
          <w:sz w:val="24"/>
        </w:rPr>
        <w:t> </w:t>
      </w:r>
      <w:r>
        <w:rPr>
          <w:sz w:val="24"/>
        </w:rPr>
        <w:t>follows:</w:t>
      </w:r>
    </w:p>
    <w:p>
      <w:pPr>
        <w:pStyle w:val="BodyText"/>
        <w:spacing w:before="10"/>
        <w:rPr>
          <w:sz w:val="23"/>
        </w:rPr>
      </w:pPr>
    </w:p>
    <w:p>
      <w:pPr>
        <w:pStyle w:val="ListParagraph"/>
        <w:numPr>
          <w:ilvl w:val="1"/>
          <w:numId w:val="1"/>
        </w:numPr>
        <w:tabs>
          <w:tab w:pos="2379" w:val="left" w:leader="none"/>
          <w:tab w:pos="2380" w:val="left" w:leader="none"/>
        </w:tabs>
        <w:spacing w:line="240" w:lineRule="auto" w:before="0" w:after="0"/>
        <w:ind w:left="2380" w:right="526" w:hanging="720"/>
        <w:jc w:val="left"/>
        <w:rPr>
          <w:sz w:val="24"/>
        </w:rPr>
      </w:pPr>
      <w:r>
        <w:rPr>
          <w:sz w:val="24"/>
        </w:rPr>
        <w:t>Rule 16(I)(a)(1)(I) of the Colorado Rules of Criminal Procedure requires production of "prior criminal convictions" of all prosecution witnesses. This rule is not by its terms limited to felony</w:t>
      </w:r>
      <w:r>
        <w:rPr>
          <w:spacing w:val="-5"/>
          <w:sz w:val="24"/>
        </w:rPr>
        <w:t> </w:t>
      </w:r>
      <w:r>
        <w:rPr>
          <w:sz w:val="24"/>
        </w:rPr>
        <w:t>convictions.</w:t>
      </w:r>
    </w:p>
    <w:p>
      <w:pPr>
        <w:pStyle w:val="ListParagraph"/>
        <w:numPr>
          <w:ilvl w:val="1"/>
          <w:numId w:val="1"/>
        </w:numPr>
        <w:tabs>
          <w:tab w:pos="2379" w:val="left" w:leader="none"/>
          <w:tab w:pos="2380" w:val="left" w:leader="none"/>
        </w:tabs>
        <w:spacing w:line="240" w:lineRule="auto" w:before="0" w:after="0"/>
        <w:ind w:left="2380" w:right="627" w:hanging="720"/>
        <w:jc w:val="left"/>
        <w:rPr>
          <w:sz w:val="24"/>
        </w:rPr>
      </w:pPr>
      <w:r>
        <w:rPr>
          <w:sz w:val="24"/>
        </w:rPr>
        <w:t>Felony convictions may be used for impeachment purposes. C.R.S. 13- 90-101.</w:t>
      </w:r>
    </w:p>
    <w:p>
      <w:pPr>
        <w:pStyle w:val="ListParagraph"/>
        <w:numPr>
          <w:ilvl w:val="1"/>
          <w:numId w:val="1"/>
        </w:numPr>
        <w:tabs>
          <w:tab w:pos="2379" w:val="left" w:leader="none"/>
          <w:tab w:pos="2380" w:val="left" w:leader="none"/>
        </w:tabs>
        <w:spacing w:line="240" w:lineRule="auto" w:before="0" w:after="0"/>
        <w:ind w:left="2380" w:right="439" w:hanging="720"/>
        <w:jc w:val="left"/>
        <w:rPr>
          <w:sz w:val="24"/>
        </w:rPr>
      </w:pPr>
      <w:r>
        <w:rPr>
          <w:sz w:val="24"/>
        </w:rPr>
        <w:t>Juvenile adjudications may be used for impeachment purposes. </w:t>
      </w:r>
      <w:r>
        <w:rPr>
          <w:b/>
          <w:i/>
          <w:sz w:val="24"/>
        </w:rPr>
        <w:t>People v. </w:t>
      </w:r>
      <w:r>
        <w:rPr>
          <w:b/>
          <w:i/>
          <w:sz w:val="24"/>
        </w:rPr>
        <w:t>Pate</w:t>
      </w:r>
      <w:r>
        <w:rPr>
          <w:sz w:val="24"/>
        </w:rPr>
        <w:t>, 625 P.2d 369 (Colo.</w:t>
      </w:r>
      <w:r>
        <w:rPr>
          <w:spacing w:val="-1"/>
          <w:sz w:val="24"/>
        </w:rPr>
        <w:t> </w:t>
      </w:r>
      <w:r>
        <w:rPr>
          <w:sz w:val="24"/>
        </w:rPr>
        <w:t>1981).</w:t>
      </w:r>
    </w:p>
    <w:p>
      <w:pPr>
        <w:spacing w:after="0" w:line="240" w:lineRule="auto"/>
        <w:jc w:val="left"/>
        <w:rPr>
          <w:sz w:val="24"/>
        </w:rPr>
        <w:sectPr>
          <w:type w:val="continuous"/>
          <w:pgSz w:w="12240" w:h="15840"/>
          <w:pgMar w:top="1440" w:bottom="280" w:left="1220" w:right="1120"/>
        </w:sectPr>
      </w:pPr>
    </w:p>
    <w:p>
      <w:pPr>
        <w:pStyle w:val="ListParagraph"/>
        <w:numPr>
          <w:ilvl w:val="1"/>
          <w:numId w:val="1"/>
        </w:numPr>
        <w:tabs>
          <w:tab w:pos="2379" w:val="left" w:leader="none"/>
          <w:tab w:pos="2380" w:val="left" w:leader="none"/>
        </w:tabs>
        <w:spacing w:line="240" w:lineRule="auto" w:before="76" w:after="0"/>
        <w:ind w:left="2380" w:right="433" w:hanging="720"/>
        <w:jc w:val="left"/>
        <w:rPr>
          <w:sz w:val="24"/>
        </w:rPr>
      </w:pPr>
      <w:r>
        <w:rPr>
          <w:sz w:val="24"/>
        </w:rPr>
        <w:t>Misdemeanor convictions, probative of untruthfulness or dishonesty,</w:t>
      </w:r>
      <w:r>
        <w:rPr>
          <w:spacing w:val="-15"/>
          <w:sz w:val="24"/>
        </w:rPr>
        <w:t> </w:t>
      </w:r>
      <w:r>
        <w:rPr>
          <w:sz w:val="24"/>
        </w:rPr>
        <w:t>may be used for impeachment purposes. C.R.E. 608; </w:t>
      </w:r>
      <w:r>
        <w:rPr>
          <w:b/>
          <w:i/>
          <w:sz w:val="24"/>
        </w:rPr>
        <w:t>People v. Armstrong</w:t>
      </w:r>
      <w:r>
        <w:rPr>
          <w:sz w:val="24"/>
        </w:rPr>
        <w:t>, 704 P.2d 877 (Colo. App.</w:t>
      </w:r>
      <w:r>
        <w:rPr>
          <w:spacing w:val="-1"/>
          <w:sz w:val="24"/>
        </w:rPr>
        <w:t> </w:t>
      </w:r>
      <w:r>
        <w:rPr>
          <w:sz w:val="24"/>
        </w:rPr>
        <w:t>1985).</w:t>
      </w:r>
    </w:p>
    <w:p>
      <w:pPr>
        <w:pStyle w:val="ListParagraph"/>
        <w:numPr>
          <w:ilvl w:val="1"/>
          <w:numId w:val="1"/>
        </w:numPr>
        <w:tabs>
          <w:tab w:pos="2379" w:val="left" w:leader="none"/>
          <w:tab w:pos="2380" w:val="left" w:leader="none"/>
        </w:tabs>
        <w:spacing w:line="240" w:lineRule="auto" w:before="1" w:after="0"/>
        <w:ind w:left="2380" w:right="394" w:hanging="720"/>
        <w:jc w:val="left"/>
        <w:rPr>
          <w:sz w:val="24"/>
        </w:rPr>
      </w:pPr>
      <w:r>
        <w:rPr>
          <w:sz w:val="24"/>
        </w:rPr>
        <w:t>The fact of probation or parole at any time during the pendency of this case is probative of bias or motive and is admissible regardless of the</w:t>
      </w:r>
      <w:r>
        <w:rPr>
          <w:spacing w:val="-18"/>
          <w:sz w:val="24"/>
        </w:rPr>
        <w:t> </w:t>
      </w:r>
      <w:r>
        <w:rPr>
          <w:sz w:val="24"/>
        </w:rPr>
        <w:t>type of underlying conviction. </w:t>
      </w:r>
      <w:r>
        <w:rPr>
          <w:b/>
          <w:i/>
          <w:sz w:val="24"/>
        </w:rPr>
        <w:t>Davis v. Alaska</w:t>
      </w:r>
      <w:r>
        <w:rPr>
          <w:sz w:val="24"/>
        </w:rPr>
        <w:t>, 415 U.S. 308 (1974); </w:t>
      </w:r>
      <w:r>
        <w:rPr>
          <w:b/>
          <w:i/>
          <w:sz w:val="24"/>
        </w:rPr>
        <w:t>Pate</w:t>
      </w:r>
      <w:r>
        <w:rPr>
          <w:sz w:val="24"/>
        </w:rPr>
        <w:t>, </w:t>
      </w:r>
      <w:r>
        <w:rPr>
          <w:i/>
          <w:sz w:val="24"/>
        </w:rPr>
        <w:t>supra</w:t>
      </w:r>
      <w:r>
        <w:rPr>
          <w:sz w:val="24"/>
        </w:rPr>
        <w:t>; </w:t>
      </w:r>
      <w:r>
        <w:rPr>
          <w:b/>
          <w:i/>
          <w:sz w:val="24"/>
        </w:rPr>
        <w:t>People v. Bowman</w:t>
      </w:r>
      <w:r>
        <w:rPr>
          <w:sz w:val="24"/>
        </w:rPr>
        <w:t>, 669 P.2d 1369 (Colo.</w:t>
      </w:r>
      <w:r>
        <w:rPr>
          <w:spacing w:val="-3"/>
          <w:sz w:val="24"/>
        </w:rPr>
        <w:t> </w:t>
      </w:r>
      <w:r>
        <w:rPr>
          <w:sz w:val="24"/>
        </w:rPr>
        <w:t>1983).</w:t>
      </w:r>
    </w:p>
    <w:p>
      <w:pPr>
        <w:pStyle w:val="ListParagraph"/>
        <w:numPr>
          <w:ilvl w:val="1"/>
          <w:numId w:val="1"/>
        </w:numPr>
        <w:tabs>
          <w:tab w:pos="2379" w:val="left" w:leader="none"/>
          <w:tab w:pos="2380" w:val="left" w:leader="none"/>
        </w:tabs>
        <w:spacing w:line="240" w:lineRule="auto" w:before="0" w:after="0"/>
        <w:ind w:left="2380" w:right="446" w:hanging="720"/>
        <w:jc w:val="left"/>
        <w:rPr>
          <w:sz w:val="24"/>
        </w:rPr>
      </w:pPr>
      <w:r>
        <w:rPr>
          <w:sz w:val="24"/>
        </w:rPr>
        <w:t>The existence of cases pending at any time during the investigation or pendency of this case is admissible as to bias or motive. </w:t>
      </w:r>
      <w:r>
        <w:rPr>
          <w:b/>
          <w:i/>
          <w:sz w:val="24"/>
        </w:rPr>
        <w:t>People v. Jones</w:t>
      </w:r>
      <w:r>
        <w:rPr>
          <w:sz w:val="24"/>
        </w:rPr>
        <w:t>, 675 P.2d 9 (Colo. 1984); </w:t>
      </w:r>
      <w:r>
        <w:rPr>
          <w:b/>
          <w:i/>
          <w:sz w:val="24"/>
        </w:rPr>
        <w:t>People v. King</w:t>
      </w:r>
      <w:r>
        <w:rPr>
          <w:sz w:val="24"/>
        </w:rPr>
        <w:t>, 179 Colo. 94, 498 P.2d 1142 (1972).</w:t>
      </w:r>
    </w:p>
    <w:p>
      <w:pPr>
        <w:pStyle w:val="BodyText"/>
      </w:pPr>
    </w:p>
    <w:p>
      <w:pPr>
        <w:pStyle w:val="ListParagraph"/>
        <w:numPr>
          <w:ilvl w:val="0"/>
          <w:numId w:val="1"/>
        </w:numPr>
        <w:tabs>
          <w:tab w:pos="1660" w:val="left" w:leader="none"/>
        </w:tabs>
        <w:spacing w:line="240" w:lineRule="auto" w:before="0" w:after="0"/>
        <w:ind w:left="220" w:right="317" w:firstLine="720"/>
        <w:jc w:val="both"/>
        <w:rPr>
          <w:sz w:val="24"/>
        </w:rPr>
      </w:pPr>
      <w:r>
        <w:rPr>
          <w:sz w:val="24"/>
        </w:rPr>
        <w:t>Any and all records or information revealing prior misconduct or bad acts attributed to any prosecution witness. Such misconduct may be admissible under Rule 608(b) of the Colorado Rules of Evidence, even though no conviction resulted, or may lead to the discovery of character evidence admissible under Rule 608(a) of the Colorado Rules of Evidence.</w:t>
      </w:r>
    </w:p>
    <w:p>
      <w:pPr>
        <w:pStyle w:val="BodyText"/>
      </w:pPr>
    </w:p>
    <w:p>
      <w:pPr>
        <w:pStyle w:val="ListParagraph"/>
        <w:numPr>
          <w:ilvl w:val="0"/>
          <w:numId w:val="1"/>
        </w:numPr>
        <w:tabs>
          <w:tab w:pos="1660" w:val="left" w:leader="none"/>
        </w:tabs>
        <w:spacing w:line="240" w:lineRule="auto" w:before="0" w:after="0"/>
        <w:ind w:left="220" w:right="318" w:firstLine="720"/>
        <w:jc w:val="both"/>
        <w:rPr>
          <w:sz w:val="24"/>
        </w:rPr>
      </w:pPr>
      <w:r>
        <w:rPr>
          <w:sz w:val="24"/>
        </w:rPr>
        <w:t>Any promise, benefit, plea bargain, financial consideration, or other inducement made to any prosecution witness by the government at any time during the investigation or pendency of this case, up to and including the time of trial, whether or not the government is willing to admit that such inducements were in formal "exchange" for testimony or aid in this case. Any such evidence is admissible as to motive or bias. </w:t>
      </w:r>
      <w:r>
        <w:rPr>
          <w:b/>
          <w:i/>
          <w:sz w:val="24"/>
        </w:rPr>
        <w:t>Van Arsdall v. Delaware</w:t>
      </w:r>
      <w:r>
        <w:rPr>
          <w:sz w:val="24"/>
        </w:rPr>
        <w:t>, 475 U.S. 673, 89 L.Ed.2d 874 (1986); </w:t>
      </w:r>
      <w:r>
        <w:rPr>
          <w:b/>
          <w:i/>
          <w:sz w:val="24"/>
        </w:rPr>
        <w:t>Davis</w:t>
      </w:r>
      <w:r>
        <w:rPr>
          <w:sz w:val="24"/>
        </w:rPr>
        <w:t>, </w:t>
      </w:r>
      <w:r>
        <w:rPr>
          <w:i/>
          <w:sz w:val="24"/>
        </w:rPr>
        <w:t>supra</w:t>
      </w:r>
      <w:r>
        <w:rPr>
          <w:sz w:val="24"/>
        </w:rPr>
        <w:t>; </w:t>
      </w:r>
      <w:r>
        <w:rPr>
          <w:b/>
          <w:i/>
          <w:sz w:val="24"/>
        </w:rPr>
        <w:t>Pate</w:t>
      </w:r>
      <w:r>
        <w:rPr>
          <w:sz w:val="24"/>
        </w:rPr>
        <w:t>,</w:t>
      </w:r>
      <w:r>
        <w:rPr>
          <w:spacing w:val="-3"/>
          <w:sz w:val="24"/>
        </w:rPr>
        <w:t> </w:t>
      </w:r>
      <w:r>
        <w:rPr>
          <w:i/>
          <w:sz w:val="24"/>
        </w:rPr>
        <w:t>supra</w:t>
      </w:r>
      <w:r>
        <w:rPr>
          <w:sz w:val="24"/>
        </w:rPr>
        <w:t>.</w:t>
      </w:r>
    </w:p>
    <w:p>
      <w:pPr>
        <w:pStyle w:val="BodyText"/>
      </w:pPr>
    </w:p>
    <w:p>
      <w:pPr>
        <w:pStyle w:val="ListParagraph"/>
        <w:numPr>
          <w:ilvl w:val="0"/>
          <w:numId w:val="1"/>
        </w:numPr>
        <w:tabs>
          <w:tab w:pos="1660" w:val="left" w:leader="none"/>
        </w:tabs>
        <w:spacing w:line="240" w:lineRule="auto" w:before="0" w:after="0"/>
        <w:ind w:left="220" w:right="317" w:firstLine="720"/>
        <w:jc w:val="both"/>
        <w:rPr>
          <w:sz w:val="24"/>
        </w:rPr>
      </w:pPr>
      <w:r>
        <w:rPr>
          <w:sz w:val="24"/>
        </w:rPr>
        <w:t>Any and all records and information concerning prior psychiatric or psychological treatment, evaluation, or hospitalization of all prosecution witnesses. The mental condition of witnesses is admissible for impeachment. </w:t>
      </w:r>
      <w:r>
        <w:rPr>
          <w:b/>
          <w:i/>
          <w:sz w:val="24"/>
        </w:rPr>
        <w:t>People v. Shuemann</w:t>
      </w:r>
      <w:r>
        <w:rPr>
          <w:sz w:val="24"/>
        </w:rPr>
        <w:t>, 548 P.2d 911 (Colo. 1976); </w:t>
      </w:r>
      <w:r>
        <w:rPr>
          <w:b/>
          <w:i/>
          <w:sz w:val="24"/>
        </w:rPr>
        <w:t>People v. Borrelli</w:t>
      </w:r>
      <w:r>
        <w:rPr>
          <w:sz w:val="24"/>
        </w:rPr>
        <w:t>, 624 P.2d 900 (Colo. App. 1980). In addition, such records may contain information bearing upon the witness' character for truthfulness or specific instances of untruthfulness. C.R.E.</w:t>
      </w:r>
      <w:r>
        <w:rPr>
          <w:spacing w:val="-1"/>
          <w:sz w:val="24"/>
        </w:rPr>
        <w:t> </w:t>
      </w:r>
      <w:r>
        <w:rPr>
          <w:sz w:val="24"/>
        </w:rPr>
        <w:t>608.</w:t>
      </w:r>
    </w:p>
    <w:p>
      <w:pPr>
        <w:pStyle w:val="BodyText"/>
        <w:spacing w:before="10"/>
        <w:rPr>
          <w:sz w:val="23"/>
        </w:rPr>
      </w:pPr>
    </w:p>
    <w:p>
      <w:pPr>
        <w:pStyle w:val="ListParagraph"/>
        <w:numPr>
          <w:ilvl w:val="0"/>
          <w:numId w:val="1"/>
        </w:numPr>
        <w:tabs>
          <w:tab w:pos="1660" w:val="left" w:leader="none"/>
        </w:tabs>
        <w:spacing w:line="240" w:lineRule="auto" w:before="0" w:after="0"/>
        <w:ind w:left="220" w:right="318" w:firstLine="720"/>
        <w:jc w:val="both"/>
        <w:rPr>
          <w:sz w:val="24"/>
        </w:rPr>
      </w:pPr>
      <w:r>
        <w:rPr>
          <w:sz w:val="24"/>
        </w:rPr>
        <w:t>Any and all records or information concerning drug and alcohol use, evaluation, or treatment of prosecution witnesses. The use of drugs or alcohol is admissible to the extent  that it affects a witness' ability to perceive, remember, or testify. </w:t>
      </w:r>
      <w:r>
        <w:rPr>
          <w:b/>
          <w:i/>
          <w:sz w:val="24"/>
        </w:rPr>
        <w:t>People v. Roberts</w:t>
      </w:r>
      <w:r>
        <w:rPr>
          <w:sz w:val="24"/>
        </w:rPr>
        <w:t>, 533 P.2d 93 (Colo. App. 1976). In addition, such records may contain information bearing upon the witness' character for truthfulness or specific instances of untruthfulness. C.R.E.</w:t>
      </w:r>
      <w:r>
        <w:rPr>
          <w:spacing w:val="-7"/>
          <w:sz w:val="24"/>
        </w:rPr>
        <w:t> </w:t>
      </w:r>
      <w:r>
        <w:rPr>
          <w:sz w:val="24"/>
        </w:rPr>
        <w:t>608.</w:t>
      </w:r>
    </w:p>
    <w:p>
      <w:pPr>
        <w:pStyle w:val="BodyText"/>
      </w:pPr>
    </w:p>
    <w:p>
      <w:pPr>
        <w:pStyle w:val="ListParagraph"/>
        <w:numPr>
          <w:ilvl w:val="0"/>
          <w:numId w:val="1"/>
        </w:numPr>
        <w:tabs>
          <w:tab w:pos="1660" w:val="left" w:leader="none"/>
        </w:tabs>
        <w:spacing w:line="240" w:lineRule="auto" w:before="1" w:after="0"/>
        <w:ind w:left="220" w:right="316" w:firstLine="720"/>
        <w:jc w:val="both"/>
        <w:rPr>
          <w:sz w:val="24"/>
        </w:rPr>
      </w:pPr>
      <w:r>
        <w:rPr>
          <w:sz w:val="24"/>
        </w:rPr>
        <w:t>For purposes of discovery, any information in the possession of any law enforcement agency is deemed to be in the possession of the prosecution. </w:t>
      </w:r>
      <w:r>
        <w:rPr>
          <w:b/>
          <w:i/>
          <w:sz w:val="24"/>
        </w:rPr>
        <w:t>Chambers v. People</w:t>
      </w:r>
      <w:r>
        <w:rPr>
          <w:sz w:val="24"/>
        </w:rPr>
        <w:t>, 682 P.2d 1173 (Colo. 1984); </w:t>
      </w:r>
      <w:r>
        <w:rPr>
          <w:b/>
          <w:i/>
          <w:sz w:val="24"/>
        </w:rPr>
        <w:t>People v. Banuelos</w:t>
      </w:r>
      <w:r>
        <w:rPr>
          <w:sz w:val="24"/>
        </w:rPr>
        <w:t>, 674 P.2d 964 (Colo. App. 1983). Further,  Rule 16(I)(c) of the Colorado Rules of Criminal Procedure requires the prosecution to make diligent good faith efforts to obtain discoverable materials that are in the possession of other governmental personnel. Therefore, the defendant requests that any order issued pursuant to this motion require the prosecution to make inquiry of appropriate law enforcement and other governmental agencies concerning the existence of discoverable materials. Specifically,</w:t>
      </w:r>
      <w:r>
        <w:rPr>
          <w:spacing w:val="6"/>
          <w:sz w:val="24"/>
        </w:rPr>
        <w:t> </w:t>
      </w:r>
      <w:r>
        <w:rPr>
          <w:sz w:val="24"/>
        </w:rPr>
        <w:t>the</w:t>
      </w:r>
    </w:p>
    <w:p>
      <w:pPr>
        <w:spacing w:after="0" w:line="240" w:lineRule="auto"/>
        <w:jc w:val="both"/>
        <w:rPr>
          <w:sz w:val="24"/>
        </w:rPr>
        <w:sectPr>
          <w:pgSz w:w="12240" w:h="15840"/>
          <w:pgMar w:top="1360" w:bottom="280" w:left="1220" w:right="1120"/>
        </w:sectPr>
      </w:pPr>
    </w:p>
    <w:p>
      <w:pPr>
        <w:pStyle w:val="BodyText"/>
        <w:spacing w:before="76"/>
        <w:ind w:left="220"/>
      </w:pPr>
      <w:r>
        <w:rPr/>
        <w:t>defendant requests an order requiring the prosecution to provide at a minimum the following information:</w:t>
      </w:r>
    </w:p>
    <w:p>
      <w:pPr>
        <w:pStyle w:val="BodyText"/>
      </w:pPr>
    </w:p>
    <w:p>
      <w:pPr>
        <w:pStyle w:val="ListParagraph"/>
        <w:numPr>
          <w:ilvl w:val="1"/>
          <w:numId w:val="1"/>
        </w:numPr>
        <w:tabs>
          <w:tab w:pos="2379" w:val="left" w:leader="none"/>
          <w:tab w:pos="2380" w:val="left" w:leader="none"/>
        </w:tabs>
        <w:spacing w:line="240" w:lineRule="auto" w:before="1" w:after="0"/>
        <w:ind w:left="2380" w:right="687" w:hanging="720"/>
        <w:jc w:val="left"/>
        <w:rPr>
          <w:sz w:val="24"/>
        </w:rPr>
      </w:pPr>
      <w:r>
        <w:rPr>
          <w:sz w:val="24"/>
        </w:rPr>
        <w:t>Any reports, files, or information in the possession of any law enforcement agency regarding any contact, investigation, or uncharged crime concerning any prosecution witness and the victim, as such materials may contain the type of information requested in this</w:t>
      </w:r>
      <w:r>
        <w:rPr>
          <w:spacing w:val="-17"/>
          <w:sz w:val="24"/>
        </w:rPr>
        <w:t> </w:t>
      </w:r>
      <w:r>
        <w:rPr>
          <w:sz w:val="24"/>
        </w:rPr>
        <w:t>motion.</w:t>
      </w:r>
    </w:p>
    <w:p>
      <w:pPr>
        <w:pStyle w:val="ListParagraph"/>
        <w:numPr>
          <w:ilvl w:val="1"/>
          <w:numId w:val="1"/>
        </w:numPr>
        <w:tabs>
          <w:tab w:pos="2379" w:val="left" w:leader="none"/>
          <w:tab w:pos="2380" w:val="left" w:leader="none"/>
        </w:tabs>
        <w:spacing w:line="240" w:lineRule="auto" w:before="0" w:after="0"/>
        <w:ind w:left="2380" w:right="371" w:hanging="720"/>
        <w:jc w:val="left"/>
        <w:rPr>
          <w:sz w:val="24"/>
        </w:rPr>
      </w:pPr>
      <w:r>
        <w:rPr>
          <w:sz w:val="24"/>
        </w:rPr>
        <w:t>Any reports, files, or information in the possession of the District Attorney's Office regarding any contact, investigation, or uncharged</w:t>
      </w:r>
      <w:r>
        <w:rPr>
          <w:spacing w:val="-17"/>
          <w:sz w:val="24"/>
        </w:rPr>
        <w:t> </w:t>
      </w:r>
      <w:r>
        <w:rPr>
          <w:sz w:val="24"/>
        </w:rPr>
        <w:t>crime involving any prosecution witness or the</w:t>
      </w:r>
      <w:r>
        <w:rPr>
          <w:spacing w:val="-5"/>
          <w:sz w:val="24"/>
        </w:rPr>
        <w:t> </w:t>
      </w:r>
      <w:r>
        <w:rPr>
          <w:sz w:val="24"/>
        </w:rPr>
        <w:t>victim.</w:t>
      </w:r>
    </w:p>
    <w:p>
      <w:pPr>
        <w:pStyle w:val="ListParagraph"/>
        <w:numPr>
          <w:ilvl w:val="1"/>
          <w:numId w:val="1"/>
        </w:numPr>
        <w:tabs>
          <w:tab w:pos="2379" w:val="left" w:leader="none"/>
          <w:tab w:pos="2380" w:val="left" w:leader="none"/>
        </w:tabs>
        <w:spacing w:line="240" w:lineRule="auto" w:before="0" w:after="0"/>
        <w:ind w:left="2380" w:right="470" w:hanging="720"/>
        <w:jc w:val="left"/>
        <w:rPr>
          <w:sz w:val="24"/>
        </w:rPr>
      </w:pPr>
      <w:r>
        <w:rPr>
          <w:sz w:val="24"/>
        </w:rPr>
        <w:t>The Federal Bureau of Investigation rap sheets of all prosecution witnesses and the victim, as it is counsel's experience that such rap</w:t>
      </w:r>
      <w:r>
        <w:rPr>
          <w:spacing w:val="-18"/>
          <w:sz w:val="24"/>
        </w:rPr>
        <w:t> </w:t>
      </w:r>
      <w:r>
        <w:rPr>
          <w:sz w:val="24"/>
        </w:rPr>
        <w:t>sheets often contain information not appearing on National Crime Information Center/Colorado Crime Information Center rap</w:t>
      </w:r>
      <w:r>
        <w:rPr>
          <w:spacing w:val="-2"/>
          <w:sz w:val="24"/>
        </w:rPr>
        <w:t> </w:t>
      </w:r>
      <w:r>
        <w:rPr>
          <w:sz w:val="24"/>
        </w:rPr>
        <w:t>sheets.</w:t>
      </w:r>
    </w:p>
    <w:p>
      <w:pPr>
        <w:pStyle w:val="BodyText"/>
      </w:pPr>
    </w:p>
    <w:p>
      <w:pPr>
        <w:pStyle w:val="ListParagraph"/>
        <w:numPr>
          <w:ilvl w:val="0"/>
          <w:numId w:val="1"/>
        </w:numPr>
        <w:tabs>
          <w:tab w:pos="1659" w:val="left" w:leader="none"/>
          <w:tab w:pos="1660" w:val="left" w:leader="none"/>
        </w:tabs>
        <w:spacing w:line="240" w:lineRule="auto" w:before="0" w:after="0"/>
        <w:ind w:left="220" w:right="317" w:firstLine="720"/>
        <w:jc w:val="left"/>
        <w:rPr>
          <w:sz w:val="24"/>
        </w:rPr>
      </w:pPr>
      <w:r>
        <w:rPr>
          <w:sz w:val="24"/>
        </w:rPr>
        <w:t>Mr. Walker further requests that all information requested in this motion be provided under all known aliases for all witnesses and the</w:t>
      </w:r>
      <w:r>
        <w:rPr>
          <w:spacing w:val="-5"/>
          <w:sz w:val="24"/>
        </w:rPr>
        <w:t> </w:t>
      </w:r>
      <w:r>
        <w:rPr>
          <w:sz w:val="24"/>
        </w:rPr>
        <w:t>victim.</w:t>
      </w:r>
    </w:p>
    <w:p>
      <w:pPr>
        <w:pStyle w:val="BodyText"/>
        <w:rPr>
          <w:sz w:val="26"/>
        </w:rPr>
      </w:pPr>
    </w:p>
    <w:p>
      <w:pPr>
        <w:pStyle w:val="BodyText"/>
        <w:spacing w:line="626" w:lineRule="auto" w:before="188"/>
        <w:ind w:left="219" w:right="5961"/>
      </w:pPr>
      <w:bookmarkStart w:name="Dated:  February 23, 2017." w:id="1"/>
      <w:bookmarkEnd w:id="1"/>
      <w:r>
        <w:rPr/>
      </w:r>
      <w:r>
        <w:rPr/>
        <w:t>Dated: February 23, 2017. Respectfully Submitted,</w:t>
      </w:r>
    </w:p>
    <w:p>
      <w:pPr>
        <w:spacing w:line="275" w:lineRule="exact" w:before="0"/>
        <w:ind w:left="219" w:right="0" w:firstLine="0"/>
        <w:jc w:val="left"/>
        <w:rPr>
          <w:b/>
          <w:sz w:val="24"/>
        </w:rPr>
      </w:pPr>
      <w:bookmarkStart w:name="DANIELLE M. MCCARTHY, P.C." w:id="2"/>
      <w:bookmarkEnd w:id="2"/>
      <w:r>
        <w:rPr/>
      </w:r>
      <w:r>
        <w:rPr>
          <w:b/>
          <w:sz w:val="24"/>
        </w:rPr>
        <w:t>DANIELLE M. MCCARTHY, P.C.</w:t>
      </w:r>
    </w:p>
    <w:p>
      <w:pPr>
        <w:spacing w:before="204"/>
        <w:ind w:left="340" w:right="0" w:firstLine="0"/>
        <w:jc w:val="left"/>
        <w:rPr>
          <w:i/>
          <w:sz w:val="24"/>
        </w:rPr>
      </w:pPr>
      <w:r>
        <w:rPr>
          <w:i/>
          <w:sz w:val="24"/>
        </w:rPr>
        <w:t>Danielle M. McCarthy</w:t>
      </w:r>
    </w:p>
    <w:p>
      <w:pPr>
        <w:pStyle w:val="BodyText"/>
        <w:rPr>
          <w:i/>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61"/>
      </w:tblGrid>
      <w:tr>
        <w:trPr>
          <w:trHeight w:val="1439" w:hRule="atLeast"/>
        </w:trPr>
        <w:tc>
          <w:tcPr>
            <w:tcW w:w="4200" w:type="dxa"/>
            <w:tcBorders>
              <w:top w:val="single" w:sz="4" w:space="0" w:color="000000"/>
            </w:tcBorders>
          </w:tcPr>
          <w:p>
            <w:pPr>
              <w:pStyle w:val="TableParagraph"/>
              <w:spacing w:line="240" w:lineRule="exact"/>
              <w:ind w:left="0"/>
              <w:rPr>
                <w:sz w:val="24"/>
              </w:rPr>
            </w:pPr>
            <w:r>
              <w:rPr>
                <w:sz w:val="24"/>
              </w:rPr>
              <w:t>Danielle M. McCarthy, #34573</w:t>
            </w:r>
          </w:p>
        </w:tc>
        <w:tc>
          <w:tcPr>
            <w:tcW w:w="5361" w:type="dxa"/>
          </w:tcPr>
          <w:p>
            <w:pPr>
              <w:pStyle w:val="TableParagraph"/>
              <w:spacing w:line="222" w:lineRule="exact"/>
              <w:ind w:left="2379"/>
              <w:rPr>
                <w:b/>
                <w:sz w:val="24"/>
              </w:rPr>
            </w:pPr>
            <w:r>
              <w:rPr>
                <w:b/>
                <w:sz w:val="24"/>
                <w:u w:val="thick"/>
              </w:rPr>
              <w:t>Certificate of Service</w:t>
            </w:r>
          </w:p>
          <w:p>
            <w:pPr>
              <w:pStyle w:val="TableParagraph"/>
              <w:spacing w:line="208" w:lineRule="auto" w:before="11"/>
              <w:ind w:left="1758" w:right="198"/>
              <w:jc w:val="both"/>
              <w:rPr>
                <w:sz w:val="24"/>
              </w:rPr>
            </w:pPr>
            <w:r>
              <w:rPr>
                <w:sz w:val="24"/>
              </w:rPr>
              <w:t>I hereby certify that on 2/23/17, I served the foregoing document to opposing counsel via ICCES.</w:t>
            </w:r>
          </w:p>
          <w:p>
            <w:pPr>
              <w:pStyle w:val="TableParagraph"/>
              <w:tabs>
                <w:tab w:pos="4024" w:val="left" w:leader="none"/>
              </w:tabs>
              <w:spacing w:line="256" w:lineRule="exact" w:before="210"/>
              <w:ind w:left="1758"/>
              <w:jc w:val="both"/>
              <w:rPr>
                <w:sz w:val="24"/>
              </w:rPr>
            </w:pPr>
            <w:r>
              <w:rPr>
                <w:sz w:val="24"/>
              </w:rPr>
              <w:t>By:</w:t>
            </w:r>
            <w:r>
              <w:rPr>
                <w:sz w:val="24"/>
                <w:u w:val="single"/>
              </w:rPr>
              <w:t>        </w:t>
            </w:r>
            <w:r>
              <w:rPr>
                <w:spacing w:val="57"/>
                <w:sz w:val="24"/>
                <w:u w:val="single"/>
              </w:rPr>
              <w:t> </w:t>
            </w:r>
            <w:r>
              <w:rPr>
                <w:sz w:val="24"/>
              </w:rPr>
              <w:t>DMM</w:t>
            </w:r>
            <w:r>
              <w:rPr>
                <w:sz w:val="24"/>
                <w:u w:val="single"/>
              </w:rPr>
              <w:t> </w:t>
              <w:tab/>
            </w:r>
          </w:p>
        </w:tc>
      </w:tr>
    </w:tbl>
    <w:sectPr>
      <w:pgSz w:w="12240" w:h="15840"/>
      <w:pgMar w:top="1360" w:bottom="280" w:left="12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Times New Roman" w:hAnsi="Times New Roman" w:eastAsia="Times New Roman" w:cs="Times New Roman"/>
        <w:spacing w:val="-29"/>
        <w:w w:val="99"/>
        <w:sz w:val="24"/>
        <w:szCs w:val="24"/>
      </w:rPr>
    </w:lvl>
    <w:lvl w:ilvl="1">
      <w:start w:val="1"/>
      <w:numFmt w:val="lowerLetter"/>
      <w:lvlText w:val="%2."/>
      <w:lvlJc w:val="left"/>
      <w:pPr>
        <w:ind w:left="23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215" w:hanging="720"/>
      </w:pPr>
      <w:rPr>
        <w:rFonts w:hint="default"/>
      </w:rPr>
    </w:lvl>
    <w:lvl w:ilvl="3">
      <w:start w:val="0"/>
      <w:numFmt w:val="bullet"/>
      <w:lvlText w:val="•"/>
      <w:lvlJc w:val="left"/>
      <w:pPr>
        <w:ind w:left="4051" w:hanging="720"/>
      </w:pPr>
      <w:rPr>
        <w:rFonts w:hint="default"/>
      </w:rPr>
    </w:lvl>
    <w:lvl w:ilvl="4">
      <w:start w:val="0"/>
      <w:numFmt w:val="bullet"/>
      <w:lvlText w:val="•"/>
      <w:lvlJc w:val="left"/>
      <w:pPr>
        <w:ind w:left="4886" w:hanging="720"/>
      </w:pPr>
      <w:rPr>
        <w:rFonts w:hint="default"/>
      </w:rPr>
    </w:lvl>
    <w:lvl w:ilvl="5">
      <w:start w:val="0"/>
      <w:numFmt w:val="bullet"/>
      <w:lvlText w:val="•"/>
      <w:lvlJc w:val="left"/>
      <w:pPr>
        <w:ind w:left="5722" w:hanging="720"/>
      </w:pPr>
      <w:rPr>
        <w:rFonts w:hint="default"/>
      </w:rPr>
    </w:lvl>
    <w:lvl w:ilvl="6">
      <w:start w:val="0"/>
      <w:numFmt w:val="bullet"/>
      <w:lvlText w:val="•"/>
      <w:lvlJc w:val="left"/>
      <w:pPr>
        <w:ind w:left="6557" w:hanging="720"/>
      </w:pPr>
      <w:rPr>
        <w:rFonts w:hint="default"/>
      </w:rPr>
    </w:lvl>
    <w:lvl w:ilvl="7">
      <w:start w:val="0"/>
      <w:numFmt w:val="bullet"/>
      <w:lvlText w:val="•"/>
      <w:lvlJc w:val="left"/>
      <w:pPr>
        <w:ind w:left="7393" w:hanging="720"/>
      </w:pPr>
      <w:rPr>
        <w:rFonts w:hint="default"/>
      </w:rPr>
    </w:lvl>
    <w:lvl w:ilvl="8">
      <w:start w:val="0"/>
      <w:numFmt w:val="bullet"/>
      <w:lvlText w:val="•"/>
      <w:lvlJc w:val="left"/>
      <w:pPr>
        <w:ind w:left="82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380" w:right="317" w:hanging="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2019-03-20T18:07:41Z</dcterms:created>
  <dcterms:modified xsi:type="dcterms:W3CDTF">2019-03-20T18:07:41Z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2019-03-20T00:00:00Z</vt:filetime>
  </property>
</Properties>
</file>