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3420"/>
      </w:tblGrid>
      <w:tr>
        <w:trPr>
          <w:trHeight w:val="1323" w:hRule="atLeast"/>
        </w:trPr>
        <w:tc>
          <w:tcPr>
            <w:tcW w:w="5956" w:type="dxa"/>
          </w:tcPr>
          <w:p>
            <w:pPr>
              <w:pStyle w:val="TableParagraph"/>
              <w:spacing w:line="306" w:lineRule="exact"/>
              <w:ind w:left="107"/>
              <w:rPr>
                <w:sz w:val="28"/>
              </w:rPr>
            </w:pPr>
            <w:r>
              <w:rPr>
                <w:sz w:val="28"/>
              </w:rPr>
              <w:t>DISTRICT COURT</w:t>
            </w:r>
          </w:p>
          <w:p>
            <w:pPr>
              <w:pStyle w:val="TableParagraph"/>
              <w:spacing w:line="252" w:lineRule="auto" w:before="16"/>
              <w:ind w:left="107" w:right="1178"/>
              <w:rPr>
                <w:sz w:val="28"/>
              </w:rPr>
            </w:pPr>
            <w:r>
              <w:rPr>
                <w:sz w:val="28"/>
              </w:rPr>
              <w:t>JEFFERSON COUNTY, COLORADO 100 JEFFERSON COUNTY PARKWAY</w:t>
            </w:r>
          </w:p>
          <w:p>
            <w:pPr>
              <w:pStyle w:val="TableParagraph"/>
              <w:spacing w:line="315" w:lineRule="exact"/>
              <w:ind w:left="107"/>
              <w:rPr>
                <w:sz w:val="28"/>
              </w:rPr>
            </w:pPr>
            <w:r>
              <w:rPr>
                <w:sz w:val="28"/>
              </w:rPr>
              <w:t>GOLDEN, COLORADO 80401</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18"/>
              </w:rPr>
            </w:pPr>
          </w:p>
          <w:p>
            <w:pPr>
              <w:pStyle w:val="TableParagraph"/>
              <w:spacing w:line="225" w:lineRule="auto"/>
              <w:ind w:left="143"/>
              <w:rPr>
                <w:rFonts w:ascii="Times New Roman"/>
                <w:sz w:val="20"/>
              </w:rPr>
            </w:pPr>
            <w:r>
              <w:rPr>
                <w:rFonts w:ascii="Times New Roman"/>
                <w:color w:val="0000FF"/>
                <w:sz w:val="20"/>
              </w:rPr>
              <w:t>DATE FILED: July 20, 2017 5:21 </w:t>
            </w:r>
            <w:r>
              <w:rPr>
                <w:rFonts w:ascii="Times New Roman"/>
                <w:color w:val="0000FF"/>
                <w:spacing w:val="-7"/>
                <w:sz w:val="20"/>
              </w:rPr>
              <w:t>PM </w:t>
            </w:r>
            <w:r>
              <w:rPr>
                <w:rFonts w:ascii="Times New Roman"/>
                <w:color w:val="0000FF"/>
                <w:sz w:val="20"/>
              </w:rPr>
              <w:t>FILING ID:</w:t>
            </w:r>
            <w:r>
              <w:rPr>
                <w:rFonts w:ascii="Times New Roman"/>
                <w:color w:val="0000FF"/>
                <w:spacing w:val="13"/>
                <w:sz w:val="20"/>
              </w:rPr>
              <w:t> </w:t>
            </w:r>
            <w:r>
              <w:rPr>
                <w:rFonts w:ascii="Times New Roman"/>
                <w:color w:val="0000FF"/>
                <w:sz w:val="20"/>
              </w:rPr>
              <w:t>5DBBF67C36E06</w:t>
            </w:r>
          </w:p>
          <w:p>
            <w:pPr>
              <w:pStyle w:val="TableParagraph"/>
              <w:spacing w:line="218" w:lineRule="exact"/>
              <w:ind w:left="143"/>
              <w:rPr>
                <w:rFonts w:ascii="Times New Roman"/>
                <w:sz w:val="20"/>
              </w:rPr>
            </w:pPr>
            <w:r>
              <w:rPr>
                <w:rFonts w:ascii="Times New Roman"/>
                <w:color w:val="0000FF"/>
                <w:sz w:val="20"/>
              </w:rPr>
              <w:t>CASE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7"/>
              </w:rPr>
            </w:pPr>
          </w:p>
          <w:p>
            <w:pPr>
              <w:pStyle w:val="TableParagraph"/>
              <w:ind w:left="281"/>
              <w:rPr>
                <w:rFonts w:ascii="Symbol" w:hAnsi="Symbol"/>
                <w:sz w:val="28"/>
              </w:rPr>
            </w:pPr>
            <w:r>
              <w:rPr>
                <w:rFonts w:ascii="Symbol" w:hAnsi="Symbol"/>
                <w:sz w:val="28"/>
              </w:rPr>
              <w:t></w:t>
            </w:r>
            <w:r>
              <w:rPr>
                <w:rFonts w:ascii="Times New Roman" w:hAnsi="Times New Roman"/>
                <w:sz w:val="28"/>
              </w:rPr>
              <w:t> </w:t>
            </w:r>
            <w:r>
              <w:rPr>
                <w:sz w:val="28"/>
              </w:rPr>
              <w:t>COURT USE ONLY </w:t>
            </w:r>
            <w:r>
              <w:rPr>
                <w:rFonts w:ascii="Symbol" w:hAnsi="Symbol"/>
                <w:sz w:val="28"/>
              </w:rPr>
              <w:t></w:t>
            </w:r>
          </w:p>
        </w:tc>
      </w:tr>
      <w:tr>
        <w:trPr>
          <w:trHeight w:val="2976" w:hRule="atLeast"/>
        </w:trPr>
        <w:tc>
          <w:tcPr>
            <w:tcW w:w="5956" w:type="dxa"/>
          </w:tcPr>
          <w:p>
            <w:pPr>
              <w:pStyle w:val="TableParagraph"/>
              <w:spacing w:line="252" w:lineRule="auto"/>
              <w:ind w:left="107" w:right="1364"/>
              <w:rPr>
                <w:b/>
                <w:sz w:val="28"/>
              </w:rPr>
            </w:pPr>
            <w:r>
              <w:rPr>
                <w:b/>
                <w:sz w:val="28"/>
              </w:rPr>
              <w:t>THE PEOPLE OF THE STATE OF COLORADO</w:t>
            </w:r>
          </w:p>
          <w:p>
            <w:pPr>
              <w:pStyle w:val="TableParagraph"/>
              <w:spacing w:line="504" w:lineRule="auto"/>
              <w:ind w:left="107" w:right="4782"/>
              <w:rPr>
                <w:sz w:val="28"/>
              </w:rPr>
            </w:pPr>
            <w:r>
              <w:rPr>
                <w:w w:val="95"/>
                <w:sz w:val="28"/>
              </w:rPr>
              <w:t>Plaintiff, </w:t>
            </w:r>
            <w:r>
              <w:rPr>
                <w:sz w:val="28"/>
              </w:rPr>
              <w:t>v.</w:t>
            </w:r>
          </w:p>
          <w:p>
            <w:pPr>
              <w:pStyle w:val="TableParagraph"/>
              <w:ind w:left="107"/>
              <w:rPr>
                <w:sz w:val="28"/>
              </w:rPr>
            </w:pPr>
            <w:r>
              <w:rPr>
                <w:b/>
                <w:sz w:val="28"/>
              </w:rPr>
              <w:t>GARY NICKAL</w:t>
            </w:r>
            <w:r>
              <w:rPr>
                <w:sz w:val="28"/>
              </w:rPr>
              <w:t>,</w:t>
            </w:r>
          </w:p>
          <w:p>
            <w:pPr>
              <w:pStyle w:val="TableParagraph"/>
              <w:spacing w:before="6"/>
              <w:ind w:left="107"/>
              <w:rPr>
                <w:sz w:val="28"/>
              </w:rPr>
            </w:pPr>
            <w:r>
              <w:rPr>
                <w:sz w:val="28"/>
              </w:rPr>
              <w:t>Accused.</w:t>
            </w:r>
          </w:p>
        </w:tc>
        <w:tc>
          <w:tcPr>
            <w:tcW w:w="3420" w:type="dxa"/>
            <w:vMerge/>
            <w:tcBorders>
              <w:top w:val="nil"/>
            </w:tcBorders>
          </w:tcPr>
          <w:p>
            <w:pPr>
              <w:rPr>
                <w:sz w:val="2"/>
                <w:szCs w:val="2"/>
              </w:rPr>
            </w:pPr>
          </w:p>
        </w:tc>
      </w:tr>
      <w:tr>
        <w:trPr>
          <w:trHeight w:val="5062" w:hRule="atLeast"/>
        </w:trPr>
        <w:tc>
          <w:tcPr>
            <w:tcW w:w="5956" w:type="dxa"/>
          </w:tcPr>
          <w:p>
            <w:pPr>
              <w:pStyle w:val="TableParagraph"/>
              <w:spacing w:line="306" w:lineRule="exact"/>
              <w:ind w:left="107"/>
              <w:rPr>
                <w:sz w:val="28"/>
              </w:rPr>
            </w:pPr>
            <w:r>
              <w:rPr>
                <w:sz w:val="28"/>
              </w:rPr>
              <w:t>M</w:t>
            </w:r>
            <w:r>
              <w:rPr>
                <w:sz w:val="22"/>
              </w:rPr>
              <w:t>ULLIGAN </w:t>
            </w:r>
            <w:r>
              <w:rPr>
                <w:sz w:val="28"/>
              </w:rPr>
              <w:t>B</w:t>
            </w:r>
            <w:r>
              <w:rPr>
                <w:sz w:val="22"/>
              </w:rPr>
              <w:t>RIET</w:t>
            </w:r>
            <w:r>
              <w:rPr>
                <w:sz w:val="28"/>
              </w:rPr>
              <w:t>, LLC</w:t>
            </w:r>
          </w:p>
          <w:p>
            <w:pPr>
              <w:pStyle w:val="TableParagraph"/>
              <w:spacing w:before="16"/>
              <w:ind w:left="107"/>
              <w:rPr>
                <w:sz w:val="28"/>
              </w:rPr>
            </w:pPr>
            <w:r>
              <w:rPr>
                <w:sz w:val="28"/>
              </w:rPr>
              <w:t>Patrick Mulligan, #16981</w:t>
            </w:r>
          </w:p>
          <w:p>
            <w:pPr>
              <w:pStyle w:val="TableParagraph"/>
              <w:spacing w:before="15"/>
              <w:ind w:left="107"/>
              <w:rPr>
                <w:sz w:val="28"/>
              </w:rPr>
            </w:pPr>
            <w:r>
              <w:rPr>
                <w:sz w:val="28"/>
              </w:rPr>
              <w:t>1801 Broadway, Suite 1203</w:t>
            </w:r>
          </w:p>
          <w:p>
            <w:pPr>
              <w:pStyle w:val="TableParagraph"/>
              <w:spacing w:before="16"/>
              <w:ind w:left="107"/>
              <w:rPr>
                <w:sz w:val="28"/>
              </w:rPr>
            </w:pPr>
            <w:r>
              <w:rPr>
                <w:sz w:val="28"/>
              </w:rPr>
              <w:t>Denver, CO 80202</w:t>
            </w:r>
          </w:p>
          <w:p>
            <w:pPr>
              <w:pStyle w:val="TableParagraph"/>
              <w:spacing w:line="252" w:lineRule="auto" w:before="15"/>
              <w:ind w:left="107" w:right="3395" w:hanging="1"/>
              <w:rPr>
                <w:sz w:val="28"/>
              </w:rPr>
            </w:pPr>
            <w:r>
              <w:rPr>
                <w:sz w:val="28"/>
              </w:rPr>
              <w:t>P</w:t>
            </w:r>
            <w:r>
              <w:rPr>
                <w:sz w:val="22"/>
              </w:rPr>
              <w:t>H</w:t>
            </w:r>
            <w:r>
              <w:rPr>
                <w:sz w:val="28"/>
              </w:rPr>
              <w:t>. 303-295-1500 F</w:t>
            </w:r>
            <w:r>
              <w:rPr>
                <w:sz w:val="22"/>
              </w:rPr>
              <w:t>AX</w:t>
            </w:r>
            <w:r>
              <w:rPr>
                <w:sz w:val="28"/>
              </w:rPr>
              <w:t>:</w:t>
            </w:r>
          </w:p>
          <w:p>
            <w:pPr>
              <w:pStyle w:val="TableParagraph"/>
              <w:spacing w:before="1"/>
              <w:ind w:left="107"/>
              <w:rPr>
                <w:sz w:val="28"/>
              </w:rPr>
            </w:pPr>
            <w:r>
              <w:rPr>
                <w:sz w:val="28"/>
              </w:rPr>
              <w:t>E</w:t>
            </w:r>
            <w:r>
              <w:rPr>
                <w:sz w:val="22"/>
              </w:rPr>
              <w:t>MAIL</w:t>
            </w:r>
            <w:r>
              <w:rPr>
                <w:sz w:val="28"/>
              </w:rPr>
              <w:t>: </w:t>
            </w:r>
            <w:hyperlink r:id="rId6">
              <w:r>
                <w:rPr>
                  <w:color w:val="0000FF"/>
                  <w:sz w:val="28"/>
                  <w:u w:val="single" w:color="0000FF"/>
                </w:rPr>
                <w:t>Patrick@MulliganBriet.com</w:t>
              </w:r>
            </w:hyperlink>
          </w:p>
          <w:p>
            <w:pPr>
              <w:pStyle w:val="TableParagraph"/>
              <w:spacing w:before="105"/>
              <w:ind w:left="107" w:right="1362"/>
              <w:rPr>
                <w:sz w:val="28"/>
              </w:rPr>
            </w:pPr>
            <w:r>
              <w:rPr>
                <w:sz w:val="28"/>
              </w:rPr>
              <w:t>THE LAW OFFICE OF JENNIFER E. LONGTIN, LLC</w:t>
            </w:r>
          </w:p>
          <w:p>
            <w:pPr>
              <w:pStyle w:val="TableParagraph"/>
              <w:ind w:left="107" w:right="2739"/>
              <w:rPr>
                <w:sz w:val="28"/>
              </w:rPr>
            </w:pPr>
            <w:r>
              <w:rPr>
                <w:sz w:val="28"/>
              </w:rPr>
              <w:t>Jennifer E. Longtin, #43509 2401 S. Downing St.</w:t>
            </w:r>
          </w:p>
          <w:p>
            <w:pPr>
              <w:pStyle w:val="TableParagraph"/>
              <w:spacing w:line="270" w:lineRule="exact"/>
              <w:ind w:left="107"/>
              <w:rPr>
                <w:sz w:val="28"/>
              </w:rPr>
            </w:pPr>
            <w:r>
              <w:rPr>
                <w:sz w:val="28"/>
              </w:rPr>
              <w:t>Denver, CO 80201</w:t>
            </w:r>
          </w:p>
          <w:p>
            <w:pPr>
              <w:pStyle w:val="TableParagraph"/>
              <w:spacing w:line="269" w:lineRule="exact"/>
              <w:ind w:left="107"/>
              <w:rPr>
                <w:sz w:val="28"/>
              </w:rPr>
            </w:pPr>
            <w:r>
              <w:rPr>
                <w:sz w:val="28"/>
              </w:rPr>
              <w:t>Ph. 303.747.6898</w:t>
            </w:r>
          </w:p>
          <w:p>
            <w:pPr>
              <w:pStyle w:val="TableParagraph"/>
              <w:spacing w:line="269" w:lineRule="exact"/>
              <w:ind w:left="107"/>
              <w:rPr>
                <w:sz w:val="28"/>
              </w:rPr>
            </w:pPr>
            <w:r>
              <w:rPr>
                <w:sz w:val="28"/>
              </w:rPr>
              <w:t>Fax. 800.243.2691</w:t>
            </w:r>
          </w:p>
          <w:p>
            <w:pPr>
              <w:pStyle w:val="TableParagraph"/>
              <w:spacing w:line="292" w:lineRule="exact"/>
              <w:ind w:left="107"/>
              <w:rPr>
                <w:sz w:val="28"/>
              </w:rPr>
            </w:pPr>
            <w:hyperlink r:id="rId7">
              <w:r>
                <w:rPr>
                  <w:sz w:val="28"/>
                </w:rPr>
                <w:t>Jen@jlongtinlaw.com</w:t>
              </w:r>
            </w:hyperlink>
          </w:p>
        </w:tc>
        <w:tc>
          <w:tcPr>
            <w:tcW w:w="3420" w:type="dxa"/>
          </w:tcPr>
          <w:p>
            <w:pPr>
              <w:pStyle w:val="TableParagraph"/>
              <w:rPr>
                <w:rFonts w:ascii="Times New Roman"/>
                <w:sz w:val="30"/>
              </w:rPr>
            </w:pPr>
          </w:p>
          <w:p>
            <w:pPr>
              <w:pStyle w:val="TableParagraph"/>
              <w:spacing w:before="8"/>
              <w:rPr>
                <w:rFonts w:ascii="Times New Roman"/>
                <w:sz w:val="26"/>
              </w:rPr>
            </w:pPr>
          </w:p>
          <w:p>
            <w:pPr>
              <w:pStyle w:val="TableParagraph"/>
              <w:ind w:left="107"/>
              <w:rPr>
                <w:sz w:val="28"/>
              </w:rPr>
            </w:pPr>
            <w:r>
              <w:rPr>
                <w:sz w:val="28"/>
              </w:rPr>
              <w:t>Case No. 16CR001463</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233"/>
              <w:ind w:left="107"/>
              <w:rPr>
                <w:sz w:val="28"/>
              </w:rPr>
            </w:pPr>
            <w:r>
              <w:rPr>
                <w:sz w:val="28"/>
              </w:rPr>
              <w:t>Division: 12</w:t>
            </w:r>
          </w:p>
        </w:tc>
      </w:tr>
      <w:tr>
        <w:trPr>
          <w:trHeight w:val="661" w:hRule="atLeast"/>
        </w:trPr>
        <w:tc>
          <w:tcPr>
            <w:tcW w:w="9376" w:type="dxa"/>
            <w:gridSpan w:val="2"/>
          </w:tcPr>
          <w:p>
            <w:pPr>
              <w:pStyle w:val="TableParagraph"/>
              <w:spacing w:line="244" w:lineRule="auto"/>
              <w:ind w:left="634" w:right="553" w:firstLine="82"/>
              <w:rPr>
                <w:b/>
                <w:i/>
                <w:sz w:val="29"/>
              </w:rPr>
            </w:pPr>
            <w:r>
              <w:rPr>
                <w:b/>
                <w:sz w:val="28"/>
              </w:rPr>
              <w:t>REQUEST TO PRECLUDE JUDICIAL REHABILITATION OF CONSTITUTIONALLY INFIRM JURORS DURING </w:t>
            </w:r>
            <w:r>
              <w:rPr>
                <w:b/>
                <w:i/>
                <w:sz w:val="29"/>
              </w:rPr>
              <w:t>VOIR DIRE</w:t>
            </w:r>
          </w:p>
        </w:tc>
      </w:tr>
    </w:tbl>
    <w:p>
      <w:pPr>
        <w:pStyle w:val="BodyText"/>
        <w:spacing w:before="11"/>
        <w:rPr>
          <w:rFonts w:ascii="Times New Roman"/>
          <w:sz w:val="7"/>
        </w:rPr>
      </w:pPr>
    </w:p>
    <w:p>
      <w:pPr>
        <w:pStyle w:val="BodyText"/>
        <w:spacing w:line="480" w:lineRule="auto" w:before="100"/>
        <w:ind w:left="380" w:right="117" w:firstLine="789"/>
        <w:jc w:val="both"/>
      </w:pPr>
      <w:r>
        <w:rPr/>
        <w:t>Mr. Nickal, by and through counsel, requests that this Court limit its questions during counsel’s </w:t>
      </w:r>
      <w:r>
        <w:rPr>
          <w:i/>
        </w:rPr>
        <w:t>voir dire </w:t>
      </w:r>
      <w:r>
        <w:rPr/>
        <w:t>to non-leading and investigative questions, rather than those questions rehabilitative in nature. The grounds for this request are as follows:</w:t>
      </w:r>
    </w:p>
    <w:p>
      <w:pPr>
        <w:pStyle w:val="Heading1"/>
        <w:rPr>
          <w:u w:val="none"/>
        </w:rPr>
      </w:pPr>
      <w:r>
        <w:rPr>
          <w:u w:val="none"/>
        </w:rPr>
        <w:t>LAW</w:t>
      </w:r>
    </w:p>
    <w:p>
      <w:pPr>
        <w:spacing w:after="0"/>
        <w:sectPr>
          <w:footerReference w:type="default" r:id="rId5"/>
          <w:type w:val="continuous"/>
          <w:pgSz w:w="12240" w:h="15840"/>
          <w:pgMar w:footer="788" w:top="1360" w:bottom="980" w:left="1060" w:right="1320"/>
          <w:pgNumType w:start="1"/>
        </w:sectPr>
      </w:pPr>
    </w:p>
    <w:p>
      <w:pPr>
        <w:pStyle w:val="ListParagraph"/>
        <w:numPr>
          <w:ilvl w:val="0"/>
          <w:numId w:val="1"/>
        </w:numPr>
        <w:tabs>
          <w:tab w:pos="1820" w:val="left" w:leader="none"/>
        </w:tabs>
        <w:spacing w:line="480" w:lineRule="auto" w:before="80" w:after="0"/>
        <w:ind w:left="380" w:right="117" w:firstLine="720"/>
        <w:jc w:val="both"/>
        <w:rPr>
          <w:sz w:val="28"/>
        </w:rPr>
      </w:pPr>
      <w:r>
        <w:rPr>
          <w:sz w:val="28"/>
        </w:rPr>
        <w:t>One of the goals of </w:t>
      </w:r>
      <w:r>
        <w:rPr>
          <w:i/>
          <w:sz w:val="28"/>
        </w:rPr>
        <w:t>voir dire </w:t>
      </w:r>
      <w:r>
        <w:rPr>
          <w:sz w:val="28"/>
        </w:rPr>
        <w:t>is to identify those jurors who should be excused for cause because of actual bias. </w:t>
      </w:r>
      <w:r>
        <w:rPr>
          <w:i/>
          <w:sz w:val="28"/>
        </w:rPr>
        <w:t>See, e.g., People v. Martinez</w:t>
      </w:r>
      <w:r>
        <w:rPr>
          <w:sz w:val="28"/>
        </w:rPr>
        <w:t>, 24 P.3d 639, 632 (Colo. App. 2000). Specially concurring in </w:t>
      </w:r>
      <w:r>
        <w:rPr>
          <w:i/>
          <w:sz w:val="28"/>
        </w:rPr>
        <w:t>People v. Merrow</w:t>
      </w:r>
      <w:r>
        <w:rPr>
          <w:sz w:val="28"/>
        </w:rPr>
        <w:t>, 181 P.3d 319 (Colo. App. 2007), Judge Webb observed that judicial rehabilitation following a challenge for cause runs the risk of frustrating this</w:t>
      </w:r>
      <w:r>
        <w:rPr>
          <w:spacing w:val="-5"/>
          <w:sz w:val="28"/>
        </w:rPr>
        <w:t> </w:t>
      </w:r>
      <w:r>
        <w:rPr>
          <w:sz w:val="28"/>
        </w:rPr>
        <w:t>goal.</w:t>
      </w:r>
    </w:p>
    <w:p>
      <w:pPr>
        <w:pStyle w:val="ListParagraph"/>
        <w:numPr>
          <w:ilvl w:val="0"/>
          <w:numId w:val="1"/>
        </w:numPr>
        <w:tabs>
          <w:tab w:pos="1820" w:val="left" w:leader="none"/>
        </w:tabs>
        <w:spacing w:line="480" w:lineRule="auto" w:before="0" w:after="0"/>
        <w:ind w:left="380" w:right="118" w:firstLine="720"/>
        <w:jc w:val="both"/>
        <w:rPr>
          <w:sz w:val="28"/>
        </w:rPr>
      </w:pPr>
      <w:r>
        <w:rPr>
          <w:sz w:val="28"/>
        </w:rPr>
        <w:t>Judge Webb identified leading questions from the trial court as one of the causes for this</w:t>
      </w:r>
      <w:r>
        <w:rPr>
          <w:spacing w:val="-1"/>
          <w:sz w:val="28"/>
        </w:rPr>
        <w:t> </w:t>
      </w:r>
      <w:r>
        <w:rPr>
          <w:sz w:val="28"/>
        </w:rPr>
        <w:t>information:</w:t>
      </w:r>
    </w:p>
    <w:p>
      <w:pPr>
        <w:pStyle w:val="BodyText"/>
        <w:ind w:left="1819" w:right="1557"/>
        <w:jc w:val="both"/>
      </w:pPr>
      <w:r>
        <w:rPr/>
        <w:t>A record laden with leading questions by the trial court can leave the reviewing court uncertain about the sincerity of the prospective juror’s answers. The answers to such questions may suggest overt acquiesce in the trial court’s efforts to elicit a commitment to neutrality. But bias remains if the prospective juror tells the court only what it wants to hear, while covertly holding on the previously articulated views that precipitated the</w:t>
      </w:r>
      <w:r>
        <w:rPr>
          <w:spacing w:val="-5"/>
        </w:rPr>
        <w:t> </w:t>
      </w:r>
      <w:r>
        <w:rPr/>
        <w:t>challenge.</w:t>
      </w:r>
    </w:p>
    <w:p>
      <w:pPr>
        <w:pStyle w:val="BodyText"/>
        <w:spacing w:before="11"/>
        <w:rPr>
          <w:sz w:val="27"/>
        </w:rPr>
      </w:pPr>
    </w:p>
    <w:p>
      <w:pPr>
        <w:spacing w:before="0"/>
        <w:ind w:left="379" w:right="0" w:firstLine="0"/>
        <w:jc w:val="left"/>
        <w:rPr>
          <w:sz w:val="28"/>
        </w:rPr>
      </w:pPr>
      <w:r>
        <w:rPr>
          <w:i/>
          <w:sz w:val="28"/>
        </w:rPr>
        <w:t>Id. </w:t>
      </w:r>
      <w:r>
        <w:rPr>
          <w:sz w:val="28"/>
        </w:rPr>
        <w:t>at 323.</w:t>
      </w:r>
    </w:p>
    <w:p>
      <w:pPr>
        <w:pStyle w:val="BodyText"/>
      </w:pPr>
    </w:p>
    <w:p>
      <w:pPr>
        <w:pStyle w:val="ListParagraph"/>
        <w:numPr>
          <w:ilvl w:val="0"/>
          <w:numId w:val="1"/>
        </w:numPr>
        <w:tabs>
          <w:tab w:pos="1820" w:val="left" w:leader="none"/>
        </w:tabs>
        <w:spacing w:line="480" w:lineRule="auto" w:before="0" w:after="0"/>
        <w:ind w:left="379" w:right="117" w:firstLine="720"/>
        <w:jc w:val="both"/>
        <w:rPr>
          <w:sz w:val="28"/>
        </w:rPr>
      </w:pPr>
      <w:r>
        <w:rPr>
          <w:sz w:val="28"/>
        </w:rPr>
        <w:t>Other courts have described the judicial rehabilitation as some variant of the following: “After you hear the evidence and my [instructions] on the law, and considering the oath you take as jurors, can you set aside your preconceptions and decide this case solely on the evidence and the law?” </w:t>
      </w:r>
      <w:r>
        <w:rPr>
          <w:i/>
          <w:sz w:val="28"/>
        </w:rPr>
        <w:t>Walls v. Kim</w:t>
      </w:r>
      <w:r>
        <w:rPr>
          <w:sz w:val="28"/>
        </w:rPr>
        <w:t>, 549 S.E.2d 797 (Ga. App.</w:t>
      </w:r>
      <w:r>
        <w:rPr>
          <w:spacing w:val="-2"/>
          <w:sz w:val="28"/>
        </w:rPr>
        <w:t> </w:t>
      </w:r>
      <w:r>
        <w:rPr>
          <w:sz w:val="28"/>
        </w:rPr>
        <w:t>2001).</w:t>
      </w:r>
    </w:p>
    <w:p>
      <w:pPr>
        <w:pStyle w:val="ListParagraph"/>
        <w:numPr>
          <w:ilvl w:val="0"/>
          <w:numId w:val="1"/>
        </w:numPr>
        <w:tabs>
          <w:tab w:pos="1820" w:val="left" w:leader="none"/>
        </w:tabs>
        <w:spacing w:line="480" w:lineRule="auto" w:before="0" w:after="0"/>
        <w:ind w:left="379" w:right="119" w:firstLine="720"/>
        <w:jc w:val="both"/>
        <w:rPr>
          <w:sz w:val="28"/>
        </w:rPr>
      </w:pPr>
      <w:r>
        <w:rPr>
          <w:sz w:val="28"/>
        </w:rPr>
        <w:t>This sort of question is “talismanic,” “loaded” and “the magic question.” </w:t>
      </w:r>
      <w:r>
        <w:rPr>
          <w:i/>
          <w:sz w:val="28"/>
        </w:rPr>
        <w:t>Id</w:t>
      </w:r>
      <w:r>
        <w:rPr>
          <w:sz w:val="28"/>
        </w:rPr>
        <w:t>. Courts recognize that jurors are likely to try to “please” the judge and give the rather</w:t>
      </w:r>
      <w:r>
        <w:rPr>
          <w:spacing w:val="30"/>
          <w:sz w:val="28"/>
        </w:rPr>
        <w:t> </w:t>
      </w:r>
      <w:r>
        <w:rPr>
          <w:sz w:val="28"/>
        </w:rPr>
        <w:t>obvious</w:t>
      </w:r>
      <w:r>
        <w:rPr>
          <w:spacing w:val="30"/>
          <w:sz w:val="28"/>
        </w:rPr>
        <w:t> </w:t>
      </w:r>
      <w:r>
        <w:rPr>
          <w:sz w:val="28"/>
        </w:rPr>
        <w:t>answer</w:t>
      </w:r>
      <w:r>
        <w:rPr>
          <w:spacing w:val="30"/>
          <w:sz w:val="28"/>
        </w:rPr>
        <w:t> </w:t>
      </w:r>
      <w:r>
        <w:rPr>
          <w:sz w:val="28"/>
        </w:rPr>
        <w:t>indicated</w:t>
      </w:r>
      <w:r>
        <w:rPr>
          <w:spacing w:val="31"/>
          <w:sz w:val="28"/>
        </w:rPr>
        <w:t> </w:t>
      </w:r>
      <w:r>
        <w:rPr>
          <w:sz w:val="28"/>
        </w:rPr>
        <w:t>by</w:t>
      </w:r>
      <w:r>
        <w:rPr>
          <w:spacing w:val="30"/>
          <w:sz w:val="28"/>
        </w:rPr>
        <w:t> </w:t>
      </w:r>
      <w:r>
        <w:rPr>
          <w:sz w:val="28"/>
        </w:rPr>
        <w:t>the</w:t>
      </w:r>
      <w:r>
        <w:rPr>
          <w:spacing w:val="30"/>
          <w:sz w:val="28"/>
        </w:rPr>
        <w:t> </w:t>
      </w:r>
      <w:r>
        <w:rPr>
          <w:sz w:val="28"/>
        </w:rPr>
        <w:t>leading</w:t>
      </w:r>
      <w:r>
        <w:rPr>
          <w:spacing w:val="29"/>
          <w:sz w:val="28"/>
        </w:rPr>
        <w:t> </w:t>
      </w:r>
      <w:r>
        <w:rPr>
          <w:sz w:val="28"/>
        </w:rPr>
        <w:t>questions[.]”</w:t>
      </w:r>
      <w:r>
        <w:rPr>
          <w:spacing w:val="30"/>
          <w:sz w:val="28"/>
        </w:rPr>
        <w:t> </w:t>
      </w:r>
      <w:r>
        <w:rPr>
          <w:i/>
          <w:sz w:val="28"/>
        </w:rPr>
        <w:t>Price</w:t>
      </w:r>
      <w:r>
        <w:rPr>
          <w:i/>
          <w:spacing w:val="30"/>
          <w:sz w:val="28"/>
        </w:rPr>
        <w:t> </w:t>
      </w:r>
      <w:r>
        <w:rPr>
          <w:i/>
          <w:sz w:val="28"/>
        </w:rPr>
        <w:t>v.</w:t>
      </w:r>
      <w:r>
        <w:rPr>
          <w:i/>
          <w:spacing w:val="30"/>
          <w:sz w:val="28"/>
        </w:rPr>
        <w:t> </w:t>
      </w:r>
      <w:r>
        <w:rPr>
          <w:i/>
          <w:sz w:val="28"/>
        </w:rPr>
        <w:t>State</w:t>
      </w:r>
      <w:r>
        <w:rPr>
          <w:sz w:val="28"/>
        </w:rPr>
        <w:t>,</w:t>
      </w:r>
      <w:r>
        <w:rPr>
          <w:spacing w:val="31"/>
          <w:sz w:val="28"/>
        </w:rPr>
        <w:t> </w:t>
      </w:r>
      <w:r>
        <w:rPr>
          <w:sz w:val="28"/>
        </w:rPr>
        <w:t>538</w:t>
      </w:r>
      <w:r>
        <w:rPr>
          <w:spacing w:val="30"/>
          <w:sz w:val="28"/>
        </w:rPr>
        <w:t> </w:t>
      </w:r>
      <w:r>
        <w:rPr>
          <w:sz w:val="28"/>
        </w:rPr>
        <w:t>So.2d</w:t>
      </w:r>
    </w:p>
    <w:p>
      <w:pPr>
        <w:spacing w:after="0" w:line="480" w:lineRule="auto"/>
        <w:jc w:val="both"/>
        <w:rPr>
          <w:sz w:val="28"/>
        </w:rPr>
        <w:sectPr>
          <w:pgSz w:w="12240" w:h="15840"/>
          <w:pgMar w:header="0" w:footer="788" w:top="1360" w:bottom="980" w:left="1060" w:right="1320"/>
        </w:sectPr>
      </w:pPr>
    </w:p>
    <w:p>
      <w:pPr>
        <w:pStyle w:val="BodyText"/>
        <w:spacing w:line="480" w:lineRule="auto" w:before="100"/>
        <w:ind w:left="379" w:right="116"/>
        <w:jc w:val="both"/>
      </w:pPr>
      <w:r>
        <w:rPr/>
        <w:t>468, 489 (Fl. DCA 3</w:t>
      </w:r>
      <w:r>
        <w:rPr>
          <w:vertAlign w:val="superscript"/>
        </w:rPr>
        <w:t>rd</w:t>
      </w:r>
      <w:r>
        <w:rPr>
          <w:vertAlign w:val="baseline"/>
        </w:rPr>
        <w:t> 1989). As a result, these answers alone must never determine the juror’s actual ability to be fair and impartial. </w:t>
      </w:r>
      <w:r>
        <w:rPr>
          <w:i/>
          <w:vertAlign w:val="baseline"/>
        </w:rPr>
        <w:t>Id.; See also O’Dell v. Miller</w:t>
      </w:r>
      <w:r>
        <w:rPr>
          <w:vertAlign w:val="baseline"/>
        </w:rPr>
        <w:t>, 565 S.E.2d 407 (W.Va.</w:t>
      </w:r>
      <w:r>
        <w:rPr>
          <w:spacing w:val="-2"/>
          <w:vertAlign w:val="baseline"/>
        </w:rPr>
        <w:t> </w:t>
      </w:r>
      <w:r>
        <w:rPr>
          <w:vertAlign w:val="baseline"/>
        </w:rPr>
        <w:t>2002).</w:t>
      </w:r>
    </w:p>
    <w:p>
      <w:pPr>
        <w:pStyle w:val="ListParagraph"/>
        <w:numPr>
          <w:ilvl w:val="0"/>
          <w:numId w:val="1"/>
        </w:numPr>
        <w:tabs>
          <w:tab w:pos="1820" w:val="left" w:leader="none"/>
        </w:tabs>
        <w:spacing w:line="480" w:lineRule="auto" w:before="0" w:after="0"/>
        <w:ind w:left="379" w:right="117" w:firstLine="720"/>
        <w:jc w:val="both"/>
        <w:rPr>
          <w:sz w:val="28"/>
        </w:rPr>
      </w:pPr>
      <w:r>
        <w:rPr>
          <w:sz w:val="28"/>
        </w:rPr>
        <w:t>Following a challenge for cause, a trial court should never ask questions that seem tailored to rehabilitate the juror. </w:t>
      </w:r>
      <w:r>
        <w:rPr>
          <w:i/>
          <w:sz w:val="28"/>
        </w:rPr>
        <w:t>Beck v. State Dep’t of Transp., </w:t>
      </w:r>
      <w:r>
        <w:rPr>
          <w:sz w:val="28"/>
        </w:rPr>
        <w:t>837 P.2d 105 (Alaska 1992). Instead, the court should ask only those questions that may be necessary to clarify any ambiguity in the juror’s answers. </w:t>
      </w:r>
      <w:r>
        <w:rPr>
          <w:i/>
          <w:sz w:val="28"/>
        </w:rPr>
        <w:t>Id</w:t>
      </w:r>
      <w:r>
        <w:rPr>
          <w:sz w:val="28"/>
        </w:rPr>
        <w:t>.</w:t>
      </w:r>
      <w:r>
        <w:rPr>
          <w:i/>
          <w:sz w:val="28"/>
        </w:rPr>
        <w:t>; see also Merrow, supra </w:t>
      </w:r>
      <w:r>
        <w:rPr>
          <w:sz w:val="28"/>
        </w:rPr>
        <w:t>(WEBB, J., specially</w:t>
      </w:r>
      <w:r>
        <w:rPr>
          <w:spacing w:val="-2"/>
          <w:sz w:val="28"/>
        </w:rPr>
        <w:t> </w:t>
      </w:r>
      <w:r>
        <w:rPr>
          <w:sz w:val="28"/>
        </w:rPr>
        <w:t>concurring).</w:t>
      </w:r>
    </w:p>
    <w:p>
      <w:pPr>
        <w:pStyle w:val="ListParagraph"/>
        <w:numPr>
          <w:ilvl w:val="0"/>
          <w:numId w:val="1"/>
        </w:numPr>
        <w:tabs>
          <w:tab w:pos="1820" w:val="left" w:leader="none"/>
        </w:tabs>
        <w:spacing w:line="480" w:lineRule="auto" w:before="0" w:after="0"/>
        <w:ind w:left="379" w:right="117" w:firstLine="720"/>
        <w:jc w:val="both"/>
        <w:rPr>
          <w:sz w:val="28"/>
        </w:rPr>
      </w:pPr>
      <w:r>
        <w:rPr>
          <w:sz w:val="28"/>
        </w:rPr>
        <w:t>The 10th Circuit emphasized the importance of jurors not only being truthful, but that the court and its officers allow the juror to speak freely and truthfully about potential bias. </w:t>
      </w:r>
      <w:r>
        <w:rPr>
          <w:i/>
          <w:sz w:val="28"/>
        </w:rPr>
        <w:t>Photostat Corp. v. Ball</w:t>
      </w:r>
      <w:r>
        <w:rPr>
          <w:sz w:val="28"/>
        </w:rPr>
        <w:t>, 338 F.2d 783 (10th Cir.</w:t>
      </w:r>
      <w:r>
        <w:rPr>
          <w:spacing w:val="-28"/>
          <w:sz w:val="28"/>
        </w:rPr>
        <w:t> </w:t>
      </w:r>
      <w:r>
        <w:rPr>
          <w:sz w:val="28"/>
        </w:rPr>
        <w:t>1964).</w:t>
      </w:r>
    </w:p>
    <w:p>
      <w:pPr>
        <w:pStyle w:val="BodyText"/>
        <w:ind w:left="1819" w:right="1557"/>
        <w:jc w:val="both"/>
      </w:pPr>
      <w:r>
        <w:rPr/>
        <w:t>Necessarily, it is expected and required that jurors in their answers shall be completely truthful and that they shall disclose, upon a general question, any matters which might tend to disqualify them from sitting on the case for any reason. It therefore becomes imperative that the answers  be truthful and complete. False or misleading answers may result in the seating of a juror who might have been discharged by the Court, challenged for cause by counsel or stricken through the exercise of peremptory challenge. The seating of such a juror could and probably would result in a miscarriage of justice and </w:t>
      </w:r>
      <w:r>
        <w:rPr>
          <w:i/>
        </w:rPr>
        <w:t>therefore courts and attorneys, who are </w:t>
      </w:r>
      <w:r>
        <w:rPr>
          <w:i/>
        </w:rPr>
        <w:t>officials of the court, are ever mindful of the importance of jurors' answers </w:t>
      </w:r>
      <w:r>
        <w:rPr/>
        <w:t>to questions regarding their</w:t>
      </w:r>
      <w:r>
        <w:rPr>
          <w:spacing w:val="-7"/>
        </w:rPr>
        <w:t> </w:t>
      </w:r>
      <w:r>
        <w:rPr/>
        <w:t>qualifications.</w:t>
      </w:r>
    </w:p>
    <w:p>
      <w:pPr>
        <w:pStyle w:val="BodyText"/>
        <w:spacing w:before="10"/>
        <w:rPr>
          <w:sz w:val="27"/>
        </w:rPr>
      </w:pPr>
    </w:p>
    <w:p>
      <w:pPr>
        <w:spacing w:before="0"/>
        <w:ind w:left="379" w:right="0" w:firstLine="0"/>
        <w:jc w:val="left"/>
        <w:rPr>
          <w:i/>
          <w:sz w:val="28"/>
        </w:rPr>
      </w:pPr>
      <w:r>
        <w:rPr>
          <w:i/>
          <w:sz w:val="28"/>
        </w:rPr>
        <w:t>Id. at 786 (emphasis added).</w:t>
      </w:r>
    </w:p>
    <w:p>
      <w:pPr>
        <w:pStyle w:val="BodyText"/>
        <w:spacing w:before="11"/>
        <w:rPr>
          <w:i/>
          <w:sz w:val="27"/>
        </w:rPr>
      </w:pPr>
    </w:p>
    <w:p>
      <w:pPr>
        <w:pStyle w:val="ListParagraph"/>
        <w:numPr>
          <w:ilvl w:val="0"/>
          <w:numId w:val="1"/>
        </w:numPr>
        <w:tabs>
          <w:tab w:pos="1820" w:val="left" w:leader="none"/>
        </w:tabs>
        <w:spacing w:line="480" w:lineRule="auto" w:before="0" w:after="0"/>
        <w:ind w:left="379" w:right="120" w:firstLine="720"/>
        <w:jc w:val="both"/>
        <w:rPr>
          <w:sz w:val="28"/>
        </w:rPr>
      </w:pPr>
      <w:r>
        <w:rPr>
          <w:sz w:val="28"/>
        </w:rPr>
        <w:t>The reasoning against judicial rehabilitation has long been recognized in our legal system. Chief Justice Marshall stated in </w:t>
      </w:r>
      <w:r>
        <w:rPr>
          <w:i/>
          <w:sz w:val="28"/>
        </w:rPr>
        <w:t>United States v.</w:t>
      </w:r>
      <w:r>
        <w:rPr>
          <w:i/>
          <w:spacing w:val="-14"/>
          <w:sz w:val="28"/>
        </w:rPr>
        <w:t> </w:t>
      </w:r>
      <w:r>
        <w:rPr>
          <w:i/>
          <w:sz w:val="28"/>
        </w:rPr>
        <w:t>Burr</w:t>
      </w:r>
      <w:r>
        <w:rPr>
          <w:sz w:val="28"/>
        </w:rPr>
        <w:t>:</w:t>
      </w:r>
    </w:p>
    <w:p>
      <w:pPr>
        <w:spacing w:after="0" w:line="480" w:lineRule="auto"/>
        <w:jc w:val="both"/>
        <w:rPr>
          <w:sz w:val="28"/>
        </w:rPr>
        <w:sectPr>
          <w:pgSz w:w="12240" w:h="15840"/>
          <w:pgMar w:header="0" w:footer="788" w:top="1340" w:bottom="980" w:left="1060" w:right="1320"/>
        </w:sectPr>
      </w:pPr>
    </w:p>
    <w:p>
      <w:pPr>
        <w:pStyle w:val="BodyText"/>
        <w:spacing w:before="80"/>
        <w:ind w:left="2251" w:right="1411"/>
        <w:jc w:val="both"/>
      </w:pPr>
      <w:r>
        <w:rPr/>
        <w:t>Why do personal prejudices constitute a just cause of challenge? Solely because the individual who is under their influence is presumed to have a bias on his mind which will prevent an impartial decision of the case, according to the testimony. He may declare that notwithstanding these prejudices he is determined to listen to the evidence, and be governed by it, but the law will not trust him… He will listen with more favor to that testimony which confirms, than to that which would change his</w:t>
      </w:r>
      <w:r>
        <w:rPr>
          <w:spacing w:val="-2"/>
        </w:rPr>
        <w:t> </w:t>
      </w:r>
      <w:r>
        <w:rPr/>
        <w:t>opinion[.]</w:t>
      </w:r>
    </w:p>
    <w:p>
      <w:pPr>
        <w:pStyle w:val="BodyText"/>
      </w:pPr>
    </w:p>
    <w:p>
      <w:pPr>
        <w:spacing w:before="0"/>
        <w:ind w:left="380" w:right="0" w:firstLine="0"/>
        <w:jc w:val="left"/>
        <w:rPr>
          <w:sz w:val="28"/>
        </w:rPr>
      </w:pPr>
      <w:r>
        <w:rPr>
          <w:i/>
          <w:sz w:val="28"/>
        </w:rPr>
        <w:t>U.S. v. Burr</w:t>
      </w:r>
      <w:r>
        <w:rPr>
          <w:sz w:val="28"/>
        </w:rPr>
        <w:t>, 25 Fed.Cas. 49,50 (C.C.D. Va. 1807)</w:t>
      </w:r>
    </w:p>
    <w:p>
      <w:pPr>
        <w:pStyle w:val="BodyText"/>
      </w:pPr>
    </w:p>
    <w:p>
      <w:pPr>
        <w:pStyle w:val="Heading1"/>
        <w:ind w:left="3818"/>
        <w:rPr>
          <w:u w:val="none"/>
        </w:rPr>
      </w:pPr>
      <w:r>
        <w:rPr>
          <w:u w:val="none"/>
        </w:rPr>
        <w:t>ARGUMENT</w:t>
      </w:r>
    </w:p>
    <w:p>
      <w:pPr>
        <w:pStyle w:val="BodyText"/>
        <w:rPr>
          <w:b/>
        </w:rPr>
      </w:pPr>
    </w:p>
    <w:p>
      <w:pPr>
        <w:pStyle w:val="ListParagraph"/>
        <w:numPr>
          <w:ilvl w:val="0"/>
          <w:numId w:val="1"/>
        </w:numPr>
        <w:tabs>
          <w:tab w:pos="1821" w:val="left" w:leader="none"/>
        </w:tabs>
        <w:spacing w:line="480" w:lineRule="auto" w:before="0" w:after="0"/>
        <w:ind w:left="380" w:right="115" w:firstLine="720"/>
        <w:jc w:val="both"/>
        <w:rPr>
          <w:sz w:val="28"/>
        </w:rPr>
      </w:pPr>
      <w:r>
        <w:rPr>
          <w:sz w:val="28"/>
        </w:rPr>
        <w:t>In this case, Mr. Nickal objects to any judicial rehabilitation, as it tends to not only encourage jurors to withhold truthful answers, but may result in the seating of a biased jury panel, in violation of Mr. Nickal’s 6th and 5th Amendment rights under the United States Constitution, and Article 2, Sec. 16 of the Colorado Constitution.</w:t>
      </w:r>
    </w:p>
    <w:p>
      <w:pPr>
        <w:pStyle w:val="ListParagraph"/>
        <w:numPr>
          <w:ilvl w:val="0"/>
          <w:numId w:val="1"/>
        </w:numPr>
        <w:tabs>
          <w:tab w:pos="1821" w:val="left" w:leader="none"/>
        </w:tabs>
        <w:spacing w:line="480" w:lineRule="auto" w:before="0" w:after="0"/>
        <w:ind w:left="380" w:right="115" w:firstLine="720"/>
        <w:jc w:val="both"/>
        <w:rPr>
          <w:sz w:val="28"/>
        </w:rPr>
      </w:pPr>
      <w:r>
        <w:rPr>
          <w:sz w:val="28"/>
        </w:rPr>
        <w:t>Mr. Nickal requests that all questions from the Court during defense counsel’s </w:t>
      </w:r>
      <w:r>
        <w:rPr>
          <w:i/>
          <w:sz w:val="28"/>
        </w:rPr>
        <w:t>voir dire, </w:t>
      </w:r>
      <w:r>
        <w:rPr>
          <w:sz w:val="28"/>
        </w:rPr>
        <w:t>and following a challenge for cause, be open-ended rather than leading, and focused only on clarifying any ambiguity in the juror’s answers rather than on rehabilitating the juror. Because of the trial court’s absolute duty of neutrality, “following a challenge for cause, the trial court should act </w:t>
      </w:r>
      <w:r>
        <w:rPr>
          <w:i/>
          <w:sz w:val="28"/>
        </w:rPr>
        <w:t>only </w:t>
      </w:r>
      <w:r>
        <w:rPr>
          <w:sz w:val="28"/>
        </w:rPr>
        <w:t>as a neutral arbiter.” </w:t>
      </w:r>
      <w:r>
        <w:rPr>
          <w:i/>
          <w:sz w:val="28"/>
        </w:rPr>
        <w:t>Merrow, supra </w:t>
      </w:r>
      <w:r>
        <w:rPr>
          <w:sz w:val="28"/>
        </w:rPr>
        <w:t>at 323 (WEBB, J., specially concurring; emphasis in the</w:t>
      </w:r>
      <w:r>
        <w:rPr>
          <w:spacing w:val="-19"/>
          <w:sz w:val="28"/>
        </w:rPr>
        <w:t> </w:t>
      </w:r>
      <w:r>
        <w:rPr>
          <w:sz w:val="28"/>
        </w:rPr>
        <w:t>original).</w:t>
      </w:r>
    </w:p>
    <w:p>
      <w:pPr>
        <w:pStyle w:val="ListParagraph"/>
        <w:numPr>
          <w:ilvl w:val="0"/>
          <w:numId w:val="1"/>
        </w:numPr>
        <w:tabs>
          <w:tab w:pos="1821" w:val="left" w:leader="none"/>
          <w:tab w:pos="1822" w:val="left" w:leader="none"/>
        </w:tabs>
        <w:spacing w:line="315" w:lineRule="exact" w:before="0" w:after="0"/>
        <w:ind w:left="1821" w:right="0" w:hanging="720"/>
        <w:jc w:val="left"/>
        <w:rPr>
          <w:sz w:val="28"/>
        </w:rPr>
      </w:pPr>
      <w:r>
        <w:rPr>
          <w:sz w:val="28"/>
        </w:rPr>
        <w:t>This procedure is critical to protecting Mr. Nickal’s right to a fair</w:t>
      </w:r>
      <w:r>
        <w:rPr>
          <w:spacing w:val="-22"/>
          <w:sz w:val="28"/>
        </w:rPr>
        <w:t> </w:t>
      </w:r>
      <w:r>
        <w:rPr>
          <w:sz w:val="28"/>
        </w:rPr>
        <w:t>trial:</w:t>
      </w:r>
    </w:p>
    <w:p>
      <w:pPr>
        <w:pStyle w:val="BodyText"/>
        <w:spacing w:before="11"/>
        <w:rPr>
          <w:sz w:val="27"/>
        </w:rPr>
      </w:pPr>
    </w:p>
    <w:p>
      <w:pPr>
        <w:pStyle w:val="BodyText"/>
        <w:ind w:left="1821" w:right="1555" w:hanging="1"/>
        <w:jc w:val="center"/>
      </w:pPr>
      <w:r>
        <w:rPr/>
        <w:t>It is difficult, if not impossible, to understand the reasoning which leads to the conclusion that a person stands free of</w:t>
      </w:r>
    </w:p>
    <w:p>
      <w:pPr>
        <w:spacing w:after="0"/>
        <w:jc w:val="center"/>
        <w:sectPr>
          <w:pgSz w:w="12240" w:h="15840"/>
          <w:pgMar w:header="0" w:footer="788" w:top="1360" w:bottom="980" w:left="1060" w:right="1320"/>
        </w:sectPr>
      </w:pPr>
    </w:p>
    <w:p>
      <w:pPr>
        <w:pStyle w:val="BodyText"/>
        <w:spacing w:before="80"/>
        <w:ind w:left="1820" w:right="1557"/>
        <w:jc w:val="both"/>
      </w:pPr>
      <w:r>
        <w:rPr/>
        <w:t>bias or prejudice who having voluntarily and emphatically asserted its existence in his mind, in the next moment under skillful questioning declares himself free from its influence. By what sort of principle is it to be determined that the statement of the man is better and more worthy of belief than the</w:t>
      </w:r>
      <w:r>
        <w:rPr>
          <w:spacing w:val="-3"/>
        </w:rPr>
        <w:t> </w:t>
      </w:r>
      <w:r>
        <w:rPr/>
        <w:t>former?</w:t>
      </w:r>
    </w:p>
    <w:p>
      <w:pPr>
        <w:pStyle w:val="BodyText"/>
      </w:pPr>
    </w:p>
    <w:p>
      <w:pPr>
        <w:spacing w:before="0"/>
        <w:ind w:left="380" w:right="0" w:firstLine="0"/>
        <w:jc w:val="left"/>
        <w:rPr>
          <w:sz w:val="28"/>
        </w:rPr>
      </w:pPr>
      <w:r>
        <w:rPr>
          <w:i/>
          <w:sz w:val="28"/>
        </w:rPr>
        <w:t>Johnson v. Reynolds</w:t>
      </w:r>
      <w:r>
        <w:rPr>
          <w:sz w:val="28"/>
        </w:rPr>
        <w:t>, 121 So. 793, 796 (Florida 1929).</w:t>
      </w:r>
    </w:p>
    <w:p>
      <w:pPr>
        <w:pStyle w:val="BodyText"/>
      </w:pPr>
    </w:p>
    <w:p>
      <w:pPr>
        <w:pStyle w:val="Heading1"/>
        <w:ind w:left="4090" w:right="0"/>
        <w:jc w:val="left"/>
        <w:rPr>
          <w:u w:val="none"/>
        </w:rPr>
      </w:pPr>
      <w:r>
        <w:rPr>
          <w:u w:val="none"/>
        </w:rPr>
        <w:t>CONCLUSION</w:t>
      </w:r>
    </w:p>
    <w:p>
      <w:pPr>
        <w:pStyle w:val="BodyText"/>
        <w:rPr>
          <w:b/>
        </w:rPr>
      </w:pPr>
    </w:p>
    <w:p>
      <w:pPr>
        <w:pStyle w:val="BodyText"/>
        <w:spacing w:line="480" w:lineRule="auto"/>
        <w:ind w:left="380" w:right="116" w:firstLine="719"/>
        <w:jc w:val="both"/>
      </w:pPr>
      <w:r>
        <w:rPr/>
        <w:t>WHEREFORE, Mr. Nickal moves this Court to limit its further questioning of the jurors during </w:t>
      </w:r>
      <w:r>
        <w:rPr>
          <w:i/>
        </w:rPr>
        <w:t>voir dire, </w:t>
      </w:r>
      <w:r>
        <w:rPr/>
        <w:t>and following a challenge for cause, to non-leading and investigative questions, rather than those rehabilitative in nature. Mr. Nickal makes this request pursuant to his right to a fair trial, a fair and impartial jury, and all other rights accorded a criminal defendant under both the Colorado and United States’ constitutions.</w:t>
      </w:r>
    </w:p>
    <w:p>
      <w:pPr>
        <w:pStyle w:val="BodyText"/>
        <w:spacing w:line="480" w:lineRule="auto"/>
        <w:ind w:left="379" w:right="6923"/>
      </w:pPr>
      <w:r>
        <w:rPr/>
        <w:t>Dated: July 20, 2017. Respectfully submitted,</w:t>
      </w:r>
    </w:p>
    <w:p>
      <w:pPr>
        <w:pStyle w:val="BodyText"/>
        <w:ind w:left="379"/>
      </w:pPr>
      <w:r>
        <w:rPr/>
        <w:t>/s/</w:t>
      </w:r>
    </w:p>
    <w:p>
      <w:pPr>
        <w:pStyle w:val="BodyText"/>
        <w:spacing w:before="8"/>
        <w:rPr>
          <w:sz w:val="19"/>
        </w:rPr>
      </w:pPr>
      <w:r>
        <w:rPr/>
        <w:pict>
          <v:line style="position:absolute;mso-position-horizontal-relative:page;mso-position-vertical-relative:paragraph;z-index:-1024;mso-wrap-distance-left:0;mso-wrap-distance-right:0" from="71.989021pt,13.415151pt" to="253.952709pt,13.415151pt" stroked="true" strokeweight=".699pt" strokecolor="#000000">
            <v:stroke dashstyle="solid"/>
            <w10:wrap type="topAndBottom"/>
          </v:line>
        </w:pict>
      </w:r>
    </w:p>
    <w:p>
      <w:pPr>
        <w:pStyle w:val="BodyText"/>
        <w:spacing w:before="10"/>
        <w:ind w:left="379" w:right="7635"/>
      </w:pPr>
      <w:r>
        <w:rPr/>
        <w:t>Patrick Mulligan Reg. No. 161981</w:t>
      </w:r>
    </w:p>
    <w:p>
      <w:pPr>
        <w:pStyle w:val="BodyText"/>
        <w:rPr>
          <w:sz w:val="20"/>
        </w:rPr>
      </w:pPr>
    </w:p>
    <w:p>
      <w:pPr>
        <w:pStyle w:val="BodyText"/>
        <w:rPr>
          <w:sz w:val="20"/>
        </w:rPr>
      </w:pPr>
    </w:p>
    <w:p>
      <w:pPr>
        <w:pStyle w:val="BodyText"/>
        <w:spacing w:before="2"/>
        <w:rPr>
          <w:sz w:val="21"/>
        </w:rPr>
      </w:pPr>
      <w:r>
        <w:rPr/>
        <w:drawing>
          <wp:anchor distT="0" distB="0" distL="0" distR="0" allowOverlap="1" layoutInCell="1" locked="0" behindDoc="0" simplePos="0" relativeHeight="1">
            <wp:simplePos x="0" y="0"/>
            <wp:positionH relativeFrom="page">
              <wp:posOffset>739317</wp:posOffset>
            </wp:positionH>
            <wp:positionV relativeFrom="paragraph">
              <wp:posOffset>176515</wp:posOffset>
            </wp:positionV>
            <wp:extent cx="2148837" cy="603504"/>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148837" cy="603504"/>
                    </a:xfrm>
                    <a:prstGeom prst="rect">
                      <a:avLst/>
                    </a:prstGeom>
                  </pic:spPr>
                </pic:pic>
              </a:graphicData>
            </a:graphic>
          </wp:anchor>
        </w:drawing>
      </w:r>
      <w:r>
        <w:rPr/>
        <w:pict>
          <v:line style="position:absolute;mso-position-horizontal-relative:page;mso-position-vertical-relative:paragraph;z-index:-976;mso-wrap-distance-left:0;mso-wrap-distance-right:0" from="71.989021pt,69.687759pt" to="316.946592pt,69.687759pt" stroked="true" strokeweight=".699pt" strokecolor="#000000">
            <v:stroke dashstyle="solid"/>
            <w10:wrap type="topAndBottom"/>
          </v:line>
        </w:pict>
      </w:r>
    </w:p>
    <w:p>
      <w:pPr>
        <w:pStyle w:val="BodyText"/>
        <w:rPr>
          <w:sz w:val="8"/>
        </w:rPr>
      </w:pPr>
    </w:p>
    <w:p>
      <w:pPr>
        <w:pStyle w:val="BodyText"/>
        <w:spacing w:line="315" w:lineRule="exact" w:before="10"/>
        <w:ind w:left="379"/>
      </w:pPr>
      <w:r>
        <w:rPr/>
        <w:t>Jennifer Longtin, #43509</w:t>
      </w:r>
    </w:p>
    <w:p>
      <w:pPr>
        <w:pStyle w:val="BodyText"/>
        <w:spacing w:line="315" w:lineRule="exact"/>
        <w:ind w:left="379"/>
      </w:pPr>
      <w:r>
        <w:rPr/>
        <w:t>The Law Office of Jennifer E. Longtin, LLC</w:t>
      </w:r>
    </w:p>
    <w:p>
      <w:pPr>
        <w:spacing w:after="0" w:line="315" w:lineRule="exact"/>
        <w:sectPr>
          <w:pgSz w:w="12240" w:h="15840"/>
          <w:pgMar w:header="0" w:footer="788" w:top="1360" w:bottom="980" w:left="1060" w:right="1320"/>
        </w:sectPr>
      </w:pPr>
    </w:p>
    <w:p>
      <w:pPr>
        <w:pStyle w:val="BodyText"/>
        <w:rPr>
          <w:sz w:val="20"/>
        </w:rPr>
      </w:pPr>
    </w:p>
    <w:p>
      <w:pPr>
        <w:pStyle w:val="BodyText"/>
        <w:spacing w:before="8"/>
        <w:rPr>
          <w:sz w:val="21"/>
        </w:rPr>
      </w:pPr>
    </w:p>
    <w:p>
      <w:pPr>
        <w:pStyle w:val="Heading1"/>
        <w:spacing w:before="100"/>
        <w:rPr>
          <w:u w:val="none"/>
        </w:rPr>
      </w:pPr>
      <w:r>
        <w:rPr>
          <w:u w:val="single"/>
        </w:rPr>
        <w:t>Certificate of Service</w:t>
      </w:r>
    </w:p>
    <w:p>
      <w:pPr>
        <w:pStyle w:val="BodyText"/>
        <w:spacing w:before="2"/>
        <w:rPr>
          <w:b/>
          <w:sz w:val="19"/>
        </w:rPr>
      </w:pPr>
    </w:p>
    <w:p>
      <w:pPr>
        <w:pStyle w:val="BodyText"/>
        <w:spacing w:line="480" w:lineRule="auto" w:before="99"/>
        <w:ind w:left="380" w:right="808" w:firstLine="719"/>
      </w:pPr>
      <w:r>
        <w:rPr/>
        <w:t>The undersigned does hereby certify that on July 20, 2017, she served the foregoing MOTION to all opposing counsel of record via ICCES.</w:t>
      </w:r>
    </w:p>
    <w:p>
      <w:pPr>
        <w:pStyle w:val="BodyText"/>
        <w:ind w:left="373"/>
        <w:rPr>
          <w:sz w:val="20"/>
        </w:rPr>
      </w:pPr>
      <w:r>
        <w:rPr>
          <w:sz w:val="20"/>
        </w:rPr>
        <w:pict>
          <v:group style="width:223.95pt;height:46.4pt;mso-position-horizontal-relative:char;mso-position-vertical-relative:line" coordorigin="0,0" coordsize="4479,928">
            <v:shape style="position:absolute;left:3;top:0;width:3718;height:928" type="#_x0000_t75" stroked="false">
              <v:imagedata r:id="rId9" o:title=""/>
            </v:shape>
            <v:line style="position:absolute" from="0,896" to="4479,896" stroked="true" strokeweight=".699pt" strokecolor="#000000">
              <v:stroke dashstyle="solid"/>
            </v:line>
          </v:group>
        </w:pict>
      </w:r>
      <w:r>
        <w:rPr>
          <w:sz w:val="20"/>
        </w:rPr>
      </w:r>
    </w:p>
    <w:sectPr>
      <w:pgSz w:w="12240" w:h="15840"/>
      <w:pgMar w:header="0" w:footer="788" w:top="1500" w:bottom="98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pt;margin-top:741.606628pt;width:10pt;height:15.3pt;mso-position-horizontal-relative:page;mso-position-vertical-relative:page;z-index:-5224"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0" w:hanging="720"/>
        <w:jc w:val="left"/>
      </w:pPr>
      <w:rPr>
        <w:rFonts w:hint="default"/>
        <w:spacing w:val="-1"/>
        <w:w w:val="99"/>
      </w:rPr>
    </w:lvl>
    <w:lvl w:ilvl="1">
      <w:start w:val="0"/>
      <w:numFmt w:val="bullet"/>
      <w:lvlText w:val="•"/>
      <w:lvlJc w:val="left"/>
      <w:pPr>
        <w:ind w:left="1328" w:hanging="720"/>
      </w:pPr>
      <w:rPr>
        <w:rFonts w:hint="default"/>
      </w:rPr>
    </w:lvl>
    <w:lvl w:ilvl="2">
      <w:start w:val="0"/>
      <w:numFmt w:val="bullet"/>
      <w:lvlText w:val="•"/>
      <w:lvlJc w:val="left"/>
      <w:pPr>
        <w:ind w:left="2276" w:hanging="720"/>
      </w:pPr>
      <w:rPr>
        <w:rFonts w:hint="default"/>
      </w:rPr>
    </w:lvl>
    <w:lvl w:ilvl="3">
      <w:start w:val="0"/>
      <w:numFmt w:val="bullet"/>
      <w:lvlText w:val="•"/>
      <w:lvlJc w:val="left"/>
      <w:pPr>
        <w:ind w:left="3224" w:hanging="720"/>
      </w:pPr>
      <w:rPr>
        <w:rFonts w:hint="default"/>
      </w:rPr>
    </w:lvl>
    <w:lvl w:ilvl="4">
      <w:start w:val="0"/>
      <w:numFmt w:val="bullet"/>
      <w:lvlText w:val="•"/>
      <w:lvlJc w:val="left"/>
      <w:pPr>
        <w:ind w:left="4172" w:hanging="720"/>
      </w:pPr>
      <w:rPr>
        <w:rFonts w:hint="default"/>
      </w:rPr>
    </w:lvl>
    <w:lvl w:ilvl="5">
      <w:start w:val="0"/>
      <w:numFmt w:val="bullet"/>
      <w:lvlText w:val="•"/>
      <w:lvlJc w:val="left"/>
      <w:pPr>
        <w:ind w:left="5120" w:hanging="720"/>
      </w:pPr>
      <w:rPr>
        <w:rFonts w:hint="default"/>
      </w:rPr>
    </w:lvl>
    <w:lvl w:ilvl="6">
      <w:start w:val="0"/>
      <w:numFmt w:val="bullet"/>
      <w:lvlText w:val="•"/>
      <w:lvlJc w:val="left"/>
      <w:pPr>
        <w:ind w:left="6068" w:hanging="720"/>
      </w:pPr>
      <w:rPr>
        <w:rFonts w:hint="default"/>
      </w:rPr>
    </w:lvl>
    <w:lvl w:ilvl="7">
      <w:start w:val="0"/>
      <w:numFmt w:val="bullet"/>
      <w:lvlText w:val="•"/>
      <w:lvlJc w:val="left"/>
      <w:pPr>
        <w:ind w:left="7016" w:hanging="720"/>
      </w:pPr>
      <w:rPr>
        <w:rFonts w:hint="default"/>
      </w:rPr>
    </w:lvl>
    <w:lvl w:ilvl="8">
      <w:start w:val="0"/>
      <w:numFmt w:val="bullet"/>
      <w:lvlText w:val="•"/>
      <w:lvlJc w:val="left"/>
      <w:pPr>
        <w:ind w:left="7964"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Heading1" w:type="paragraph">
    <w:name w:val="Heading 1"/>
    <w:basedOn w:val="Normal"/>
    <w:uiPriority w:val="1"/>
    <w:qFormat/>
    <w:pPr>
      <w:ind w:left="3819" w:right="3559"/>
      <w:jc w:val="center"/>
      <w:outlineLvl w:val="1"/>
    </w:pPr>
    <w:rPr>
      <w:rFonts w:ascii="Garamond" w:hAnsi="Garamond" w:eastAsia="Garamond" w:cs="Garamond"/>
      <w:b/>
      <w:bCs/>
      <w:sz w:val="28"/>
      <w:szCs w:val="28"/>
      <w:u w:val="single" w:color="000000"/>
    </w:rPr>
  </w:style>
  <w:style w:styleId="ListParagraph" w:type="paragraph">
    <w:name w:val="List Paragraph"/>
    <w:basedOn w:val="Normal"/>
    <w:uiPriority w:val="1"/>
    <w:qFormat/>
    <w:pPr>
      <w:ind w:left="379" w:right="117" w:firstLine="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atrick@MulliganBriet.com" TargetMode="External"/><Relationship Id="rId7" Type="http://schemas.openxmlformats.org/officeDocument/2006/relationships/hyperlink" Target="mailto:Jen@jlongtinlaw.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2019-03-20T18:31:26Z</dcterms:created>
  <dcterms:modified xsi:type="dcterms:W3CDTF">2019-03-20T18:31:26Z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