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tabs>
          <w:tab w:pos="3434" w:val="left" w:leader="none"/>
          <w:tab w:pos="6859" w:val="left" w:leader="none"/>
        </w:tabs>
        <w:spacing w:before="25"/>
        <w:ind w:left="119"/>
      </w:pPr>
      <w:r>
        <w:rPr/>
        <w:t>STATE</w:t>
      </w:r>
      <w:r>
        <w:rPr>
          <w:spacing w:val="-5"/>
        </w:rPr>
        <w:t> </w:t>
      </w:r>
      <w:r>
        <w:rPr/>
        <w:t>OF</w:t>
      </w:r>
      <w:r>
        <w:rPr>
          <w:spacing w:val="-6"/>
        </w:rPr>
        <w:t> </w:t>
      </w:r>
      <w:r>
        <w:rPr/>
        <w:t>WISCONSIN</w:t>
        <w:tab/>
        <w:t>CIRCUIT</w:t>
      </w:r>
      <w:r>
        <w:rPr>
          <w:spacing w:val="-3"/>
        </w:rPr>
        <w:t> </w:t>
      </w:r>
      <w:r>
        <w:rPr/>
        <w:t>COURT</w:t>
        <w:tab/>
        <w:t>MANITOWOC</w:t>
      </w:r>
      <w:r>
        <w:rPr>
          <w:spacing w:val="-6"/>
        </w:rPr>
        <w:t> </w:t>
      </w:r>
      <w:r>
        <w:rPr/>
        <w:t>COUNTY</w:t>
      </w:r>
    </w:p>
    <w:p>
      <w:pPr>
        <w:pStyle w:val="BodyText"/>
        <w:spacing w:before="4"/>
        <w:rPr>
          <w:sz w:val="20"/>
        </w:rPr>
      </w:pPr>
      <w:r>
        <w:rPr/>
        <w:pict>
          <v:line style="position:absolute;mso-position-horizontal-relative:page;mso-position-vertical-relative:paragraph;z-index:-1024;mso-wrap-distance-left:0;mso-wrap-distance-right:0" from="72pt,16.650291pt" to="540.000015pt,16.650291pt" stroked="true" strokeweight=".96pt" strokecolor="#000000">
            <v:stroke dashstyle="solid"/>
            <w10:wrap type="topAndBottom"/>
          </v:line>
        </w:pict>
      </w:r>
    </w:p>
    <w:p>
      <w:pPr>
        <w:pStyle w:val="BodyText"/>
        <w:spacing w:before="11"/>
        <w:rPr>
          <w:sz w:val="20"/>
        </w:rPr>
      </w:pPr>
    </w:p>
    <w:p>
      <w:pPr>
        <w:spacing w:before="0"/>
        <w:ind w:left="119" w:right="0" w:firstLine="0"/>
        <w:jc w:val="left"/>
        <w:rPr>
          <w:sz w:val="26"/>
        </w:rPr>
      </w:pPr>
      <w:r>
        <w:rPr>
          <w:sz w:val="26"/>
        </w:rPr>
        <w:t>S</w:t>
      </w:r>
      <w:r>
        <w:rPr>
          <w:sz w:val="21"/>
        </w:rPr>
        <w:t>TATE OF </w:t>
      </w:r>
      <w:r>
        <w:rPr>
          <w:sz w:val="26"/>
        </w:rPr>
        <w:t>W</w:t>
      </w:r>
      <w:r>
        <w:rPr>
          <w:sz w:val="21"/>
        </w:rPr>
        <w:t>ISCONSIN</w:t>
      </w:r>
      <w:r>
        <w:rPr>
          <w:sz w:val="26"/>
        </w:rPr>
        <w:t>,</w:t>
      </w:r>
    </w:p>
    <w:p>
      <w:pPr>
        <w:pStyle w:val="BodyText"/>
        <w:spacing w:before="1"/>
        <w:rPr>
          <w:sz w:val="22"/>
        </w:rPr>
      </w:pPr>
    </w:p>
    <w:p>
      <w:pPr>
        <w:pStyle w:val="Heading1"/>
        <w:rPr>
          <w:rFonts w:ascii="PMingLiU-ExtB"/>
          <w:i w:val="0"/>
          <w:sz w:val="26"/>
        </w:rPr>
      </w:pPr>
      <w:r>
        <w:rPr>
          <w:b w:val="0"/>
          <w:i/>
          <w:w w:val="95"/>
        </w:rPr>
        <w:t>Plaintiff</w:t>
      </w:r>
      <w:r>
        <w:rPr>
          <w:rFonts w:ascii="PMingLiU-ExtB"/>
          <w:i w:val="0"/>
          <w:w w:val="95"/>
          <w:sz w:val="26"/>
        </w:rPr>
        <w:t>,</w:t>
      </w:r>
    </w:p>
    <w:p>
      <w:pPr>
        <w:pStyle w:val="BodyText"/>
        <w:spacing w:before="1"/>
        <w:rPr>
          <w:sz w:val="22"/>
        </w:rPr>
      </w:pPr>
    </w:p>
    <w:p>
      <w:pPr>
        <w:pStyle w:val="BodyText"/>
        <w:tabs>
          <w:tab w:pos="5880" w:val="left" w:leader="none"/>
          <w:tab w:pos="7320" w:val="left" w:leader="none"/>
        </w:tabs>
        <w:ind w:left="839"/>
      </w:pPr>
      <w:r>
        <w:rPr>
          <w:rFonts w:ascii="Bookman Old Style"/>
          <w:b w:val="0"/>
          <w:i/>
          <w:sz w:val="27"/>
        </w:rPr>
        <w:t>v</w:t>
      </w:r>
      <w:r>
        <w:rPr/>
        <w:t>.</w:t>
        <w:tab/>
        <w:t>Case</w:t>
      </w:r>
      <w:r>
        <w:rPr>
          <w:spacing w:val="-3"/>
        </w:rPr>
        <w:t> </w:t>
      </w:r>
      <w:r>
        <w:rPr/>
        <w:t>No.</w:t>
        <w:tab/>
        <w:t>2005-CF-381</w:t>
      </w:r>
    </w:p>
    <w:p>
      <w:pPr>
        <w:pStyle w:val="BodyText"/>
        <w:rPr>
          <w:sz w:val="22"/>
        </w:rPr>
      </w:pPr>
    </w:p>
    <w:p>
      <w:pPr>
        <w:spacing w:before="1"/>
        <w:ind w:left="119" w:right="0" w:firstLine="0"/>
        <w:jc w:val="left"/>
        <w:rPr>
          <w:sz w:val="26"/>
        </w:rPr>
      </w:pPr>
      <w:r>
        <w:rPr>
          <w:sz w:val="26"/>
        </w:rPr>
        <w:t>S</w:t>
      </w:r>
      <w:r>
        <w:rPr>
          <w:sz w:val="21"/>
        </w:rPr>
        <w:t>TEVEN </w:t>
      </w:r>
      <w:r>
        <w:rPr>
          <w:sz w:val="26"/>
        </w:rPr>
        <w:t>A. A</w:t>
      </w:r>
      <w:r>
        <w:rPr>
          <w:sz w:val="21"/>
        </w:rPr>
        <w:t>VERY</w:t>
      </w:r>
      <w:r>
        <w:rPr>
          <w:sz w:val="26"/>
        </w:rPr>
        <w:t>,</w:t>
      </w:r>
    </w:p>
    <w:p>
      <w:pPr>
        <w:pStyle w:val="BodyText"/>
        <w:rPr>
          <w:sz w:val="22"/>
        </w:rPr>
      </w:pPr>
    </w:p>
    <w:p>
      <w:pPr>
        <w:pStyle w:val="Heading1"/>
        <w:rPr>
          <w:rFonts w:ascii="PMingLiU-ExtB"/>
          <w:i w:val="0"/>
          <w:sz w:val="26"/>
        </w:rPr>
      </w:pPr>
      <w:r>
        <w:rPr>
          <w:b w:val="0"/>
          <w:i/>
          <w:w w:val="90"/>
        </w:rPr>
        <w:t>Defendant</w:t>
      </w:r>
      <w:r>
        <w:rPr>
          <w:rFonts w:ascii="PMingLiU-ExtB"/>
          <w:i w:val="0"/>
          <w:w w:val="90"/>
          <w:sz w:val="26"/>
        </w:rPr>
        <w:t>.</w:t>
      </w:r>
    </w:p>
    <w:p>
      <w:pPr>
        <w:pStyle w:val="BodyText"/>
        <w:spacing w:before="5"/>
        <w:rPr>
          <w:sz w:val="20"/>
        </w:rPr>
      </w:pPr>
      <w:r>
        <w:rPr/>
        <w:pict>
          <v:line style="position:absolute;mso-position-horizontal-relative:page;mso-position-vertical-relative:paragraph;z-index:-1000;mso-wrap-distance-left:0;mso-wrap-distance-right:0" from="72pt,16.695944pt" to="540.000015pt,16.695944pt" stroked="true" strokeweight=".96pt" strokecolor="#000000">
            <v:stroke dashstyle="solid"/>
            <w10:wrap type="topAndBottom"/>
          </v:line>
        </w:pict>
      </w:r>
    </w:p>
    <w:p>
      <w:pPr>
        <w:pStyle w:val="BodyText"/>
        <w:spacing w:before="5"/>
        <w:rPr>
          <w:sz w:val="22"/>
        </w:rPr>
      </w:pPr>
    </w:p>
    <w:p>
      <w:pPr>
        <w:spacing w:line="268" w:lineRule="auto" w:before="1"/>
        <w:ind w:left="2829" w:right="2828" w:firstLine="0"/>
        <w:jc w:val="center"/>
        <w:rPr>
          <w:rFonts w:ascii="Times New Roman" w:hAnsi="Times New Roman"/>
          <w:b/>
          <w:sz w:val="26"/>
        </w:rPr>
      </w:pPr>
      <w:r>
        <w:rPr>
          <w:rFonts w:ascii="Times New Roman" w:hAnsi="Times New Roman"/>
          <w:b/>
          <w:sz w:val="26"/>
        </w:rPr>
        <w:t>DEFENDANT’S MOTION TO </w:t>
      </w:r>
      <w:r>
        <w:rPr>
          <w:rFonts w:ascii="Times New Roman" w:hAnsi="Times New Roman"/>
          <w:b/>
          <w:w w:val="90"/>
          <w:sz w:val="26"/>
        </w:rPr>
        <w:t>ASSURE FAIR FORENSIC TESTING</w:t>
      </w:r>
    </w:p>
    <w:p>
      <w:pPr>
        <w:pStyle w:val="BodyText"/>
        <w:spacing w:before="9"/>
        <w:rPr>
          <w:rFonts w:ascii="Times New Roman"/>
          <w:b/>
          <w:sz w:val="25"/>
        </w:rPr>
      </w:pPr>
      <w:r>
        <w:rPr/>
        <w:pict>
          <v:line style="position:absolute;mso-position-horizontal-relative:page;mso-position-vertical-relative:paragraph;z-index:-976;mso-wrap-distance-left:0;mso-wrap-distance-right:0" from="72pt,17.282034pt" to="540.000015pt,17.282034pt" stroked="true" strokeweight=".96pt" strokecolor="#000000">
            <v:stroke dashstyle="solid"/>
            <w10:wrap type="topAndBottom"/>
          </v:line>
        </w:pict>
      </w:r>
    </w:p>
    <w:p>
      <w:pPr>
        <w:pStyle w:val="BodyText"/>
        <w:rPr>
          <w:rFonts w:ascii="Times New Roman"/>
          <w:b/>
        </w:rPr>
      </w:pPr>
    </w:p>
    <w:p>
      <w:pPr>
        <w:pStyle w:val="BodyText"/>
        <w:spacing w:before="6"/>
        <w:rPr>
          <w:rFonts w:ascii="Times New Roman"/>
          <w:b/>
          <w:sz w:val="28"/>
        </w:rPr>
      </w:pPr>
    </w:p>
    <w:p>
      <w:pPr>
        <w:pStyle w:val="BodyText"/>
        <w:spacing w:line="444" w:lineRule="auto"/>
        <w:ind w:left="119" w:right="115" w:firstLine="720"/>
        <w:jc w:val="both"/>
      </w:pPr>
      <w:r>
        <w:rPr/>
        <w:t>Steven A. Avery, by counsel, now moves the Court pursuant to the due process clauses of the Fourteenth Amendment to the United States Constitution and Article I, § 8 of the Wisconsin Constitution, and further pursuant to W</w:t>
      </w:r>
      <w:r>
        <w:rPr>
          <w:sz w:val="21"/>
        </w:rPr>
        <w:t>IS</w:t>
      </w:r>
      <w:r>
        <w:rPr/>
        <w:t>. S</w:t>
      </w:r>
      <w:r>
        <w:rPr>
          <w:sz w:val="21"/>
        </w:rPr>
        <w:t>TAT</w:t>
      </w:r>
      <w:r>
        <w:rPr/>
        <w:t>. §§ 165.79(1), 971.23, for an order requiring the state (a) to permit defense observation of all scientific or forensic testing of physical items seized from any place in which Steven Avery has a privacy interest recognized by the Fourth Amendment to the United States Constitution or Article I, § 11 of the Wisconsin Constitution; and (b) to require the state to make video recordings of all scientific or forensic testing of physical items seized from any place in which Steven Avery has a privacy interest recognized by the Fourth Amendment to the United States Constitution or Article I, § 11 of the</w:t>
      </w:r>
      <w:r>
        <w:rPr>
          <w:spacing w:val="40"/>
        </w:rPr>
        <w:t> </w:t>
      </w:r>
      <w:r>
        <w:rPr/>
        <w:t>Wisconsin</w:t>
      </w:r>
      <w:r>
        <w:rPr>
          <w:spacing w:val="41"/>
        </w:rPr>
        <w:t> </w:t>
      </w:r>
      <w:r>
        <w:rPr/>
        <w:t>Constitution.</w:t>
      </w:r>
      <w:r>
        <w:rPr>
          <w:spacing w:val="46"/>
        </w:rPr>
        <w:t> </w:t>
      </w:r>
      <w:r>
        <w:rPr/>
        <w:t>As</w:t>
      </w:r>
      <w:r>
        <w:rPr>
          <w:spacing w:val="39"/>
        </w:rPr>
        <w:t> </w:t>
      </w:r>
      <w:r>
        <w:rPr/>
        <w:t>a</w:t>
      </w:r>
      <w:r>
        <w:rPr>
          <w:spacing w:val="40"/>
        </w:rPr>
        <w:t> </w:t>
      </w:r>
      <w:r>
        <w:rPr/>
        <w:t>less</w:t>
      </w:r>
      <w:r>
        <w:rPr>
          <w:spacing w:val="40"/>
        </w:rPr>
        <w:t> </w:t>
      </w:r>
      <w:r>
        <w:rPr/>
        <w:t>favored</w:t>
      </w:r>
      <w:r>
        <w:rPr>
          <w:spacing w:val="44"/>
        </w:rPr>
        <w:t> </w:t>
      </w:r>
      <w:r>
        <w:rPr/>
        <w:t>alternative</w:t>
      </w:r>
      <w:r>
        <w:rPr>
          <w:spacing w:val="43"/>
        </w:rPr>
        <w:t> </w:t>
      </w:r>
      <w:r>
        <w:rPr/>
        <w:t>to</w:t>
      </w:r>
      <w:r>
        <w:rPr>
          <w:spacing w:val="44"/>
        </w:rPr>
        <w:t> </w:t>
      </w:r>
      <w:r>
        <w:rPr/>
        <w:t>granting</w:t>
      </w:r>
      <w:r>
        <w:rPr>
          <w:spacing w:val="44"/>
        </w:rPr>
        <w:t> </w:t>
      </w:r>
      <w:r>
        <w:rPr/>
        <w:t>both</w:t>
      </w:r>
      <w:r>
        <w:rPr>
          <w:spacing w:val="44"/>
        </w:rPr>
        <w:t> </w:t>
      </w:r>
      <w:r>
        <w:rPr/>
        <w:t>planks</w:t>
      </w:r>
      <w:r>
        <w:rPr>
          <w:spacing w:val="43"/>
        </w:rPr>
        <w:t> </w:t>
      </w:r>
      <w:r>
        <w:rPr/>
        <w:t>of</w:t>
      </w:r>
      <w:r>
        <w:rPr>
          <w:spacing w:val="43"/>
        </w:rPr>
        <w:t> </w:t>
      </w:r>
      <w:r>
        <w:rPr/>
        <w:t>this</w:t>
      </w:r>
    </w:p>
    <w:p>
      <w:pPr>
        <w:spacing w:after="0" w:line="444" w:lineRule="auto"/>
        <w:jc w:val="both"/>
        <w:sectPr>
          <w:type w:val="continuous"/>
          <w:pgSz w:w="12240" w:h="15840"/>
          <w:pgMar w:top="1400" w:bottom="280" w:left="1320" w:right="1320"/>
        </w:sectPr>
      </w:pPr>
    </w:p>
    <w:p>
      <w:pPr>
        <w:pStyle w:val="BodyText"/>
        <w:spacing w:line="444" w:lineRule="auto" w:before="25"/>
        <w:ind w:left="119" w:right="116"/>
        <w:jc w:val="both"/>
      </w:pPr>
      <w:r>
        <w:rPr/>
        <w:t>motion, Mr. Avery requests that the Court grant one plank of requested relief or the other.  Mr. Avery requests further that this Court hear this motion on March 17, 2006, unless some earlier time is convenient. Finally, to preserve the </w:t>
      </w:r>
      <w:r>
        <w:rPr>
          <w:rFonts w:ascii="Bookman Old Style"/>
          <w:b w:val="0"/>
          <w:i/>
          <w:sz w:val="27"/>
        </w:rPr>
        <w:t>status quo</w:t>
      </w:r>
      <w:r>
        <w:rPr/>
        <w:t>, Mr. Avery requests that the Court immediately order temporary cessation of any scientific or forensic testing by the state, pending a ruling on this motion. As grounds for this motion, Mr. Avery explains the following:</w:t>
      </w:r>
    </w:p>
    <w:p>
      <w:pPr>
        <w:pStyle w:val="ListParagraph"/>
        <w:numPr>
          <w:ilvl w:val="0"/>
          <w:numId w:val="1"/>
        </w:numPr>
        <w:tabs>
          <w:tab w:pos="1559" w:val="left" w:leader="none"/>
          <w:tab w:pos="1561" w:val="left" w:leader="none"/>
          <w:tab w:pos="5597" w:val="left" w:leader="none"/>
        </w:tabs>
        <w:spacing w:line="360" w:lineRule="exact" w:before="0" w:after="0"/>
        <w:ind w:left="1560" w:right="0" w:hanging="720"/>
        <w:jc w:val="left"/>
        <w:rPr>
          <w:sz w:val="26"/>
        </w:rPr>
      </w:pPr>
      <w:r>
        <w:rPr>
          <w:sz w:val="26"/>
        </w:rPr>
        <w:t>This case arose in</w:t>
      </w:r>
      <w:r>
        <w:rPr>
          <w:spacing w:val="-17"/>
          <w:sz w:val="26"/>
        </w:rPr>
        <w:t> </w:t>
      </w:r>
      <w:r>
        <w:rPr>
          <w:sz w:val="26"/>
        </w:rPr>
        <w:t>Manitowoc</w:t>
      </w:r>
      <w:r>
        <w:rPr>
          <w:spacing w:val="-4"/>
          <w:sz w:val="26"/>
        </w:rPr>
        <w:t> </w:t>
      </w:r>
      <w:r>
        <w:rPr>
          <w:sz w:val="26"/>
        </w:rPr>
        <w:t>County.</w:t>
        <w:tab/>
        <w:t>It is a Manitowoc County</w:t>
      </w:r>
      <w:r>
        <w:rPr>
          <w:spacing w:val="-10"/>
          <w:sz w:val="26"/>
        </w:rPr>
        <w:t> </w:t>
      </w:r>
      <w:r>
        <w:rPr>
          <w:sz w:val="26"/>
        </w:rPr>
        <w:t>case.</w:t>
      </w:r>
    </w:p>
    <w:p>
      <w:pPr>
        <w:pStyle w:val="BodyText"/>
        <w:rPr>
          <w:sz w:val="22"/>
        </w:rPr>
      </w:pPr>
    </w:p>
    <w:p>
      <w:pPr>
        <w:pStyle w:val="ListParagraph"/>
        <w:numPr>
          <w:ilvl w:val="0"/>
          <w:numId w:val="1"/>
        </w:numPr>
        <w:tabs>
          <w:tab w:pos="1561" w:val="left" w:leader="none"/>
        </w:tabs>
        <w:spacing w:line="444" w:lineRule="auto" w:before="0" w:after="0"/>
        <w:ind w:left="120" w:right="118" w:firstLine="720"/>
        <w:jc w:val="both"/>
        <w:rPr>
          <w:sz w:val="26"/>
        </w:rPr>
      </w:pPr>
      <w:r>
        <w:rPr>
          <w:sz w:val="26"/>
        </w:rPr>
        <w:t>Previously, Manitowoc County officials investigated, prosecuted, convicted and sentenced Mr. Avery for a crime that all now acknowledge he did not</w:t>
      </w:r>
      <w:r>
        <w:rPr>
          <w:spacing w:val="-28"/>
          <w:sz w:val="26"/>
        </w:rPr>
        <w:t> </w:t>
      </w:r>
      <w:r>
        <w:rPr>
          <w:sz w:val="26"/>
        </w:rPr>
        <w:t>commit.</w:t>
      </w:r>
    </w:p>
    <w:p>
      <w:pPr>
        <w:pStyle w:val="ListParagraph"/>
        <w:numPr>
          <w:ilvl w:val="0"/>
          <w:numId w:val="1"/>
        </w:numPr>
        <w:tabs>
          <w:tab w:pos="1561" w:val="left" w:leader="none"/>
        </w:tabs>
        <w:spacing w:line="444" w:lineRule="auto" w:before="0" w:after="0"/>
        <w:ind w:left="120" w:right="116" w:firstLine="720"/>
        <w:jc w:val="both"/>
        <w:rPr>
          <w:sz w:val="26"/>
        </w:rPr>
      </w:pPr>
      <w:r>
        <w:rPr>
          <w:sz w:val="26"/>
        </w:rPr>
        <w:t>This case arose while Mr. Avery was pursuing a civil claim against current and former Manitowoc County employees, officials, and agents. Mr. Avery sought in that lawsuit tens</w:t>
      </w:r>
      <w:r>
        <w:rPr>
          <w:spacing w:val="-6"/>
          <w:sz w:val="26"/>
        </w:rPr>
        <w:t> </w:t>
      </w:r>
      <w:r>
        <w:rPr>
          <w:sz w:val="26"/>
        </w:rPr>
        <w:t>of</w:t>
      </w:r>
      <w:r>
        <w:rPr>
          <w:spacing w:val="-4"/>
          <w:sz w:val="26"/>
        </w:rPr>
        <w:t> </w:t>
      </w:r>
      <w:r>
        <w:rPr>
          <w:sz w:val="26"/>
        </w:rPr>
        <w:t>millions</w:t>
      </w:r>
      <w:r>
        <w:rPr>
          <w:spacing w:val="-6"/>
          <w:sz w:val="26"/>
        </w:rPr>
        <w:t> </w:t>
      </w:r>
      <w:r>
        <w:rPr>
          <w:sz w:val="26"/>
        </w:rPr>
        <w:t>of</w:t>
      </w:r>
      <w:r>
        <w:rPr>
          <w:spacing w:val="-3"/>
          <w:sz w:val="26"/>
        </w:rPr>
        <w:t> </w:t>
      </w:r>
      <w:r>
        <w:rPr>
          <w:sz w:val="26"/>
        </w:rPr>
        <w:t>dollars</w:t>
      </w:r>
      <w:r>
        <w:rPr>
          <w:spacing w:val="-6"/>
          <w:sz w:val="26"/>
        </w:rPr>
        <w:t> </w:t>
      </w:r>
      <w:r>
        <w:rPr>
          <w:sz w:val="26"/>
        </w:rPr>
        <w:t>in</w:t>
      </w:r>
      <w:r>
        <w:rPr>
          <w:spacing w:val="-4"/>
          <w:sz w:val="26"/>
        </w:rPr>
        <w:t> </w:t>
      </w:r>
      <w:r>
        <w:rPr>
          <w:sz w:val="26"/>
        </w:rPr>
        <w:t>damages</w:t>
      </w:r>
      <w:r>
        <w:rPr>
          <w:spacing w:val="-5"/>
          <w:sz w:val="26"/>
        </w:rPr>
        <w:t> </w:t>
      </w:r>
      <w:r>
        <w:rPr>
          <w:sz w:val="26"/>
        </w:rPr>
        <w:t>for</w:t>
      </w:r>
      <w:r>
        <w:rPr>
          <w:spacing w:val="-2"/>
          <w:sz w:val="26"/>
        </w:rPr>
        <w:t> </w:t>
      </w:r>
      <w:r>
        <w:rPr>
          <w:sz w:val="26"/>
        </w:rPr>
        <w:t>the</w:t>
      </w:r>
      <w:r>
        <w:rPr>
          <w:spacing w:val="-2"/>
          <w:sz w:val="26"/>
        </w:rPr>
        <w:t> </w:t>
      </w:r>
      <w:r>
        <w:rPr>
          <w:sz w:val="26"/>
        </w:rPr>
        <w:t>18</w:t>
      </w:r>
      <w:r>
        <w:rPr>
          <w:spacing w:val="-1"/>
          <w:sz w:val="26"/>
        </w:rPr>
        <w:t> </w:t>
      </w:r>
      <w:r>
        <w:rPr>
          <w:sz w:val="26"/>
        </w:rPr>
        <w:t>years,</w:t>
      </w:r>
      <w:r>
        <w:rPr>
          <w:spacing w:val="-3"/>
          <w:sz w:val="26"/>
        </w:rPr>
        <w:t> </w:t>
      </w:r>
      <w:r>
        <w:rPr>
          <w:sz w:val="26"/>
        </w:rPr>
        <w:t>approximately,</w:t>
      </w:r>
      <w:r>
        <w:rPr>
          <w:spacing w:val="-3"/>
          <w:sz w:val="26"/>
        </w:rPr>
        <w:t> </w:t>
      </w:r>
      <w:r>
        <w:rPr>
          <w:sz w:val="26"/>
        </w:rPr>
        <w:t>that</w:t>
      </w:r>
      <w:r>
        <w:rPr>
          <w:spacing w:val="-3"/>
          <w:sz w:val="26"/>
        </w:rPr>
        <w:t> </w:t>
      </w:r>
      <w:r>
        <w:rPr>
          <w:sz w:val="26"/>
        </w:rPr>
        <w:t>he</w:t>
      </w:r>
      <w:r>
        <w:rPr>
          <w:spacing w:val="-2"/>
          <w:sz w:val="26"/>
        </w:rPr>
        <w:t> </w:t>
      </w:r>
      <w:r>
        <w:rPr>
          <w:sz w:val="26"/>
        </w:rPr>
        <w:t>was</w:t>
      </w:r>
      <w:r>
        <w:rPr>
          <w:spacing w:val="-2"/>
          <w:sz w:val="26"/>
        </w:rPr>
        <w:t> </w:t>
      </w:r>
      <w:r>
        <w:rPr>
          <w:sz w:val="26"/>
        </w:rPr>
        <w:t>incarcerated for a crime of which he was innocent.  When this case arose, Manitowoc County was  resisting liability</w:t>
      </w:r>
      <w:r>
        <w:rPr>
          <w:spacing w:val="-1"/>
          <w:sz w:val="26"/>
        </w:rPr>
        <w:t> </w:t>
      </w:r>
      <w:r>
        <w:rPr>
          <w:sz w:val="26"/>
        </w:rPr>
        <w:t>aggressively.</w:t>
      </w:r>
    </w:p>
    <w:p>
      <w:pPr>
        <w:pStyle w:val="ListParagraph"/>
        <w:numPr>
          <w:ilvl w:val="0"/>
          <w:numId w:val="1"/>
        </w:numPr>
        <w:tabs>
          <w:tab w:pos="1561" w:val="left" w:leader="none"/>
        </w:tabs>
        <w:spacing w:line="444" w:lineRule="auto" w:before="0" w:after="0"/>
        <w:ind w:left="120" w:right="116" w:firstLine="720"/>
        <w:jc w:val="both"/>
        <w:rPr>
          <w:sz w:val="26"/>
        </w:rPr>
      </w:pPr>
      <w:r>
        <w:rPr>
          <w:sz w:val="26"/>
        </w:rPr>
        <w:t>On information and belief, Manitowoc County Sheriff</w:t>
      </w:r>
      <w:r>
        <w:rPr>
          <w:rFonts w:ascii="Times New Roman" w:hAnsi="Times New Roman"/>
          <w:sz w:val="26"/>
        </w:rPr>
        <w:t>’</w:t>
      </w:r>
      <w:r>
        <w:rPr>
          <w:sz w:val="26"/>
        </w:rPr>
        <w:t>s Department employees either gathered or allegedly first spotted certain physical items on which the state will rely at trial in this</w:t>
      </w:r>
      <w:r>
        <w:rPr>
          <w:spacing w:val="-4"/>
          <w:sz w:val="26"/>
        </w:rPr>
        <w:t> </w:t>
      </w:r>
      <w:r>
        <w:rPr>
          <w:sz w:val="26"/>
        </w:rPr>
        <w:t>case.</w:t>
      </w:r>
    </w:p>
    <w:p>
      <w:pPr>
        <w:spacing w:after="0" w:line="444" w:lineRule="auto"/>
        <w:jc w:val="both"/>
        <w:rPr>
          <w:sz w:val="26"/>
        </w:rPr>
        <w:sectPr>
          <w:footerReference w:type="default" r:id="rId5"/>
          <w:pgSz w:w="12240" w:h="15840"/>
          <w:pgMar w:footer="1157" w:header="0" w:top="1400" w:bottom="1340" w:left="1320" w:right="1320"/>
          <w:pgNumType w:start="2"/>
        </w:sectPr>
      </w:pPr>
    </w:p>
    <w:p>
      <w:pPr>
        <w:pStyle w:val="ListParagraph"/>
        <w:numPr>
          <w:ilvl w:val="0"/>
          <w:numId w:val="1"/>
        </w:numPr>
        <w:tabs>
          <w:tab w:pos="1561" w:val="left" w:leader="none"/>
        </w:tabs>
        <w:spacing w:line="444" w:lineRule="auto" w:before="25" w:after="0"/>
        <w:ind w:left="120" w:right="117" w:firstLine="720"/>
        <w:jc w:val="both"/>
        <w:rPr>
          <w:sz w:val="26"/>
        </w:rPr>
      </w:pPr>
      <w:r>
        <w:rPr>
          <w:sz w:val="26"/>
        </w:rPr>
        <w:t>On information and belief, the participation of both the Calumet County Sheriff</w:t>
      </w:r>
      <w:r>
        <w:rPr>
          <w:rFonts w:ascii="Times New Roman" w:hAnsi="Times New Roman"/>
          <w:sz w:val="26"/>
        </w:rPr>
        <w:t>’</w:t>
      </w:r>
      <w:r>
        <w:rPr>
          <w:sz w:val="26"/>
        </w:rPr>
        <w:t>s Department and the Calumet County District Attorney was procured at the request of Manitowoc County officials and</w:t>
      </w:r>
      <w:r>
        <w:rPr>
          <w:spacing w:val="-5"/>
          <w:sz w:val="26"/>
        </w:rPr>
        <w:t> </w:t>
      </w:r>
      <w:r>
        <w:rPr>
          <w:sz w:val="26"/>
        </w:rPr>
        <w:t>employees.</w:t>
      </w:r>
    </w:p>
    <w:p>
      <w:pPr>
        <w:pStyle w:val="ListParagraph"/>
        <w:numPr>
          <w:ilvl w:val="0"/>
          <w:numId w:val="1"/>
        </w:numPr>
        <w:tabs>
          <w:tab w:pos="1561" w:val="left" w:leader="none"/>
        </w:tabs>
        <w:spacing w:line="444" w:lineRule="auto" w:before="0" w:after="0"/>
        <w:ind w:left="120" w:right="115" w:firstLine="720"/>
        <w:jc w:val="both"/>
        <w:rPr>
          <w:sz w:val="26"/>
        </w:rPr>
      </w:pPr>
      <w:r>
        <w:rPr>
          <w:sz w:val="26"/>
        </w:rPr>
        <w:t>Mr. Avery has said consistently that he is innocent of the crimes charged here. He also has asserted that Manitowoc County officials are biased against him, and that they may be trying to make him appear guilty here of acts that he did not undertake and intentions that he did not</w:t>
      </w:r>
      <w:r>
        <w:rPr>
          <w:spacing w:val="-4"/>
          <w:sz w:val="26"/>
        </w:rPr>
        <w:t> </w:t>
      </w:r>
      <w:r>
        <w:rPr>
          <w:sz w:val="26"/>
        </w:rPr>
        <w:t>have.</w:t>
      </w:r>
    </w:p>
    <w:p>
      <w:pPr>
        <w:pStyle w:val="ListParagraph"/>
        <w:numPr>
          <w:ilvl w:val="0"/>
          <w:numId w:val="1"/>
        </w:numPr>
        <w:tabs>
          <w:tab w:pos="1561" w:val="left" w:leader="none"/>
        </w:tabs>
        <w:spacing w:line="444" w:lineRule="auto" w:before="0" w:after="0"/>
        <w:ind w:left="120" w:right="116" w:firstLine="719"/>
        <w:jc w:val="both"/>
        <w:rPr>
          <w:sz w:val="26"/>
        </w:rPr>
      </w:pPr>
      <w:r>
        <w:rPr>
          <w:sz w:val="26"/>
        </w:rPr>
        <w:t>The new charges against Mr. Avery</w:t>
      </w:r>
      <w:r>
        <w:rPr>
          <w:rFonts w:ascii="Times New Roman" w:hAnsi="Times New Roman"/>
          <w:sz w:val="26"/>
        </w:rPr>
        <w:t>’</w:t>
      </w:r>
      <w:r>
        <w:rPr>
          <w:sz w:val="26"/>
        </w:rPr>
        <w:t>s nephew, Brendan Dassey, give additional reason to assure the fairness of forensic testing, and the appearance of  its  fairness.  Obviously, young Mr. Dassey</w:t>
      </w:r>
      <w:r>
        <w:rPr>
          <w:rFonts w:ascii="Times New Roman" w:hAnsi="Times New Roman"/>
          <w:sz w:val="26"/>
        </w:rPr>
        <w:t>’</w:t>
      </w:r>
      <w:r>
        <w:rPr>
          <w:sz w:val="26"/>
        </w:rPr>
        <w:t>s alleged statements are inadmissible in their entirety against Mr. Avery. Further, forensic testing may be necessary to disprove events apparently alleged  by Mr.</w:t>
      </w:r>
      <w:r>
        <w:rPr>
          <w:spacing w:val="-3"/>
          <w:sz w:val="26"/>
        </w:rPr>
        <w:t> </w:t>
      </w:r>
      <w:r>
        <w:rPr>
          <w:sz w:val="26"/>
        </w:rPr>
        <w:t>Dassey.</w:t>
      </w:r>
    </w:p>
    <w:p>
      <w:pPr>
        <w:pStyle w:val="ListParagraph"/>
        <w:numPr>
          <w:ilvl w:val="0"/>
          <w:numId w:val="1"/>
        </w:numPr>
        <w:tabs>
          <w:tab w:pos="1561" w:val="left" w:leader="none"/>
        </w:tabs>
        <w:spacing w:line="444" w:lineRule="auto" w:before="0" w:after="0"/>
        <w:ind w:left="120" w:right="117" w:firstLine="720"/>
        <w:jc w:val="both"/>
        <w:rPr>
          <w:sz w:val="26"/>
        </w:rPr>
      </w:pPr>
      <w:r>
        <w:rPr>
          <w:sz w:val="26"/>
        </w:rPr>
        <w:t>The Court, the prosecution, Mr. Avery, and Manitowoc County residents all have an interest in assuring that the handling of this case exceeds the normal standards, and that its fairness is beyond reproach or</w:t>
      </w:r>
      <w:r>
        <w:rPr>
          <w:spacing w:val="-10"/>
          <w:sz w:val="26"/>
        </w:rPr>
        <w:t> </w:t>
      </w:r>
      <w:r>
        <w:rPr>
          <w:sz w:val="26"/>
        </w:rPr>
        <w:t>question.</w:t>
      </w:r>
    </w:p>
    <w:p>
      <w:pPr>
        <w:pStyle w:val="ListParagraph"/>
        <w:numPr>
          <w:ilvl w:val="0"/>
          <w:numId w:val="1"/>
        </w:numPr>
        <w:tabs>
          <w:tab w:pos="1561" w:val="left" w:leader="none"/>
        </w:tabs>
        <w:spacing w:line="444" w:lineRule="auto" w:before="0" w:after="0"/>
        <w:ind w:left="120" w:right="115" w:firstLine="720"/>
        <w:jc w:val="both"/>
        <w:rPr>
          <w:sz w:val="26"/>
        </w:rPr>
      </w:pPr>
      <w:r>
        <w:rPr>
          <w:sz w:val="26"/>
        </w:rPr>
        <w:t>If the investigators and prosecutor involved in this case bear no bias or inappropriate malice against Mr. Avery, and if their handling of evidence and testing of items seized is beyond reproach, they will have no objection to quiet and unobtrusive observation by a</w:t>
      </w:r>
      <w:r>
        <w:rPr>
          <w:spacing w:val="14"/>
          <w:sz w:val="26"/>
        </w:rPr>
        <w:t> </w:t>
      </w:r>
      <w:r>
        <w:rPr>
          <w:sz w:val="26"/>
        </w:rPr>
        <w:t>defense</w:t>
      </w:r>
      <w:r>
        <w:rPr>
          <w:spacing w:val="15"/>
          <w:sz w:val="26"/>
        </w:rPr>
        <w:t> </w:t>
      </w:r>
      <w:r>
        <w:rPr>
          <w:sz w:val="26"/>
        </w:rPr>
        <w:t>representative.</w:t>
      </w:r>
      <w:r>
        <w:rPr>
          <w:spacing w:val="44"/>
          <w:sz w:val="26"/>
        </w:rPr>
        <w:t> </w:t>
      </w:r>
      <w:r>
        <w:rPr>
          <w:sz w:val="26"/>
        </w:rPr>
        <w:t>Neither</w:t>
      </w:r>
      <w:r>
        <w:rPr>
          <w:spacing w:val="15"/>
          <w:sz w:val="26"/>
        </w:rPr>
        <w:t> </w:t>
      </w:r>
      <w:r>
        <w:rPr>
          <w:sz w:val="26"/>
        </w:rPr>
        <w:t>will</w:t>
      </w:r>
      <w:r>
        <w:rPr>
          <w:spacing w:val="14"/>
          <w:sz w:val="26"/>
        </w:rPr>
        <w:t> </w:t>
      </w:r>
      <w:r>
        <w:rPr>
          <w:sz w:val="26"/>
        </w:rPr>
        <w:t>they</w:t>
      </w:r>
      <w:r>
        <w:rPr>
          <w:spacing w:val="17"/>
          <w:sz w:val="26"/>
        </w:rPr>
        <w:t> </w:t>
      </w:r>
      <w:r>
        <w:rPr>
          <w:sz w:val="26"/>
        </w:rPr>
        <w:t>have</w:t>
      </w:r>
      <w:r>
        <w:rPr>
          <w:spacing w:val="17"/>
          <w:sz w:val="26"/>
        </w:rPr>
        <w:t> </w:t>
      </w:r>
      <w:r>
        <w:rPr>
          <w:sz w:val="26"/>
        </w:rPr>
        <w:t>any</w:t>
      </w:r>
      <w:r>
        <w:rPr>
          <w:spacing w:val="18"/>
          <w:sz w:val="26"/>
        </w:rPr>
        <w:t> </w:t>
      </w:r>
      <w:r>
        <w:rPr>
          <w:sz w:val="26"/>
        </w:rPr>
        <w:t>objection</w:t>
      </w:r>
      <w:r>
        <w:rPr>
          <w:spacing w:val="18"/>
          <w:sz w:val="26"/>
        </w:rPr>
        <w:t> </w:t>
      </w:r>
      <w:r>
        <w:rPr>
          <w:sz w:val="26"/>
        </w:rPr>
        <w:t>simply</w:t>
      </w:r>
      <w:r>
        <w:rPr>
          <w:spacing w:val="18"/>
          <w:sz w:val="26"/>
        </w:rPr>
        <w:t> </w:t>
      </w:r>
      <w:r>
        <w:rPr>
          <w:sz w:val="26"/>
        </w:rPr>
        <w:t>to</w:t>
      </w:r>
      <w:r>
        <w:rPr>
          <w:spacing w:val="17"/>
          <w:sz w:val="26"/>
        </w:rPr>
        <w:t> </w:t>
      </w:r>
      <w:r>
        <w:rPr>
          <w:sz w:val="26"/>
        </w:rPr>
        <w:t>recording</w:t>
      </w:r>
      <w:r>
        <w:rPr>
          <w:spacing w:val="18"/>
          <w:sz w:val="26"/>
        </w:rPr>
        <w:t> </w:t>
      </w:r>
      <w:r>
        <w:rPr>
          <w:sz w:val="26"/>
        </w:rPr>
        <w:t>in</w:t>
      </w:r>
      <w:r>
        <w:rPr>
          <w:spacing w:val="18"/>
          <w:sz w:val="26"/>
        </w:rPr>
        <w:t> </w:t>
      </w:r>
      <w:r>
        <w:rPr>
          <w:sz w:val="26"/>
        </w:rPr>
        <w:t>video</w:t>
      </w:r>
    </w:p>
    <w:p>
      <w:pPr>
        <w:spacing w:after="0" w:line="444" w:lineRule="auto"/>
        <w:jc w:val="both"/>
        <w:rPr>
          <w:sz w:val="26"/>
        </w:rPr>
        <w:sectPr>
          <w:pgSz w:w="12240" w:h="15840"/>
          <w:pgMar w:header="0" w:footer="1157" w:top="1400" w:bottom="1340" w:left="1320" w:right="1320"/>
        </w:sectPr>
      </w:pPr>
    </w:p>
    <w:p>
      <w:pPr>
        <w:pStyle w:val="BodyText"/>
        <w:spacing w:line="444" w:lineRule="auto" w:before="25"/>
        <w:ind w:left="119" w:right="116"/>
        <w:jc w:val="both"/>
      </w:pPr>
      <w:r>
        <w:rPr/>
        <w:t>format all of the steps they take in scientific and forensic testing. These steps not only will assist in the search for truth by documenting all aspects of the scientific and forensic testing, they will assure both fairness and its appearance.</w:t>
      </w:r>
    </w:p>
    <w:p>
      <w:pPr>
        <w:pStyle w:val="ListParagraph"/>
        <w:numPr>
          <w:ilvl w:val="0"/>
          <w:numId w:val="1"/>
        </w:numPr>
        <w:tabs>
          <w:tab w:pos="1561" w:val="left" w:leader="none"/>
        </w:tabs>
        <w:spacing w:line="444" w:lineRule="auto" w:before="0" w:after="0"/>
        <w:ind w:left="120" w:right="116" w:firstLine="720"/>
        <w:jc w:val="both"/>
        <w:rPr>
          <w:rFonts w:ascii="Times New Roman" w:hAnsi="Times New Roman"/>
          <w:sz w:val="26"/>
        </w:rPr>
      </w:pPr>
      <w:r>
        <w:rPr>
          <w:sz w:val="26"/>
        </w:rPr>
        <w:t>On the unusual, even unique, facts of this case and Mr. Avery</w:t>
      </w:r>
      <w:r>
        <w:rPr>
          <w:rFonts w:ascii="Times New Roman" w:hAnsi="Times New Roman"/>
          <w:sz w:val="26"/>
        </w:rPr>
        <w:t>’</w:t>
      </w:r>
      <w:r>
        <w:rPr>
          <w:sz w:val="26"/>
        </w:rPr>
        <w:t>s history with the Manitowoc criminal justice system, the due process interest in a fair trial requires the Court to grant the relief he requests. Again, if the state now acts without bias and seeks only the  pursuit of truth, it can have no genuine objection to this relief, for</w:t>
      </w:r>
      <w:r>
        <w:rPr>
          <w:spacing w:val="-22"/>
          <w:sz w:val="26"/>
        </w:rPr>
        <w:t> </w:t>
      </w:r>
      <w:r>
        <w:rPr>
          <w:rFonts w:ascii="Times New Roman" w:hAnsi="Times New Roman"/>
          <w:sz w:val="26"/>
        </w:rPr>
        <w:t>—</w:t>
      </w:r>
    </w:p>
    <w:p>
      <w:pPr>
        <w:pStyle w:val="ListParagraph"/>
        <w:numPr>
          <w:ilvl w:val="1"/>
          <w:numId w:val="1"/>
        </w:numPr>
        <w:tabs>
          <w:tab w:pos="2281" w:val="left" w:leader="none"/>
        </w:tabs>
        <w:spacing w:line="444" w:lineRule="auto" w:before="0" w:after="0"/>
        <w:ind w:left="120" w:right="116" w:firstLine="1440"/>
        <w:jc w:val="both"/>
        <w:rPr>
          <w:sz w:val="26"/>
        </w:rPr>
      </w:pPr>
      <w:r>
        <w:rPr>
          <w:sz w:val="26"/>
        </w:rPr>
        <w:t>Mr. Avery does not request that the defense be allowed to interfere with, dictate, modify, challenge at the time, or participate actively in any state</w:t>
      </w:r>
      <w:r>
        <w:rPr>
          <w:spacing w:val="-32"/>
          <w:sz w:val="26"/>
        </w:rPr>
        <w:t> </w:t>
      </w:r>
      <w:r>
        <w:rPr>
          <w:sz w:val="26"/>
        </w:rPr>
        <w:t>testing.</w:t>
      </w:r>
    </w:p>
    <w:p>
      <w:pPr>
        <w:pStyle w:val="ListParagraph"/>
        <w:numPr>
          <w:ilvl w:val="1"/>
          <w:numId w:val="1"/>
        </w:numPr>
        <w:tabs>
          <w:tab w:pos="2280" w:val="left" w:leader="none"/>
        </w:tabs>
        <w:spacing w:line="444" w:lineRule="auto" w:before="0" w:after="0"/>
        <w:ind w:left="120" w:right="116" w:firstLine="1440"/>
        <w:jc w:val="both"/>
        <w:rPr>
          <w:sz w:val="26"/>
        </w:rPr>
      </w:pPr>
      <w:r>
        <w:rPr>
          <w:sz w:val="26"/>
        </w:rPr>
        <w:t>Mr. Avery does not request that he personally be allowed to observe any testing, or that the Court order any other relief that would pose a security or transportation</w:t>
      </w:r>
      <w:r>
        <w:rPr>
          <w:spacing w:val="-46"/>
          <w:sz w:val="26"/>
        </w:rPr>
        <w:t> </w:t>
      </w:r>
      <w:r>
        <w:rPr>
          <w:sz w:val="26"/>
        </w:rPr>
        <w:t>cost or risk to the</w:t>
      </w:r>
      <w:r>
        <w:rPr>
          <w:spacing w:val="-2"/>
          <w:sz w:val="26"/>
        </w:rPr>
        <w:t> </w:t>
      </w:r>
      <w:r>
        <w:rPr>
          <w:sz w:val="26"/>
        </w:rPr>
        <w:t>state.</w:t>
      </w:r>
    </w:p>
    <w:p>
      <w:pPr>
        <w:pStyle w:val="ListParagraph"/>
        <w:numPr>
          <w:ilvl w:val="1"/>
          <w:numId w:val="1"/>
        </w:numPr>
        <w:tabs>
          <w:tab w:pos="2280" w:val="left" w:leader="none"/>
        </w:tabs>
        <w:spacing w:line="444" w:lineRule="auto" w:before="0" w:after="0"/>
        <w:ind w:left="120" w:right="117" w:firstLine="1440"/>
        <w:jc w:val="both"/>
        <w:rPr>
          <w:sz w:val="26"/>
        </w:rPr>
      </w:pPr>
      <w:r>
        <w:rPr>
          <w:sz w:val="26"/>
        </w:rPr>
        <w:t>Mr. Avery does not request that the state bear the cost of defense observation or video recording. The defense can bear those</w:t>
      </w:r>
      <w:r>
        <w:rPr>
          <w:spacing w:val="-26"/>
          <w:sz w:val="26"/>
        </w:rPr>
        <w:t> </w:t>
      </w:r>
      <w:r>
        <w:rPr>
          <w:sz w:val="26"/>
        </w:rPr>
        <w:t>expenses.</w:t>
      </w:r>
    </w:p>
    <w:p>
      <w:pPr>
        <w:pStyle w:val="ListParagraph"/>
        <w:numPr>
          <w:ilvl w:val="1"/>
          <w:numId w:val="1"/>
        </w:numPr>
        <w:tabs>
          <w:tab w:pos="2281" w:val="left" w:leader="none"/>
        </w:tabs>
        <w:spacing w:line="444" w:lineRule="auto" w:before="0" w:after="0"/>
        <w:ind w:left="120" w:right="117" w:firstLine="1440"/>
        <w:jc w:val="both"/>
        <w:rPr>
          <w:sz w:val="26"/>
        </w:rPr>
      </w:pPr>
      <w:r>
        <w:rPr>
          <w:sz w:val="26"/>
        </w:rPr>
        <w:t>Mr. Avery will agree to any reasonable restriction the Court may impose on public disclosure before trial of any results of scientific or forensic testing that may become known to the defense through the relief Mr. Avery here</w:t>
      </w:r>
      <w:r>
        <w:rPr>
          <w:spacing w:val="-14"/>
          <w:sz w:val="26"/>
        </w:rPr>
        <w:t> </w:t>
      </w:r>
      <w:r>
        <w:rPr>
          <w:sz w:val="26"/>
        </w:rPr>
        <w:t>requests.</w:t>
      </w:r>
    </w:p>
    <w:p>
      <w:pPr>
        <w:pStyle w:val="ListParagraph"/>
        <w:numPr>
          <w:ilvl w:val="0"/>
          <w:numId w:val="1"/>
        </w:numPr>
        <w:tabs>
          <w:tab w:pos="1561" w:val="left" w:leader="none"/>
        </w:tabs>
        <w:spacing w:line="444" w:lineRule="auto" w:before="0" w:after="0"/>
        <w:ind w:left="120" w:right="118" w:firstLine="720"/>
        <w:jc w:val="both"/>
        <w:rPr>
          <w:rFonts w:ascii="Times New Roman" w:hAnsi="Times New Roman"/>
          <w:sz w:val="26"/>
        </w:rPr>
      </w:pPr>
      <w:r>
        <w:rPr>
          <w:sz w:val="26"/>
        </w:rPr>
        <w:t>Implicitly, § 165.79(1) of the Wisconsin Statutes allows the relief Mr. Avery requests here, for these reasons</w:t>
      </w:r>
      <w:r>
        <w:rPr>
          <w:spacing w:val="-9"/>
          <w:sz w:val="26"/>
        </w:rPr>
        <w:t> </w:t>
      </w:r>
      <w:r>
        <w:rPr>
          <w:rFonts w:ascii="Times New Roman" w:hAnsi="Times New Roman"/>
          <w:sz w:val="26"/>
        </w:rPr>
        <w:t>—</w:t>
      </w:r>
    </w:p>
    <w:p>
      <w:pPr>
        <w:spacing w:after="0" w:line="444" w:lineRule="auto"/>
        <w:jc w:val="both"/>
        <w:rPr>
          <w:rFonts w:ascii="Times New Roman" w:hAnsi="Times New Roman"/>
          <w:sz w:val="26"/>
        </w:rPr>
        <w:sectPr>
          <w:pgSz w:w="12240" w:h="15840"/>
          <w:pgMar w:header="0" w:footer="1157" w:top="1400" w:bottom="1340" w:left="1320" w:right="1320"/>
        </w:sectPr>
      </w:pPr>
    </w:p>
    <w:p>
      <w:pPr>
        <w:pStyle w:val="ListParagraph"/>
        <w:numPr>
          <w:ilvl w:val="1"/>
          <w:numId w:val="1"/>
        </w:numPr>
        <w:tabs>
          <w:tab w:pos="2281" w:val="left" w:leader="none"/>
        </w:tabs>
        <w:spacing w:line="444" w:lineRule="auto" w:before="25" w:after="0"/>
        <w:ind w:left="120" w:right="114" w:firstLine="1440"/>
        <w:jc w:val="both"/>
        <w:rPr>
          <w:sz w:val="26"/>
        </w:rPr>
      </w:pPr>
      <w:r>
        <w:rPr>
          <w:sz w:val="26"/>
        </w:rPr>
        <w:t>First, that section provides that the defense is entitled to disclosure of</w:t>
      </w:r>
      <w:r>
        <w:rPr>
          <w:spacing w:val="-40"/>
          <w:sz w:val="26"/>
        </w:rPr>
        <w:t> </w:t>
      </w:r>
      <w:r>
        <w:rPr>
          <w:sz w:val="26"/>
        </w:rPr>
        <w:t>the State Crime Laboratory</w:t>
      </w:r>
      <w:r>
        <w:rPr>
          <w:rFonts w:ascii="Times New Roman" w:hAnsi="Times New Roman"/>
          <w:sz w:val="26"/>
        </w:rPr>
        <w:t>’</w:t>
      </w:r>
      <w:r>
        <w:rPr>
          <w:sz w:val="26"/>
        </w:rPr>
        <w:t>s findings prior to trial if the state uses those findings in a preliminary hearing or as provided by W</w:t>
      </w:r>
      <w:r>
        <w:rPr>
          <w:sz w:val="21"/>
        </w:rPr>
        <w:t>IS</w:t>
      </w:r>
      <w:r>
        <w:rPr>
          <w:sz w:val="26"/>
        </w:rPr>
        <w:t>. S</w:t>
      </w:r>
      <w:r>
        <w:rPr>
          <w:sz w:val="21"/>
        </w:rPr>
        <w:t>TAT</w:t>
      </w:r>
      <w:r>
        <w:rPr>
          <w:sz w:val="26"/>
        </w:rPr>
        <w:t>. § 971.23.  Those provisions would cover all or almost all testing the state may undertake here, so the relief requested would affect only the manner and timing of disclosure; it would not give the defense any new right to</w:t>
      </w:r>
      <w:r>
        <w:rPr>
          <w:spacing w:val="-33"/>
          <w:sz w:val="26"/>
        </w:rPr>
        <w:t> </w:t>
      </w:r>
      <w:r>
        <w:rPr>
          <w:sz w:val="26"/>
        </w:rPr>
        <w:t>disclosure.</w:t>
      </w:r>
    </w:p>
    <w:p>
      <w:pPr>
        <w:pStyle w:val="ListParagraph"/>
        <w:numPr>
          <w:ilvl w:val="1"/>
          <w:numId w:val="1"/>
        </w:numPr>
        <w:tabs>
          <w:tab w:pos="2280" w:val="left" w:leader="none"/>
        </w:tabs>
        <w:spacing w:line="444" w:lineRule="auto" w:before="0" w:after="0"/>
        <w:ind w:left="119" w:right="115" w:firstLine="1441"/>
        <w:jc w:val="both"/>
        <w:rPr>
          <w:sz w:val="26"/>
        </w:rPr>
      </w:pPr>
      <w:r>
        <w:rPr>
          <w:sz w:val="26"/>
        </w:rPr>
        <w:t>Second, § 165.79(1) expressly provides that a judge may order the State Crime Laboratory in a felony case to conduct analyses of evidence on behalf of the defendant. That power of the court should embrace the lesser power to allow the defendant to observe or have recorded the testing of items that he himself could request be tested for</w:t>
      </w:r>
      <w:r>
        <w:rPr>
          <w:spacing w:val="-30"/>
          <w:sz w:val="26"/>
        </w:rPr>
        <w:t> </w:t>
      </w:r>
      <w:r>
        <w:rPr>
          <w:sz w:val="26"/>
        </w:rPr>
        <w:t>him.</w:t>
      </w:r>
    </w:p>
    <w:p>
      <w:pPr>
        <w:pStyle w:val="ListParagraph"/>
        <w:numPr>
          <w:ilvl w:val="1"/>
          <w:numId w:val="1"/>
        </w:numPr>
        <w:tabs>
          <w:tab w:pos="2280" w:val="left" w:leader="none"/>
        </w:tabs>
        <w:spacing w:line="444" w:lineRule="auto" w:before="0" w:after="0"/>
        <w:ind w:left="119" w:right="116" w:firstLine="1441"/>
        <w:jc w:val="both"/>
        <w:rPr>
          <w:sz w:val="26"/>
        </w:rPr>
      </w:pPr>
      <w:r>
        <w:rPr>
          <w:sz w:val="26"/>
        </w:rPr>
        <w:t>To the extent that any scientific or forensic testing produces results that the state does not wish to use at trial, or that do not assist the prosecution, the results of that testing and the integrity of the process of testing (to credit its reliability) both are exculpatory information within the meaning of </w:t>
      </w:r>
      <w:r>
        <w:rPr>
          <w:rFonts w:ascii="Bookman Old Style"/>
          <w:b w:val="0"/>
          <w:i/>
          <w:sz w:val="27"/>
        </w:rPr>
        <w:t>Brady v. Maryland</w:t>
      </w:r>
      <w:r>
        <w:rPr>
          <w:sz w:val="26"/>
        </w:rPr>
        <w:t>, 373 U.S. 83 (1963), and progeny. The relief Mr. Avery seeks here is a permissible method of assuring timely and full disclosure of that exculpatory information to the</w:t>
      </w:r>
      <w:r>
        <w:rPr>
          <w:spacing w:val="-5"/>
          <w:sz w:val="26"/>
        </w:rPr>
        <w:t> </w:t>
      </w:r>
      <w:r>
        <w:rPr>
          <w:sz w:val="26"/>
        </w:rPr>
        <w:t>defense.</w:t>
      </w:r>
    </w:p>
    <w:p>
      <w:pPr>
        <w:pStyle w:val="ListParagraph"/>
        <w:numPr>
          <w:ilvl w:val="1"/>
          <w:numId w:val="1"/>
        </w:numPr>
        <w:tabs>
          <w:tab w:pos="2281" w:val="left" w:leader="none"/>
        </w:tabs>
        <w:spacing w:line="444" w:lineRule="auto" w:before="0" w:after="0"/>
        <w:ind w:left="120" w:right="116" w:firstLine="1440"/>
        <w:jc w:val="both"/>
        <w:rPr>
          <w:sz w:val="26"/>
        </w:rPr>
      </w:pPr>
      <w:r>
        <w:rPr>
          <w:sz w:val="26"/>
        </w:rPr>
        <w:t>To the extent that the state has contracted any scientific or forensic testing to private laboratories or to organizations other than the State Crime Laboratory, this motion seeks only a natural extension of the rationale of § 165.79(1). The due</w:t>
      </w:r>
      <w:r>
        <w:rPr>
          <w:spacing w:val="-28"/>
          <w:sz w:val="26"/>
        </w:rPr>
        <w:t> </w:t>
      </w:r>
      <w:r>
        <w:rPr>
          <w:sz w:val="26"/>
        </w:rPr>
        <w:t>process</w:t>
      </w:r>
    </w:p>
    <w:p>
      <w:pPr>
        <w:spacing w:after="0" w:line="444" w:lineRule="auto"/>
        <w:jc w:val="both"/>
        <w:rPr>
          <w:sz w:val="26"/>
        </w:rPr>
        <w:sectPr>
          <w:pgSz w:w="12240" w:h="15840"/>
          <w:pgMar w:header="0" w:footer="1157" w:top="1400" w:bottom="1340" w:left="1320" w:right="1320"/>
        </w:sectPr>
      </w:pPr>
    </w:p>
    <w:p>
      <w:pPr>
        <w:pStyle w:val="BodyText"/>
        <w:spacing w:line="444" w:lineRule="auto" w:before="25"/>
        <w:ind w:left="119" w:right="118"/>
      </w:pPr>
      <w:r>
        <w:rPr/>
        <w:t>clauses of the federal and state constitutions provide adequate basis for that extension, to assure both a fair trial and its appearance in this</w:t>
      </w:r>
      <w:r>
        <w:rPr>
          <w:spacing w:val="-13"/>
        </w:rPr>
        <w:t> </w:t>
      </w:r>
      <w:r>
        <w:rPr/>
        <w:t>case.</w:t>
      </w:r>
    </w:p>
    <w:p>
      <w:pPr>
        <w:pStyle w:val="BodyText"/>
        <w:spacing w:line="444" w:lineRule="auto"/>
        <w:ind w:left="120" w:right="115" w:firstLine="720"/>
        <w:jc w:val="both"/>
      </w:pPr>
      <w:r>
        <w:rPr/>
        <w:t>WHEREFORE, Steven Avery requests that the Court order at defense expense the two forms of relief requested in the first paragraph of this motion or, as a less favored alternative, one or the other of those forms of relief. He also asks that the Court immediately order temporary postponement of any scientific or forensic testing pending a ruling on this motion, to</w:t>
      </w:r>
      <w:r>
        <w:rPr>
          <w:spacing w:val="-18"/>
        </w:rPr>
        <w:t> </w:t>
      </w:r>
      <w:r>
        <w:rPr/>
        <w:t>preserve</w:t>
      </w:r>
      <w:r>
        <w:rPr>
          <w:spacing w:val="-17"/>
        </w:rPr>
        <w:t> </w:t>
      </w:r>
      <w:r>
        <w:rPr/>
        <w:t>the</w:t>
      </w:r>
      <w:r>
        <w:rPr>
          <w:spacing w:val="-18"/>
        </w:rPr>
        <w:t> </w:t>
      </w:r>
      <w:r>
        <w:rPr>
          <w:rFonts w:ascii="Bookman Old Style"/>
          <w:b w:val="0"/>
          <w:i/>
          <w:sz w:val="27"/>
        </w:rPr>
        <w:t>status</w:t>
      </w:r>
      <w:r>
        <w:rPr>
          <w:rFonts w:ascii="Bookman Old Style"/>
          <w:b w:val="0"/>
          <w:i/>
          <w:spacing w:val="-30"/>
          <w:sz w:val="27"/>
        </w:rPr>
        <w:t> </w:t>
      </w:r>
      <w:r>
        <w:rPr>
          <w:rFonts w:ascii="Bookman Old Style"/>
          <w:b w:val="0"/>
          <w:i/>
          <w:sz w:val="27"/>
        </w:rPr>
        <w:t>quo</w:t>
      </w:r>
      <w:r>
        <w:rPr/>
        <w:t>.</w:t>
      </w:r>
      <w:r>
        <w:rPr>
          <w:spacing w:val="44"/>
        </w:rPr>
        <w:t> </w:t>
      </w:r>
      <w:r>
        <w:rPr/>
        <w:t>Mr.</w:t>
      </w:r>
      <w:r>
        <w:rPr>
          <w:spacing w:val="-17"/>
        </w:rPr>
        <w:t> </w:t>
      </w:r>
      <w:r>
        <w:rPr/>
        <w:t>Avery</w:t>
      </w:r>
      <w:r>
        <w:rPr>
          <w:spacing w:val="-16"/>
        </w:rPr>
        <w:t> </w:t>
      </w:r>
      <w:r>
        <w:rPr/>
        <w:t>does</w:t>
      </w:r>
      <w:r>
        <w:rPr>
          <w:spacing w:val="-17"/>
        </w:rPr>
        <w:t> </w:t>
      </w:r>
      <w:r>
        <w:rPr/>
        <w:t>not</w:t>
      </w:r>
      <w:r>
        <w:rPr>
          <w:spacing w:val="-16"/>
        </w:rPr>
        <w:t> </w:t>
      </w:r>
      <w:r>
        <w:rPr/>
        <w:t>submit</w:t>
      </w:r>
      <w:r>
        <w:rPr>
          <w:spacing w:val="-16"/>
        </w:rPr>
        <w:t> </w:t>
      </w:r>
      <w:r>
        <w:rPr/>
        <w:t>a</w:t>
      </w:r>
      <w:r>
        <w:rPr>
          <w:spacing w:val="-16"/>
        </w:rPr>
        <w:t> </w:t>
      </w:r>
      <w:r>
        <w:rPr/>
        <w:t>separate</w:t>
      </w:r>
      <w:r>
        <w:rPr>
          <w:spacing w:val="-16"/>
        </w:rPr>
        <w:t> </w:t>
      </w:r>
      <w:r>
        <w:rPr/>
        <w:t>memorandum</w:t>
      </w:r>
      <w:r>
        <w:rPr>
          <w:spacing w:val="-15"/>
        </w:rPr>
        <w:t> </w:t>
      </w:r>
      <w:r>
        <w:rPr/>
        <w:t>in</w:t>
      </w:r>
      <w:r>
        <w:rPr>
          <w:spacing w:val="-16"/>
        </w:rPr>
        <w:t> </w:t>
      </w:r>
      <w:r>
        <w:rPr/>
        <w:t>support</w:t>
      </w:r>
      <w:r>
        <w:rPr>
          <w:spacing w:val="-17"/>
        </w:rPr>
        <w:t> </w:t>
      </w:r>
      <w:r>
        <w:rPr/>
        <w:t>of this motion, but reserves the right to reply in the unlikely event that the state opposes the motion.</w:t>
      </w:r>
    </w:p>
    <w:p>
      <w:pPr>
        <w:pStyle w:val="BodyText"/>
        <w:spacing w:line="359" w:lineRule="exact"/>
        <w:ind w:left="840"/>
      </w:pPr>
      <w:r>
        <w:rPr/>
        <w:t>Dated at Madison, Wisconsin, March 6, 2006.</w:t>
      </w:r>
    </w:p>
    <w:p>
      <w:pPr>
        <w:pStyle w:val="BodyText"/>
        <w:spacing w:before="13"/>
        <w:rPr>
          <w:sz w:val="21"/>
        </w:rPr>
      </w:pPr>
    </w:p>
    <w:p>
      <w:pPr>
        <w:pStyle w:val="BodyText"/>
        <w:ind w:left="5160"/>
      </w:pPr>
      <w:r>
        <w:rPr/>
        <w:t>Respectfully submitted,</w:t>
      </w:r>
    </w:p>
    <w:p>
      <w:pPr>
        <w:pStyle w:val="BodyText"/>
        <w:spacing w:before="1"/>
        <w:rPr>
          <w:sz w:val="22"/>
        </w:rPr>
      </w:pPr>
    </w:p>
    <w:p>
      <w:pPr>
        <w:spacing w:before="0"/>
        <w:ind w:left="5160" w:right="0" w:firstLine="0"/>
        <w:jc w:val="left"/>
        <w:rPr>
          <w:sz w:val="26"/>
        </w:rPr>
      </w:pPr>
      <w:r>
        <w:rPr>
          <w:sz w:val="26"/>
        </w:rPr>
        <w:t>H</w:t>
      </w:r>
      <w:r>
        <w:rPr>
          <w:sz w:val="21"/>
        </w:rPr>
        <w:t>URLEY</w:t>
      </w:r>
      <w:r>
        <w:rPr>
          <w:sz w:val="26"/>
        </w:rPr>
        <w:t>, B</w:t>
      </w:r>
      <w:r>
        <w:rPr>
          <w:sz w:val="21"/>
        </w:rPr>
        <w:t>URISH </w:t>
      </w:r>
      <w:r>
        <w:rPr>
          <w:sz w:val="26"/>
        </w:rPr>
        <w:t>&amp; S</w:t>
      </w:r>
      <w:r>
        <w:rPr>
          <w:sz w:val="21"/>
        </w:rPr>
        <w:t>TANTON</w:t>
      </w:r>
      <w:r>
        <w:rPr>
          <w:sz w:val="26"/>
        </w:rPr>
        <w:t>, </w:t>
      </w:r>
      <w:r>
        <w:rPr>
          <w:sz w:val="21"/>
        </w:rPr>
        <w:t>S</w:t>
      </w:r>
      <w:r>
        <w:rPr>
          <w:sz w:val="26"/>
        </w:rPr>
        <w:t>.</w:t>
      </w:r>
      <w:r>
        <w:rPr>
          <w:sz w:val="21"/>
        </w:rPr>
        <w:t>C</w:t>
      </w:r>
      <w:r>
        <w:rPr>
          <w:sz w:val="26"/>
        </w:rPr>
        <w:t>.</w:t>
      </w:r>
    </w:p>
    <w:p>
      <w:pPr>
        <w:pStyle w:val="BodyText"/>
        <w:rPr>
          <w:sz w:val="20"/>
        </w:rPr>
      </w:pPr>
    </w:p>
    <w:p>
      <w:pPr>
        <w:pStyle w:val="BodyText"/>
        <w:rPr>
          <w:sz w:val="20"/>
        </w:rPr>
      </w:pPr>
    </w:p>
    <w:p>
      <w:pPr>
        <w:pStyle w:val="BodyText"/>
        <w:rPr>
          <w:sz w:val="20"/>
        </w:rPr>
      </w:pPr>
    </w:p>
    <w:p>
      <w:pPr>
        <w:pStyle w:val="BodyText"/>
        <w:spacing w:before="7"/>
        <w:rPr>
          <w:sz w:val="28"/>
        </w:rPr>
      </w:pPr>
      <w:r>
        <w:rPr/>
        <w:pict>
          <v:line style="position:absolute;mso-position-horizontal-relative:page;mso-position-vertical-relative:paragraph;z-index:-952;mso-wrap-distance-left:0;mso-wrap-distance-right:0" from="323.999847pt,22.233177pt" to="495.411002pt,22.233177pt" stroked="true" strokeweight=".69486pt" strokecolor="#000000">
            <v:stroke dashstyle="solid"/>
            <w10:wrap type="topAndBottom"/>
          </v:line>
        </w:pict>
      </w:r>
    </w:p>
    <w:p>
      <w:pPr>
        <w:pStyle w:val="BodyText"/>
        <w:spacing w:line="346" w:lineRule="exact"/>
        <w:ind w:left="5159"/>
      </w:pPr>
      <w:r>
        <w:rPr/>
        <w:t>Dean A. Strang</w:t>
      </w:r>
    </w:p>
    <w:p>
      <w:pPr>
        <w:pStyle w:val="BodyText"/>
        <w:spacing w:line="220" w:lineRule="auto" w:before="7"/>
        <w:ind w:left="5159" w:right="859"/>
      </w:pPr>
      <w:r>
        <w:rPr/>
        <w:t>Wisconsin Bar No. 1009868 Counsel for Steven A. Avery</w:t>
      </w:r>
    </w:p>
    <w:p>
      <w:pPr>
        <w:pStyle w:val="BodyText"/>
        <w:spacing w:before="10"/>
        <w:rPr>
          <w:sz w:val="22"/>
        </w:rPr>
      </w:pPr>
    </w:p>
    <w:p>
      <w:pPr>
        <w:pStyle w:val="BodyText"/>
        <w:spacing w:line="350" w:lineRule="exact"/>
        <w:ind w:left="5159"/>
      </w:pPr>
      <w:r>
        <w:rPr/>
        <w:t>Post Office Box 1528</w:t>
      </w:r>
    </w:p>
    <w:p>
      <w:pPr>
        <w:pStyle w:val="BodyText"/>
        <w:spacing w:line="336" w:lineRule="exact"/>
        <w:ind w:left="5159"/>
      </w:pPr>
      <w:r>
        <w:rPr/>
        <w:t>Madison, Wisconsin 53701-1528</w:t>
      </w:r>
    </w:p>
    <w:p>
      <w:pPr>
        <w:pStyle w:val="BodyText"/>
        <w:spacing w:line="350" w:lineRule="exact"/>
        <w:ind w:left="5159"/>
      </w:pPr>
      <w:r>
        <w:rPr/>
        <w:t>(608) 257-0945</w:t>
      </w:r>
    </w:p>
    <w:sectPr>
      <w:footerReference w:type="default" r:id="rId6"/>
      <w:pgSz w:w="12240" w:h="15840"/>
      <w:pgMar w:footer="977" w:header="0" w:top="1400" w:bottom="1160" w:left="132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MingLiU-ExtB">
    <w:altName w:val="PMingLiU-ExtB"/>
    <w:charset w:val="0"/>
    <w:family w:val="roman"/>
    <w:pitch w:val="variable"/>
  </w:font>
  <w:font w:name="Bookman Old Style">
    <w:altName w:val="Bookman Old Style"/>
    <w:charset w:val="0"/>
    <w:family w:val="roman"/>
    <w:pitch w:val="variable"/>
  </w:font>
  <w:font w:name="Book Antiqua">
    <w:altName w:val="Book Antiqua"/>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300.999817pt;margin-top:723.159973pt;width:10pt;height:16.5pt;mso-position-horizontal-relative:page;mso-position-vertical-relative:page;z-index:-3760" type="#_x0000_t202" filled="false" stroked="false">
          <v:textbox inset="0,0,0,0">
            <w:txbxContent>
              <w:p>
                <w:pPr>
                  <w:spacing w:before="11"/>
                  <w:ind w:left="40" w:right="0" w:firstLine="0"/>
                  <w:jc w:val="left"/>
                  <w:rPr>
                    <w:rFonts w:ascii="Book Antiqua"/>
                    <w:sz w:val="24"/>
                  </w:rPr>
                </w:pPr>
                <w:r>
                  <w:rPr/>
                  <w:fldChar w:fldCharType="begin"/>
                </w:r>
                <w:r>
                  <w:rPr>
                    <w:rFonts w:ascii="Book Antiqua"/>
                    <w:w w:val="99"/>
                    <w:sz w:val="24"/>
                  </w:rPr>
                  <w:instrText> PAGE </w:instrText>
                </w:r>
                <w:r>
                  <w:rPr/>
                  <w:fldChar w:fldCharType="separate"/>
                </w:r>
                <w:r>
                  <w:rPr/>
                  <w:t>2</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01.999817pt;margin-top:732.159973pt;width:8pt;height:16.5pt;mso-position-horizontal-relative:page;mso-position-vertical-relative:page;z-index:-3736" type="#_x0000_t202" filled="false" stroked="false">
          <v:textbox inset="0,0,0,0">
            <w:txbxContent>
              <w:p>
                <w:pPr>
                  <w:spacing w:before="11"/>
                  <w:ind w:left="20" w:right="0" w:firstLine="0"/>
                  <w:jc w:val="left"/>
                  <w:rPr>
                    <w:rFonts w:ascii="Book Antiqua"/>
                    <w:sz w:val="24"/>
                  </w:rPr>
                </w:pPr>
                <w:r>
                  <w:rPr>
                    <w:rFonts w:ascii="Book Antiqua"/>
                    <w:w w:val="99"/>
                    <w:sz w:val="24"/>
                  </w:rPr>
                  <w:t>6</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560" w:hanging="721"/>
        <w:jc w:val="left"/>
      </w:pPr>
      <w:rPr>
        <w:rFonts w:hint="default" w:ascii="PMingLiU-ExtB" w:hAnsi="PMingLiU-ExtB" w:eastAsia="PMingLiU-ExtB" w:cs="PMingLiU-ExtB"/>
        <w:w w:val="99"/>
        <w:sz w:val="26"/>
        <w:szCs w:val="26"/>
      </w:rPr>
    </w:lvl>
    <w:lvl w:ilvl="1">
      <w:start w:val="1"/>
      <w:numFmt w:val="upperLetter"/>
      <w:lvlText w:val="%2."/>
      <w:lvlJc w:val="left"/>
      <w:pPr>
        <w:ind w:left="120" w:hanging="721"/>
        <w:jc w:val="left"/>
      </w:pPr>
      <w:rPr>
        <w:rFonts w:hint="default" w:ascii="PMingLiU-ExtB" w:hAnsi="PMingLiU-ExtB" w:eastAsia="PMingLiU-ExtB" w:cs="PMingLiU-ExtB"/>
        <w:spacing w:val="-1"/>
        <w:w w:val="99"/>
        <w:sz w:val="26"/>
        <w:szCs w:val="26"/>
      </w:rPr>
    </w:lvl>
    <w:lvl w:ilvl="2">
      <w:start w:val="0"/>
      <w:numFmt w:val="bullet"/>
      <w:lvlText w:val="•"/>
      <w:lvlJc w:val="left"/>
      <w:pPr>
        <w:ind w:left="2453" w:hanging="721"/>
      </w:pPr>
      <w:rPr>
        <w:rFonts w:hint="default"/>
      </w:rPr>
    </w:lvl>
    <w:lvl w:ilvl="3">
      <w:start w:val="0"/>
      <w:numFmt w:val="bullet"/>
      <w:lvlText w:val="•"/>
      <w:lvlJc w:val="left"/>
      <w:pPr>
        <w:ind w:left="3346" w:hanging="721"/>
      </w:pPr>
      <w:rPr>
        <w:rFonts w:hint="default"/>
      </w:rPr>
    </w:lvl>
    <w:lvl w:ilvl="4">
      <w:start w:val="0"/>
      <w:numFmt w:val="bullet"/>
      <w:lvlText w:val="•"/>
      <w:lvlJc w:val="left"/>
      <w:pPr>
        <w:ind w:left="4240" w:hanging="721"/>
      </w:pPr>
      <w:rPr>
        <w:rFonts w:hint="default"/>
      </w:rPr>
    </w:lvl>
    <w:lvl w:ilvl="5">
      <w:start w:val="0"/>
      <w:numFmt w:val="bullet"/>
      <w:lvlText w:val="•"/>
      <w:lvlJc w:val="left"/>
      <w:pPr>
        <w:ind w:left="5133" w:hanging="721"/>
      </w:pPr>
      <w:rPr>
        <w:rFonts w:hint="default"/>
      </w:rPr>
    </w:lvl>
    <w:lvl w:ilvl="6">
      <w:start w:val="0"/>
      <w:numFmt w:val="bullet"/>
      <w:lvlText w:val="•"/>
      <w:lvlJc w:val="left"/>
      <w:pPr>
        <w:ind w:left="6026" w:hanging="721"/>
      </w:pPr>
      <w:rPr>
        <w:rFonts w:hint="default"/>
      </w:rPr>
    </w:lvl>
    <w:lvl w:ilvl="7">
      <w:start w:val="0"/>
      <w:numFmt w:val="bullet"/>
      <w:lvlText w:val="•"/>
      <w:lvlJc w:val="left"/>
      <w:pPr>
        <w:ind w:left="6920" w:hanging="721"/>
      </w:pPr>
      <w:rPr>
        <w:rFonts w:hint="default"/>
      </w:rPr>
    </w:lvl>
    <w:lvl w:ilvl="8">
      <w:start w:val="0"/>
      <w:numFmt w:val="bullet"/>
      <w:lvlText w:val="•"/>
      <w:lvlJc w:val="left"/>
      <w:pPr>
        <w:ind w:left="7813" w:hanging="721"/>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PMingLiU-ExtB" w:hAnsi="PMingLiU-ExtB" w:eastAsia="PMingLiU-ExtB" w:cs="PMingLiU-ExtB"/>
    </w:rPr>
  </w:style>
  <w:style w:styleId="BodyText" w:type="paragraph">
    <w:name w:val="Body Text"/>
    <w:basedOn w:val="Normal"/>
    <w:uiPriority w:val="1"/>
    <w:qFormat/>
    <w:pPr/>
    <w:rPr>
      <w:rFonts w:ascii="PMingLiU-ExtB" w:hAnsi="PMingLiU-ExtB" w:eastAsia="PMingLiU-ExtB" w:cs="PMingLiU-ExtB"/>
      <w:sz w:val="26"/>
      <w:szCs w:val="26"/>
    </w:rPr>
  </w:style>
  <w:style w:styleId="Heading1" w:type="paragraph">
    <w:name w:val="Heading 1"/>
    <w:basedOn w:val="Normal"/>
    <w:uiPriority w:val="1"/>
    <w:qFormat/>
    <w:pPr>
      <w:ind w:left="2279"/>
      <w:outlineLvl w:val="1"/>
    </w:pPr>
    <w:rPr>
      <w:rFonts w:ascii="Bookman Old Style" w:hAnsi="Bookman Old Style" w:eastAsia="Bookman Old Style" w:cs="Bookman Old Style"/>
      <w:i/>
      <w:sz w:val="27"/>
      <w:szCs w:val="27"/>
    </w:rPr>
  </w:style>
  <w:style w:styleId="ListParagraph" w:type="paragraph">
    <w:name w:val="List Paragraph"/>
    <w:basedOn w:val="Normal"/>
    <w:uiPriority w:val="1"/>
    <w:qFormat/>
    <w:pPr>
      <w:ind w:left="120" w:right="116" w:firstLine="720"/>
      <w:jc w:val="both"/>
    </w:pPr>
    <w:rPr>
      <w:rFonts w:ascii="PMingLiU-ExtB" w:hAnsi="PMingLiU-ExtB" w:eastAsia="PMingLiU-ExtB" w:cs="PMingLiU-ExtB"/>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glippert</dc:creator>
  <dc:title>Microsoft Word - NACDL Motion Fair Forensic Testing_mtd</dc:title>
  <dcterms:created xsi:type="dcterms:W3CDTF">2019-02-19T19:38:38Z</dcterms:created>
  <dcterms:modified xsi:type="dcterms:W3CDTF">2019-02-19T19:38:38Z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2016-07-12T00:00:00Z</vt:filetime>
  </property>
  <property fmtid="{D5CDD505-2E9C-101B-9397-08002B2CF9AE}" pid="3" name="Creator">
    <vt:lpwstr>PrimoPDF http://www.primopdf.com</vt:lpwstr>
  </property>
  <property fmtid="{D5CDD505-2E9C-101B-9397-08002B2CF9AE}" pid="4" name="LastSaved">
    <vt:filetime>2019-02-19T00:00:00Z</vt:filetime>
  </property>
</Properties>
</file>