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1"/>
        <w:gridCol w:w="3601"/>
      </w:tblGrid>
      <w:tr>
        <w:trPr>
          <w:trHeight w:val="827" w:hRule="atLeast"/>
        </w:trPr>
        <w:tc>
          <w:tcPr>
            <w:tcW w:w="5761" w:type="dxa"/>
          </w:tcPr>
          <w:p>
            <w:pPr>
              <w:pStyle w:val="TableParagraph"/>
              <w:spacing w:line="270" w:lineRule="exact"/>
              <w:rPr>
                <w:sz w:val="24"/>
              </w:rPr>
            </w:pPr>
            <w:r>
              <w:rPr>
                <w:sz w:val="24"/>
              </w:rPr>
              <w:t>DISTRICT Court, ADAMS County, Colorado</w:t>
            </w:r>
          </w:p>
          <w:p>
            <w:pPr>
              <w:pStyle w:val="TableParagraph"/>
              <w:tabs>
                <w:tab w:pos="5058" w:val="left" w:leader="none"/>
              </w:tabs>
              <w:spacing w:line="292" w:lineRule="exact"/>
              <w:ind w:right="-44"/>
              <w:rPr>
                <w:sz w:val="20"/>
              </w:rPr>
            </w:pPr>
            <w:r>
              <w:rPr>
                <w:sz w:val="24"/>
              </w:rPr>
              <w:t>Court Address:  1100 Judicial</w:t>
            </w:r>
            <w:r>
              <w:rPr>
                <w:spacing w:val="-5"/>
                <w:sz w:val="24"/>
              </w:rPr>
              <w:t> </w:t>
            </w:r>
            <w:r>
              <w:rPr>
                <w:sz w:val="24"/>
              </w:rPr>
              <w:t>Center</w:t>
            </w:r>
            <w:r>
              <w:rPr>
                <w:spacing w:val="-3"/>
                <w:sz w:val="24"/>
              </w:rPr>
              <w:t> </w:t>
            </w:r>
            <w:r>
              <w:rPr>
                <w:sz w:val="24"/>
              </w:rPr>
              <w:t>Drive</w:t>
              <w:tab/>
            </w:r>
            <w:r>
              <w:rPr>
                <w:color w:val="0000FF"/>
                <w:position w:val="-3"/>
                <w:sz w:val="20"/>
              </w:rPr>
              <w:t>DATE</w:t>
            </w:r>
            <w:r>
              <w:rPr>
                <w:color w:val="0000FF"/>
                <w:spacing w:val="34"/>
                <w:position w:val="-3"/>
                <w:sz w:val="20"/>
              </w:rPr>
              <w:t> </w:t>
            </w:r>
            <w:r>
              <w:rPr>
                <w:color w:val="0000FF"/>
                <w:spacing w:val="-12"/>
                <w:position w:val="-3"/>
                <w:sz w:val="20"/>
              </w:rPr>
              <w:t>F</w:t>
            </w:r>
          </w:p>
          <w:p>
            <w:pPr>
              <w:pStyle w:val="TableParagraph"/>
              <w:tabs>
                <w:tab w:pos="5058" w:val="left" w:leader="none"/>
              </w:tabs>
              <w:spacing w:line="246" w:lineRule="exact"/>
              <w:rPr>
                <w:sz w:val="20"/>
              </w:rPr>
            </w:pPr>
            <w:r>
              <w:rPr>
                <w:sz w:val="24"/>
              </w:rPr>
              <w:t>Brighton,</w:t>
            </w:r>
            <w:r>
              <w:rPr>
                <w:spacing w:val="-1"/>
                <w:sz w:val="24"/>
              </w:rPr>
              <w:t> </w:t>
            </w:r>
            <w:r>
              <w:rPr>
                <w:sz w:val="24"/>
              </w:rPr>
              <w:t>CO</w:t>
            </w:r>
            <w:r>
              <w:rPr>
                <w:spacing w:val="58"/>
                <w:sz w:val="24"/>
              </w:rPr>
              <w:t> </w:t>
            </w:r>
            <w:r>
              <w:rPr>
                <w:sz w:val="24"/>
              </w:rPr>
              <w:t>80601</w:t>
              <w:tab/>
            </w:r>
            <w:r>
              <w:rPr>
                <w:color w:val="0000FF"/>
                <w:spacing w:val="2"/>
                <w:position w:val="2"/>
                <w:sz w:val="20"/>
              </w:rPr>
              <w:t>FILING</w:t>
            </w:r>
          </w:p>
        </w:tc>
        <w:tc>
          <w:tcPr>
            <w:tcW w:w="3601" w:type="dxa"/>
            <w:vMerge w:val="restart"/>
          </w:tcPr>
          <w:p>
            <w:pPr>
              <w:pStyle w:val="TableParagraph"/>
              <w:spacing w:before="5"/>
              <w:ind w:left="0"/>
              <w:rPr>
                <w:sz w:val="31"/>
              </w:rPr>
            </w:pPr>
          </w:p>
          <w:p>
            <w:pPr>
              <w:pStyle w:val="TableParagraph"/>
              <w:spacing w:line="225" w:lineRule="auto" w:before="1"/>
              <w:ind w:left="41" w:right="384" w:hanging="14"/>
              <w:rPr>
                <w:sz w:val="20"/>
              </w:rPr>
            </w:pPr>
            <w:r>
              <w:rPr>
                <w:color w:val="0000FF"/>
                <w:sz w:val="20"/>
              </w:rPr>
              <w:t>ILED: November 27, 2017 9:37 AM ID: 3A2E3A30AE2D9</w:t>
            </w:r>
          </w:p>
          <w:p>
            <w:pPr>
              <w:pStyle w:val="TableParagraph"/>
              <w:spacing w:line="218" w:lineRule="exact"/>
              <w:ind w:left="39"/>
              <w:rPr>
                <w:sz w:val="20"/>
              </w:rPr>
            </w:pPr>
            <w:r>
              <w:rPr>
                <w:color w:val="0000FF"/>
                <w:sz w:val="20"/>
              </w:rPr>
              <w:t>UMBER: 2017CR2407</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79"/>
              <w:rPr>
                <w:rFonts w:ascii="Symbol" w:hAnsi="Symbol"/>
                <w:sz w:val="24"/>
              </w:rPr>
            </w:pPr>
            <w:r>
              <w:rPr>
                <w:rFonts w:ascii="Symbol" w:hAnsi="Symbol"/>
                <w:sz w:val="24"/>
              </w:rPr>
              <w:t></w:t>
            </w:r>
            <w:r>
              <w:rPr>
                <w:sz w:val="24"/>
              </w:rPr>
              <w:t> COURT USE ONLY </w:t>
            </w:r>
            <w:r>
              <w:rPr>
                <w:rFonts w:ascii="Symbol" w:hAnsi="Symbol"/>
                <w:sz w:val="24"/>
              </w:rPr>
              <w:t></w:t>
            </w:r>
          </w:p>
        </w:tc>
      </w:tr>
      <w:tr>
        <w:trPr>
          <w:trHeight w:val="1931" w:hRule="atLeast"/>
        </w:trPr>
        <w:tc>
          <w:tcPr>
            <w:tcW w:w="5761" w:type="dxa"/>
          </w:tcPr>
          <w:p>
            <w:pPr>
              <w:pStyle w:val="TableParagraph"/>
              <w:tabs>
                <w:tab w:pos="5058" w:val="left" w:leader="none"/>
              </w:tabs>
              <w:spacing w:line="270" w:lineRule="exact"/>
              <w:ind w:right="-58"/>
              <w:rPr>
                <w:sz w:val="20"/>
              </w:rPr>
            </w:pPr>
            <w:r>
              <w:rPr>
                <w:sz w:val="24"/>
              </w:rPr>
              <w:t>PEOPLE OF THE STATE</w:t>
            </w:r>
            <w:r>
              <w:rPr>
                <w:spacing w:val="-6"/>
                <w:sz w:val="24"/>
              </w:rPr>
              <w:t> </w:t>
            </w:r>
            <w:r>
              <w:rPr>
                <w:sz w:val="24"/>
              </w:rPr>
              <w:t>OF</w:t>
            </w:r>
            <w:r>
              <w:rPr>
                <w:spacing w:val="-3"/>
                <w:sz w:val="24"/>
              </w:rPr>
              <w:t> </w:t>
            </w:r>
            <w:r>
              <w:rPr>
                <w:sz w:val="24"/>
              </w:rPr>
              <w:t>COLORADO,</w:t>
              <w:tab/>
            </w:r>
            <w:r>
              <w:rPr>
                <w:color w:val="0000FF"/>
                <w:position w:val="9"/>
                <w:sz w:val="20"/>
              </w:rPr>
              <w:t>CASE</w:t>
            </w:r>
            <w:r>
              <w:rPr>
                <w:color w:val="0000FF"/>
                <w:spacing w:val="33"/>
                <w:position w:val="9"/>
                <w:sz w:val="20"/>
              </w:rPr>
              <w:t> </w:t>
            </w:r>
            <w:r>
              <w:rPr>
                <w:color w:val="0000FF"/>
                <w:spacing w:val="-9"/>
                <w:position w:val="9"/>
                <w:sz w:val="20"/>
              </w:rPr>
              <w:t>N</w:t>
            </w:r>
          </w:p>
          <w:p>
            <w:pPr>
              <w:pStyle w:val="TableParagraph"/>
              <w:spacing w:line="480" w:lineRule="auto"/>
              <w:ind w:right="4837"/>
              <w:rPr>
                <w:sz w:val="24"/>
              </w:rPr>
            </w:pPr>
            <w:r>
              <w:rPr>
                <w:sz w:val="24"/>
              </w:rPr>
              <w:t>Plaintiff v.</w:t>
            </w:r>
          </w:p>
          <w:p>
            <w:pPr>
              <w:pStyle w:val="TableParagraph"/>
              <w:rPr>
                <w:sz w:val="24"/>
              </w:rPr>
            </w:pPr>
            <w:r>
              <w:rPr>
                <w:sz w:val="24"/>
              </w:rPr>
              <w:t>MONIKA FIRMAN,</w:t>
            </w:r>
          </w:p>
          <w:p>
            <w:pPr>
              <w:pStyle w:val="TableParagraph"/>
              <w:spacing w:line="261" w:lineRule="exact"/>
              <w:rPr>
                <w:sz w:val="24"/>
              </w:rPr>
            </w:pPr>
            <w:r>
              <w:rPr>
                <w:sz w:val="24"/>
              </w:rPr>
              <w:t>Defendant</w:t>
            </w:r>
          </w:p>
        </w:tc>
        <w:tc>
          <w:tcPr>
            <w:tcW w:w="3601" w:type="dxa"/>
            <w:vMerge/>
            <w:tcBorders>
              <w:top w:val="nil"/>
            </w:tcBorders>
          </w:tcPr>
          <w:p>
            <w:pPr>
              <w:rPr>
                <w:sz w:val="2"/>
                <w:szCs w:val="2"/>
              </w:rPr>
            </w:pPr>
          </w:p>
        </w:tc>
      </w:tr>
      <w:tr>
        <w:trPr>
          <w:trHeight w:val="1932" w:hRule="atLeast"/>
        </w:trPr>
        <w:tc>
          <w:tcPr>
            <w:tcW w:w="5761" w:type="dxa"/>
          </w:tcPr>
          <w:p>
            <w:pPr>
              <w:pStyle w:val="TableParagraph"/>
              <w:ind w:right="598"/>
              <w:rPr>
                <w:sz w:val="24"/>
              </w:rPr>
            </w:pPr>
            <w:r>
              <w:rPr>
                <w:sz w:val="24"/>
              </w:rPr>
              <w:t>Douglas K. Wilson, Colorado State Public Defender Lindsey Watson</w:t>
            </w:r>
            <w:r>
              <w:rPr>
                <w:spacing w:val="-5"/>
                <w:sz w:val="24"/>
              </w:rPr>
              <w:t> </w:t>
            </w:r>
            <w:r>
              <w:rPr>
                <w:sz w:val="24"/>
              </w:rPr>
              <w:t>#44043</w:t>
            </w:r>
          </w:p>
          <w:p>
            <w:pPr>
              <w:pStyle w:val="TableParagraph"/>
              <w:rPr>
                <w:sz w:val="24"/>
              </w:rPr>
            </w:pPr>
            <w:r>
              <w:rPr>
                <w:sz w:val="24"/>
              </w:rPr>
              <w:t>Deputy Public</w:t>
            </w:r>
            <w:r>
              <w:rPr>
                <w:spacing w:val="-8"/>
                <w:sz w:val="24"/>
              </w:rPr>
              <w:t> </w:t>
            </w:r>
            <w:r>
              <w:rPr>
                <w:sz w:val="24"/>
              </w:rPr>
              <w:t>Defender</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7"/>
                <w:sz w:val="24"/>
              </w:rPr>
              <w:t> </w:t>
            </w:r>
            <w:r>
              <w:rPr>
                <w:sz w:val="24"/>
              </w:rPr>
              <w:t>80601</w:t>
            </w:r>
          </w:p>
          <w:p>
            <w:pPr>
              <w:pStyle w:val="TableParagraph"/>
              <w:tabs>
                <w:tab w:pos="3354" w:val="left" w:leader="none"/>
              </w:tabs>
              <w:rPr>
                <w:sz w:val="24"/>
              </w:rPr>
            </w:pPr>
            <w:r>
              <w:rPr>
                <w:sz w:val="24"/>
              </w:rPr>
              <w:t>Phone:</w:t>
            </w:r>
            <w:r>
              <w:rPr>
                <w:spacing w:val="59"/>
                <w:sz w:val="24"/>
              </w:rPr>
              <w:t> </w:t>
            </w:r>
            <w:r>
              <w:rPr>
                <w:sz w:val="24"/>
              </w:rPr>
              <w:t>(303)</w:t>
            </w:r>
            <w:r>
              <w:rPr>
                <w:spacing w:val="-2"/>
                <w:sz w:val="24"/>
              </w:rPr>
              <w:t> </w:t>
            </w:r>
            <w:r>
              <w:rPr>
                <w:sz w:val="24"/>
              </w:rPr>
              <w:t>659-4274</w:t>
              <w:tab/>
              <w:t>Fax: (303) 659-6935</w:t>
            </w:r>
          </w:p>
          <w:p>
            <w:pPr>
              <w:pStyle w:val="TableParagraph"/>
              <w:spacing w:line="261" w:lineRule="exact"/>
              <w:rPr>
                <w:sz w:val="24"/>
              </w:rPr>
            </w:pPr>
            <w:r>
              <w:rPr>
                <w:sz w:val="24"/>
              </w:rPr>
              <w:t>E-mail: </w:t>
            </w:r>
            <w:hyperlink r:id="rId5">
              <w:r>
                <w:rPr>
                  <w:color w:val="0000FF"/>
                  <w:sz w:val="24"/>
                  <w:u w:val="single" w:color="0000FF"/>
                </w:rPr>
                <w:t>brighton.defenders@state.co.us</w:t>
              </w:r>
            </w:hyperlink>
          </w:p>
        </w:tc>
        <w:tc>
          <w:tcPr>
            <w:tcW w:w="3601" w:type="dxa"/>
          </w:tcPr>
          <w:p>
            <w:pPr>
              <w:pStyle w:val="TableParagraph"/>
              <w:spacing w:line="270" w:lineRule="exact"/>
              <w:rPr>
                <w:sz w:val="24"/>
              </w:rPr>
            </w:pPr>
            <w:r>
              <w:rPr>
                <w:sz w:val="24"/>
              </w:rPr>
              <w:t>Case No. 17CR2407</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61" w:lineRule="exact" w:before="184"/>
              <w:rPr>
                <w:sz w:val="24"/>
              </w:rPr>
            </w:pPr>
            <w:r>
              <w:rPr>
                <w:sz w:val="24"/>
              </w:rPr>
              <w:t>Div. F</w:t>
            </w:r>
          </w:p>
        </w:tc>
      </w:tr>
      <w:tr>
        <w:trPr>
          <w:trHeight w:val="830" w:hRule="atLeast"/>
        </w:trPr>
        <w:tc>
          <w:tcPr>
            <w:tcW w:w="9362" w:type="dxa"/>
            <w:gridSpan w:val="2"/>
          </w:tcPr>
          <w:p>
            <w:pPr>
              <w:pStyle w:val="TableParagraph"/>
              <w:spacing w:before="10"/>
              <w:ind w:left="0"/>
              <w:rPr>
                <w:sz w:val="23"/>
              </w:rPr>
            </w:pPr>
          </w:p>
          <w:p>
            <w:pPr>
              <w:pStyle w:val="TableParagraph"/>
              <w:ind w:left="1041"/>
              <w:rPr>
                <w:b/>
                <w:sz w:val="24"/>
              </w:rPr>
            </w:pPr>
            <w:r>
              <w:rPr>
                <w:b/>
                <w:sz w:val="24"/>
              </w:rPr>
              <w:t>MOTION FOR DISCOVERY OF IMPEACHMENT INFORMATION</w:t>
            </w:r>
          </w:p>
        </w:tc>
      </w:tr>
    </w:tbl>
    <w:p>
      <w:pPr>
        <w:pStyle w:val="BodyText"/>
        <w:spacing w:before="8"/>
        <w:rPr>
          <w:sz w:val="15"/>
        </w:rPr>
      </w:pPr>
    </w:p>
    <w:p>
      <w:pPr>
        <w:pStyle w:val="BodyText"/>
        <w:spacing w:before="90"/>
        <w:ind w:left="300" w:right="847"/>
      </w:pPr>
      <w:r>
        <w:rPr/>
        <w:t>Pursuant to C.R.Crim.P. 16, the Fifth, Sixth and Fourteenth amendments to the United States Constitution and Article II, §§16 and 25 of the Colorado Constitution and </w:t>
      </w:r>
      <w:r>
        <w:rPr>
          <w:i/>
        </w:rPr>
        <w:t>Brady v. </w:t>
      </w:r>
      <w:r>
        <w:rPr>
          <w:i/>
        </w:rPr>
        <w:t>Maryland</w:t>
      </w:r>
      <w:r>
        <w:rPr/>
        <w:t>, 373 U.S. 83 (1963), Ms. Firman moves this Court for an Order directing the state to make inquiry into and disclose all of the following within its possession, custody or control, the existence of which is known or by the exercise of due diligence could become known to the state:</w:t>
      </w:r>
    </w:p>
    <w:p>
      <w:pPr>
        <w:pStyle w:val="BodyText"/>
      </w:pPr>
    </w:p>
    <w:p>
      <w:pPr>
        <w:pStyle w:val="ListParagraph"/>
        <w:numPr>
          <w:ilvl w:val="0"/>
          <w:numId w:val="1"/>
        </w:numPr>
        <w:tabs>
          <w:tab w:pos="1748" w:val="left" w:leader="none"/>
        </w:tabs>
        <w:spacing w:line="240" w:lineRule="auto" w:before="0" w:after="0"/>
        <w:ind w:left="1747" w:right="1055" w:hanging="360"/>
        <w:jc w:val="left"/>
        <w:rPr>
          <w:sz w:val="24"/>
        </w:rPr>
      </w:pPr>
      <w:r>
        <w:rPr>
          <w:sz w:val="24"/>
        </w:rPr>
        <w:t>Any and all records, police reports and information regarding prior criminal convictions, guilty verdicts, juvenile adjudications or pending criminal or juvenile cases of all prosecution witnesses, including but</w:t>
      </w:r>
      <w:r>
        <w:rPr>
          <w:spacing w:val="-12"/>
          <w:sz w:val="24"/>
        </w:rPr>
        <w:t> </w:t>
      </w:r>
      <w:r>
        <w:rPr>
          <w:sz w:val="24"/>
        </w:rPr>
        <w:t>not limited to relevant rap sheets. As grounds for this paragraph, defendant states as</w:t>
      </w:r>
      <w:r>
        <w:rPr>
          <w:spacing w:val="-1"/>
          <w:sz w:val="24"/>
        </w:rPr>
        <w:t> </w:t>
      </w:r>
      <w:r>
        <w:rPr>
          <w:sz w:val="24"/>
        </w:rPr>
        <w:t>follows:</w:t>
      </w:r>
    </w:p>
    <w:p>
      <w:pPr>
        <w:pStyle w:val="BodyText"/>
        <w:spacing w:before="9"/>
        <w:rPr>
          <w:sz w:val="23"/>
        </w:rPr>
      </w:pPr>
    </w:p>
    <w:p>
      <w:pPr>
        <w:pStyle w:val="ListParagraph"/>
        <w:numPr>
          <w:ilvl w:val="1"/>
          <w:numId w:val="1"/>
        </w:numPr>
        <w:tabs>
          <w:tab w:pos="2469" w:val="left" w:leader="none"/>
        </w:tabs>
        <w:spacing w:line="240" w:lineRule="auto" w:before="0" w:after="0"/>
        <w:ind w:left="2468" w:right="1075" w:hanging="361"/>
        <w:jc w:val="both"/>
        <w:rPr>
          <w:sz w:val="24"/>
        </w:rPr>
      </w:pPr>
      <w:r>
        <w:rPr>
          <w:sz w:val="24"/>
        </w:rPr>
        <w:t>C.R.Crim.P. 16(I)(a)(1)(I) requires production of “prior</w:t>
      </w:r>
      <w:r>
        <w:rPr>
          <w:spacing w:val="-14"/>
          <w:sz w:val="24"/>
        </w:rPr>
        <w:t> </w:t>
      </w:r>
      <w:r>
        <w:rPr>
          <w:sz w:val="24"/>
        </w:rPr>
        <w:t>criminal convictions” of all prosecution witnesses. This rule is not by its terms limited to felony</w:t>
      </w:r>
      <w:r>
        <w:rPr>
          <w:spacing w:val="-6"/>
          <w:sz w:val="24"/>
        </w:rPr>
        <w:t> </w:t>
      </w:r>
      <w:r>
        <w:rPr>
          <w:sz w:val="24"/>
        </w:rPr>
        <w:t>convictions.</w:t>
      </w:r>
    </w:p>
    <w:p>
      <w:pPr>
        <w:pStyle w:val="BodyText"/>
        <w:spacing w:before="1"/>
      </w:pPr>
    </w:p>
    <w:p>
      <w:pPr>
        <w:pStyle w:val="ListParagraph"/>
        <w:numPr>
          <w:ilvl w:val="1"/>
          <w:numId w:val="1"/>
        </w:numPr>
        <w:tabs>
          <w:tab w:pos="2469" w:val="left" w:leader="none"/>
        </w:tabs>
        <w:spacing w:line="240" w:lineRule="auto" w:before="0" w:after="0"/>
        <w:ind w:left="2468" w:right="1514" w:hanging="361"/>
        <w:jc w:val="left"/>
        <w:rPr>
          <w:sz w:val="24"/>
        </w:rPr>
      </w:pPr>
      <w:r>
        <w:rPr>
          <w:sz w:val="24"/>
        </w:rPr>
        <w:t>Felony convictions may be used for impeachment </w:t>
      </w:r>
      <w:r>
        <w:rPr>
          <w:spacing w:val="-3"/>
          <w:sz w:val="24"/>
        </w:rPr>
        <w:t>purposes. </w:t>
      </w:r>
      <w:r>
        <w:rPr>
          <w:sz w:val="24"/>
        </w:rPr>
        <w:t>C.R.S.</w:t>
      </w:r>
      <w:r>
        <w:rPr>
          <w:spacing w:val="-1"/>
          <w:sz w:val="24"/>
        </w:rPr>
        <w:t> </w:t>
      </w:r>
      <w:r>
        <w:rPr>
          <w:sz w:val="24"/>
        </w:rPr>
        <w:t>§13-90-101.</w:t>
      </w:r>
    </w:p>
    <w:p>
      <w:pPr>
        <w:pStyle w:val="BodyText"/>
      </w:pPr>
    </w:p>
    <w:p>
      <w:pPr>
        <w:pStyle w:val="ListParagraph"/>
        <w:numPr>
          <w:ilvl w:val="1"/>
          <w:numId w:val="1"/>
        </w:numPr>
        <w:tabs>
          <w:tab w:pos="2529" w:val="left" w:leader="none"/>
        </w:tabs>
        <w:spacing w:line="240" w:lineRule="auto" w:before="0" w:after="0"/>
        <w:ind w:left="2468" w:right="1135" w:hanging="361"/>
        <w:jc w:val="both"/>
        <w:rPr>
          <w:sz w:val="24"/>
        </w:rPr>
      </w:pPr>
      <w:r>
        <w:rPr/>
        <w:tab/>
      </w:r>
      <w:r>
        <w:rPr>
          <w:sz w:val="24"/>
        </w:rPr>
        <w:t>Juvenile adjudications may be used for impeachment purposes, particularly if they are adjudications that reflect upon a</w:t>
      </w:r>
      <w:r>
        <w:rPr>
          <w:spacing w:val="-19"/>
          <w:sz w:val="24"/>
        </w:rPr>
        <w:t> </w:t>
      </w:r>
      <w:r>
        <w:rPr>
          <w:sz w:val="24"/>
        </w:rPr>
        <w:t>witness’ credibility. </w:t>
      </w:r>
      <w:r>
        <w:rPr>
          <w:i/>
          <w:sz w:val="24"/>
        </w:rPr>
        <w:t>People v. Pate</w:t>
      </w:r>
      <w:r>
        <w:rPr>
          <w:sz w:val="24"/>
        </w:rPr>
        <w:t>, 625 P.2d 369 (Colo.</w:t>
      </w:r>
      <w:r>
        <w:rPr>
          <w:spacing w:val="-3"/>
          <w:sz w:val="24"/>
        </w:rPr>
        <w:t> </w:t>
      </w:r>
      <w:r>
        <w:rPr>
          <w:sz w:val="24"/>
        </w:rPr>
        <w:t>1981).</w:t>
      </w:r>
    </w:p>
    <w:p>
      <w:pPr>
        <w:spacing w:after="0" w:line="240" w:lineRule="auto"/>
        <w:jc w:val="both"/>
        <w:rPr>
          <w:sz w:val="24"/>
        </w:rPr>
        <w:sectPr>
          <w:type w:val="continuous"/>
          <w:pgSz w:w="12240" w:h="15840"/>
          <w:pgMar w:top="1500" w:bottom="280" w:left="1500" w:right="1000"/>
        </w:sectPr>
      </w:pPr>
    </w:p>
    <w:p>
      <w:pPr>
        <w:pStyle w:val="ListParagraph"/>
        <w:numPr>
          <w:ilvl w:val="1"/>
          <w:numId w:val="1"/>
        </w:numPr>
        <w:tabs>
          <w:tab w:pos="2469" w:val="left" w:leader="none"/>
        </w:tabs>
        <w:spacing w:line="240" w:lineRule="auto" w:before="74" w:after="0"/>
        <w:ind w:left="2468" w:right="1074" w:hanging="361"/>
        <w:jc w:val="left"/>
        <w:rPr>
          <w:sz w:val="24"/>
        </w:rPr>
      </w:pPr>
      <w:r>
        <w:rPr>
          <w:sz w:val="24"/>
        </w:rPr>
        <w:t>Misdemeanor convictions probative of untruthfulness or dishonesty may be used for impeachment purposes. C.R.S. </w:t>
      </w:r>
      <w:r>
        <w:rPr>
          <w:spacing w:val="-3"/>
          <w:sz w:val="24"/>
        </w:rPr>
        <w:t>608; </w:t>
      </w:r>
      <w:r>
        <w:rPr>
          <w:i/>
          <w:sz w:val="24"/>
        </w:rPr>
        <w:t>People v. Armstrong</w:t>
      </w:r>
      <w:r>
        <w:rPr>
          <w:sz w:val="24"/>
        </w:rPr>
        <w:t>, 704 P.2d 877 (Colo. App.</w:t>
      </w:r>
      <w:r>
        <w:rPr>
          <w:spacing w:val="-2"/>
          <w:sz w:val="24"/>
        </w:rPr>
        <w:t> </w:t>
      </w:r>
      <w:r>
        <w:rPr>
          <w:sz w:val="24"/>
        </w:rPr>
        <w:t>1985).</w:t>
      </w:r>
    </w:p>
    <w:p>
      <w:pPr>
        <w:pStyle w:val="BodyText"/>
      </w:pPr>
    </w:p>
    <w:p>
      <w:pPr>
        <w:pStyle w:val="ListParagraph"/>
        <w:numPr>
          <w:ilvl w:val="1"/>
          <w:numId w:val="1"/>
        </w:numPr>
        <w:tabs>
          <w:tab w:pos="2469" w:val="left" w:leader="none"/>
        </w:tabs>
        <w:spacing w:line="240" w:lineRule="auto" w:before="1" w:after="0"/>
        <w:ind w:left="2468" w:right="827" w:hanging="361"/>
        <w:jc w:val="left"/>
        <w:rPr>
          <w:sz w:val="24"/>
        </w:rPr>
      </w:pPr>
      <w:r>
        <w:rPr>
          <w:sz w:val="24"/>
        </w:rPr>
        <w:t>The fact of a witness’ status on probation or parole at any time during the pendency of this case is probative of bias or motive,</w:t>
      </w:r>
      <w:r>
        <w:rPr>
          <w:spacing w:val="-11"/>
          <w:sz w:val="24"/>
        </w:rPr>
        <w:t> </w:t>
      </w:r>
      <w:r>
        <w:rPr>
          <w:sz w:val="24"/>
        </w:rPr>
        <w:t>and is admissible regardless of the nature of the underlying conviction. </w:t>
      </w:r>
      <w:r>
        <w:rPr>
          <w:i/>
          <w:sz w:val="24"/>
        </w:rPr>
        <w:t>Davis v. Alaska</w:t>
      </w:r>
      <w:r>
        <w:rPr>
          <w:sz w:val="24"/>
        </w:rPr>
        <w:t>, 415 U.S. 308 (1974); </w:t>
      </w:r>
      <w:r>
        <w:rPr>
          <w:i/>
          <w:sz w:val="24"/>
        </w:rPr>
        <w:t>Pate</w:t>
      </w:r>
      <w:r>
        <w:rPr>
          <w:sz w:val="24"/>
        </w:rPr>
        <w:t>, supra; </w:t>
      </w:r>
      <w:r>
        <w:rPr>
          <w:i/>
          <w:sz w:val="24"/>
        </w:rPr>
        <w:t>People v. </w:t>
      </w:r>
      <w:r>
        <w:rPr>
          <w:i/>
          <w:sz w:val="24"/>
        </w:rPr>
        <w:t>Bowman</w:t>
      </w:r>
      <w:r>
        <w:rPr>
          <w:sz w:val="24"/>
        </w:rPr>
        <w:t>, 669 P.2d 1369 (Colo.</w:t>
      </w:r>
      <w:r>
        <w:rPr>
          <w:spacing w:val="-1"/>
          <w:sz w:val="24"/>
        </w:rPr>
        <w:t> </w:t>
      </w:r>
      <w:r>
        <w:rPr>
          <w:sz w:val="24"/>
        </w:rPr>
        <w:t>1983).</w:t>
      </w:r>
    </w:p>
    <w:p>
      <w:pPr>
        <w:pStyle w:val="BodyText"/>
        <w:spacing w:before="11"/>
        <w:rPr>
          <w:sz w:val="23"/>
        </w:rPr>
      </w:pPr>
    </w:p>
    <w:p>
      <w:pPr>
        <w:pStyle w:val="ListParagraph"/>
        <w:numPr>
          <w:ilvl w:val="1"/>
          <w:numId w:val="1"/>
        </w:numPr>
        <w:tabs>
          <w:tab w:pos="2468" w:val="left" w:leader="none"/>
          <w:tab w:pos="2469" w:val="left" w:leader="none"/>
        </w:tabs>
        <w:spacing w:line="240" w:lineRule="auto" w:before="0" w:after="0"/>
        <w:ind w:left="2468" w:right="823" w:hanging="361"/>
        <w:jc w:val="left"/>
        <w:rPr>
          <w:i/>
          <w:sz w:val="24"/>
        </w:rPr>
      </w:pPr>
      <w:r>
        <w:rPr>
          <w:sz w:val="24"/>
        </w:rPr>
        <w:t>The existence of cases pending at any time during the</w:t>
      </w:r>
      <w:r>
        <w:rPr>
          <w:spacing w:val="-16"/>
          <w:sz w:val="24"/>
        </w:rPr>
        <w:t> </w:t>
      </w:r>
      <w:r>
        <w:rPr>
          <w:sz w:val="24"/>
        </w:rPr>
        <w:t>investigation or pendency of this case is admissible as to bias or motive.</w:t>
      </w:r>
      <w:r>
        <w:rPr>
          <w:spacing w:val="51"/>
          <w:sz w:val="24"/>
        </w:rPr>
        <w:t> </w:t>
      </w:r>
      <w:r>
        <w:rPr>
          <w:i/>
          <w:sz w:val="24"/>
        </w:rPr>
        <w:t>People</w:t>
      </w:r>
    </w:p>
    <w:p>
      <w:pPr>
        <w:spacing w:before="0"/>
        <w:ind w:left="2468" w:right="847" w:firstLine="0"/>
        <w:jc w:val="left"/>
        <w:rPr>
          <w:sz w:val="24"/>
        </w:rPr>
      </w:pPr>
      <w:r>
        <w:rPr>
          <w:i/>
          <w:sz w:val="24"/>
        </w:rPr>
        <w:t>v. Jones</w:t>
      </w:r>
      <w:r>
        <w:rPr>
          <w:sz w:val="24"/>
        </w:rPr>
        <w:t>, 675 P.2d 9 (Colo. 1984); </w:t>
      </w:r>
      <w:r>
        <w:rPr>
          <w:i/>
          <w:sz w:val="24"/>
        </w:rPr>
        <w:t>People v. King</w:t>
      </w:r>
      <w:r>
        <w:rPr>
          <w:sz w:val="24"/>
        </w:rPr>
        <w:t>, 179 Colo. 94, 498 P.2d 1142 (1972).</w:t>
      </w:r>
    </w:p>
    <w:p>
      <w:pPr>
        <w:pStyle w:val="BodyText"/>
        <w:spacing w:before="1"/>
      </w:pPr>
    </w:p>
    <w:p>
      <w:pPr>
        <w:pStyle w:val="ListParagraph"/>
        <w:numPr>
          <w:ilvl w:val="0"/>
          <w:numId w:val="1"/>
        </w:numPr>
        <w:tabs>
          <w:tab w:pos="1748" w:val="left" w:leader="none"/>
        </w:tabs>
        <w:spacing w:line="240" w:lineRule="auto" w:before="0" w:after="0"/>
        <w:ind w:left="1747" w:right="837" w:hanging="360"/>
        <w:jc w:val="left"/>
        <w:rPr>
          <w:sz w:val="24"/>
        </w:rPr>
      </w:pPr>
      <w:r>
        <w:rPr>
          <w:sz w:val="24"/>
        </w:rPr>
        <w:t>Any and all records or information and law enforcement reports regarding both filed and unfiled cases against all prosecution witnesses which reveal prior misconduct or bad acts attributed to any prosecution witness, evidence of witness motive, dishonest conduct or lying to the police. Such misconduct may be admissible under C.R.E. 608(b) even though no conviction resulted, or may lead to the discovery of character evidence admissible under C.R.E. 608(a). Information is discoverable pursuant to the mandate of </w:t>
      </w:r>
      <w:r>
        <w:rPr>
          <w:i/>
          <w:sz w:val="24"/>
        </w:rPr>
        <w:t>Brady v. Maryland</w:t>
      </w:r>
      <w:r>
        <w:rPr>
          <w:sz w:val="24"/>
        </w:rPr>
        <w:t>, 373 U.S. 83, 83 S.Ct. 1194 (1963) not only when it directly negates guilt, but also when it tends to impeach the credibility of a key witness for the prosecution. </w:t>
      </w:r>
      <w:r>
        <w:rPr>
          <w:i/>
          <w:sz w:val="24"/>
        </w:rPr>
        <w:t>United States v. Bagley</w:t>
      </w:r>
      <w:r>
        <w:rPr>
          <w:sz w:val="24"/>
        </w:rPr>
        <w:t>, 473 U.S. 667, 105 S.Ct. 3375 (1985); Love </w:t>
      </w:r>
      <w:r>
        <w:rPr>
          <w:i/>
          <w:sz w:val="24"/>
        </w:rPr>
        <w:t>v. Johnson</w:t>
      </w:r>
      <w:r>
        <w:rPr>
          <w:sz w:val="24"/>
        </w:rPr>
        <w:t>, 57 F.3rd 1305 </w:t>
      </w:r>
      <w:r>
        <w:rPr>
          <w:spacing w:val="-4"/>
          <w:sz w:val="24"/>
        </w:rPr>
        <w:t>(4th </w:t>
      </w:r>
      <w:r>
        <w:rPr>
          <w:sz w:val="24"/>
        </w:rPr>
        <w:t>Cir. 1995); </w:t>
      </w:r>
      <w:r>
        <w:rPr>
          <w:i/>
          <w:sz w:val="24"/>
        </w:rPr>
        <w:t>United States v. Jennings</w:t>
      </w:r>
      <w:r>
        <w:rPr>
          <w:sz w:val="24"/>
        </w:rPr>
        <w:t>, 960 F.2d 1488 (9th Cir.</w:t>
      </w:r>
      <w:r>
        <w:rPr>
          <w:spacing w:val="-1"/>
          <w:sz w:val="24"/>
        </w:rPr>
        <w:t> </w:t>
      </w:r>
      <w:r>
        <w:rPr>
          <w:sz w:val="24"/>
        </w:rPr>
        <w:t>1992).</w:t>
      </w:r>
    </w:p>
    <w:p>
      <w:pPr>
        <w:pStyle w:val="BodyText"/>
        <w:spacing w:before="1"/>
        <w:ind w:left="1747" w:right="1195"/>
      </w:pPr>
      <w:r>
        <w:rPr/>
        <w:t>Police reports of filed and unfiled cases are also discoverable as </w:t>
      </w:r>
      <w:r>
        <w:rPr>
          <w:i/>
        </w:rPr>
        <w:t>Brady </w:t>
      </w:r>
      <w:r>
        <w:rPr/>
        <w:t>material, at least to the extent they reveal evidence of the witnesses’ motive, bias, dishonest conduct, lying to the police or a tendency to</w:t>
      </w:r>
    </w:p>
    <w:p>
      <w:pPr>
        <w:spacing w:line="228" w:lineRule="auto" w:before="11"/>
        <w:ind w:left="1747" w:right="847" w:firstLine="0"/>
        <w:jc w:val="left"/>
        <w:rPr>
          <w:sz w:val="24"/>
        </w:rPr>
      </w:pPr>
      <w:r>
        <w:rPr>
          <w:sz w:val="24"/>
        </w:rPr>
        <w:t>“overcompensate” for actual or perceived problems. </w:t>
      </w:r>
      <w:r>
        <w:rPr>
          <w:i/>
          <w:sz w:val="24"/>
        </w:rPr>
        <w:t>See United States v. </w:t>
      </w:r>
      <w:r>
        <w:rPr>
          <w:i/>
          <w:sz w:val="24"/>
        </w:rPr>
        <w:t>Strifer</w:t>
      </w:r>
      <w:r>
        <w:rPr>
          <w:sz w:val="24"/>
        </w:rPr>
        <w:t>, 851 F.2d 1197,1202 (9</w:t>
      </w:r>
      <w:r>
        <w:rPr>
          <w:position w:val="9"/>
          <w:sz w:val="16"/>
        </w:rPr>
        <w:t>th </w:t>
      </w:r>
      <w:r>
        <w:rPr>
          <w:sz w:val="24"/>
        </w:rPr>
        <w:t>Cir. 1988); </w:t>
      </w:r>
      <w:r>
        <w:rPr>
          <w:i/>
          <w:sz w:val="24"/>
        </w:rPr>
        <w:t>United States v. Boffa</w:t>
      </w:r>
      <w:r>
        <w:rPr>
          <w:sz w:val="24"/>
        </w:rPr>
        <w:t>, 513 F.</w:t>
      </w:r>
    </w:p>
    <w:p>
      <w:pPr>
        <w:pStyle w:val="BodyText"/>
        <w:spacing w:before="1"/>
        <w:ind w:left="1747"/>
      </w:pPr>
      <w:r>
        <w:rPr/>
        <w:t>Supp. 444 (D. Del. 1980).</w:t>
      </w:r>
    </w:p>
    <w:p>
      <w:pPr>
        <w:pStyle w:val="BodyText"/>
      </w:pPr>
    </w:p>
    <w:p>
      <w:pPr>
        <w:pStyle w:val="ListParagraph"/>
        <w:numPr>
          <w:ilvl w:val="0"/>
          <w:numId w:val="1"/>
        </w:numPr>
        <w:tabs>
          <w:tab w:pos="1748" w:val="left" w:leader="none"/>
        </w:tabs>
        <w:spacing w:line="240" w:lineRule="auto" w:before="0" w:after="0"/>
        <w:ind w:left="1747" w:right="864" w:hanging="360"/>
        <w:jc w:val="left"/>
        <w:rPr>
          <w:sz w:val="24"/>
        </w:rPr>
      </w:pPr>
      <w:r>
        <w:rPr>
          <w:sz w:val="24"/>
        </w:rPr>
        <w:t>Any promise, benefit, plea bargain, financial consideration or other inducement made to any prosecution witness by the government at any time during the investigation or pendency of this case, up to and including the time of trial, whether or not the government is willing to admit that such inducements were in the form of an exchange for testimony or aid in this case. Any such evidence is admissible as to motive or bias. </w:t>
      </w:r>
      <w:r>
        <w:rPr>
          <w:i/>
          <w:sz w:val="24"/>
        </w:rPr>
        <w:t>Van </w:t>
      </w:r>
      <w:r>
        <w:rPr>
          <w:i/>
          <w:sz w:val="24"/>
        </w:rPr>
        <w:t>Arsdall v. Delaware</w:t>
      </w:r>
      <w:r>
        <w:rPr>
          <w:sz w:val="24"/>
        </w:rPr>
        <w:t>, 475 U.S. 673, 89 L.Ed.2d 874 (1986); </w:t>
      </w:r>
      <w:r>
        <w:rPr>
          <w:i/>
          <w:sz w:val="24"/>
        </w:rPr>
        <w:t>Davis</w:t>
      </w:r>
      <w:r>
        <w:rPr>
          <w:sz w:val="24"/>
        </w:rPr>
        <w:t>, supra; </w:t>
      </w:r>
      <w:r>
        <w:rPr>
          <w:i/>
          <w:sz w:val="24"/>
        </w:rPr>
        <w:t>Pate</w:t>
      </w:r>
      <w:r>
        <w:rPr>
          <w:sz w:val="24"/>
        </w:rPr>
        <w:t>, supra. Based upon this legal authority, Ms. Firman asks that this Court allow her to receive copies of the entire file maintained by the victim/witness arm of the Office of the District Attorney for the Seventeenth Judicial District, including but not limited to any monies or other benefits received by any witness or family member of a witness</w:t>
      </w:r>
      <w:r>
        <w:rPr>
          <w:spacing w:val="-11"/>
          <w:sz w:val="24"/>
        </w:rPr>
        <w:t> </w:t>
      </w:r>
      <w:r>
        <w:rPr>
          <w:sz w:val="24"/>
        </w:rPr>
        <w:t>in</w:t>
      </w:r>
    </w:p>
    <w:p>
      <w:pPr>
        <w:spacing w:after="0" w:line="240" w:lineRule="auto"/>
        <w:jc w:val="left"/>
        <w:rPr>
          <w:sz w:val="24"/>
        </w:rPr>
        <w:sectPr>
          <w:pgSz w:w="12240" w:h="15840"/>
          <w:pgMar w:top="1360" w:bottom="280" w:left="1500" w:right="1000"/>
        </w:sectPr>
      </w:pPr>
    </w:p>
    <w:p>
      <w:pPr>
        <w:pStyle w:val="BodyText"/>
        <w:spacing w:before="74"/>
        <w:ind w:left="1747" w:right="1002"/>
        <w:jc w:val="both"/>
      </w:pPr>
      <w:r>
        <w:rPr/>
        <w:t>this case. Ms. Firman asks that this Court order the Office of the District Attorney for the Seventeenth Judicial District, through its victim/witness office, to provide copies of all documents generated in this regard to </w:t>
      </w:r>
      <w:r>
        <w:rPr>
          <w:spacing w:val="-4"/>
        </w:rPr>
        <w:t>him </w:t>
      </w:r>
      <w:r>
        <w:rPr/>
        <w:t>automatically, through the established discovery process.</w:t>
      </w:r>
    </w:p>
    <w:p>
      <w:pPr>
        <w:pStyle w:val="BodyText"/>
      </w:pPr>
    </w:p>
    <w:p>
      <w:pPr>
        <w:pStyle w:val="ListParagraph"/>
        <w:numPr>
          <w:ilvl w:val="0"/>
          <w:numId w:val="1"/>
        </w:numPr>
        <w:tabs>
          <w:tab w:pos="1748" w:val="left" w:leader="none"/>
        </w:tabs>
        <w:spacing w:line="240" w:lineRule="auto" w:before="1" w:after="0"/>
        <w:ind w:left="1747" w:right="805" w:hanging="360"/>
        <w:jc w:val="left"/>
        <w:rPr>
          <w:sz w:val="24"/>
        </w:rPr>
      </w:pPr>
      <w:r>
        <w:rPr>
          <w:sz w:val="24"/>
        </w:rPr>
        <w:t>Any and all records and information in the possession of the District Attorney or law enforcement concerning prior psychiatric or psychological treatment, evaluation or hospitalization of all prosecution witnesses. The mental condition of witnesses is admissible for impeachment. </w:t>
      </w:r>
      <w:r>
        <w:rPr>
          <w:i/>
          <w:sz w:val="24"/>
        </w:rPr>
        <w:t>People v. Shuemann</w:t>
      </w:r>
      <w:r>
        <w:rPr>
          <w:sz w:val="24"/>
        </w:rPr>
        <w:t>, 548 P.2d 911 (Colo. 1976); </w:t>
      </w:r>
      <w:r>
        <w:rPr>
          <w:i/>
          <w:sz w:val="24"/>
        </w:rPr>
        <w:t>People </w:t>
      </w:r>
      <w:r>
        <w:rPr>
          <w:i/>
          <w:spacing w:val="-10"/>
          <w:sz w:val="24"/>
        </w:rPr>
        <w:t>v. </w:t>
      </w:r>
      <w:r>
        <w:rPr>
          <w:i/>
          <w:sz w:val="24"/>
        </w:rPr>
        <w:t>Borelli</w:t>
      </w:r>
      <w:r>
        <w:rPr>
          <w:sz w:val="24"/>
        </w:rPr>
        <w:t>, 624 P.2d 900 (Colo. App. 1980). In addition, such records may contain information bearing upon the witness’ character for truthfulness or specific instances of untruthfulness. C.R.E.</w:t>
      </w:r>
      <w:r>
        <w:rPr>
          <w:spacing w:val="-2"/>
          <w:sz w:val="24"/>
        </w:rPr>
        <w:t> </w:t>
      </w:r>
      <w:r>
        <w:rPr>
          <w:sz w:val="24"/>
        </w:rPr>
        <w:t>608.</w:t>
      </w:r>
    </w:p>
    <w:p>
      <w:pPr>
        <w:pStyle w:val="BodyText"/>
      </w:pPr>
    </w:p>
    <w:p>
      <w:pPr>
        <w:pStyle w:val="ListParagraph"/>
        <w:numPr>
          <w:ilvl w:val="0"/>
          <w:numId w:val="1"/>
        </w:numPr>
        <w:tabs>
          <w:tab w:pos="1748" w:val="left" w:leader="none"/>
        </w:tabs>
        <w:spacing w:line="240" w:lineRule="auto" w:before="0" w:after="0"/>
        <w:ind w:left="1747" w:right="1044" w:hanging="360"/>
        <w:jc w:val="left"/>
        <w:rPr>
          <w:sz w:val="24"/>
        </w:rPr>
      </w:pPr>
      <w:r>
        <w:rPr>
          <w:sz w:val="24"/>
        </w:rPr>
        <w:t>Any and all records or information in the possession of the District Attorney concerning drug and alcohol use, evaluations, or treatment or prosecution witnesses. The use of drugs or alcohol is admissible to the extent that it affects a witness’ ability to perceive, remember or testify. </w:t>
      </w:r>
      <w:r>
        <w:rPr>
          <w:i/>
          <w:sz w:val="24"/>
        </w:rPr>
        <w:t>People v. Roberts</w:t>
      </w:r>
      <w:r>
        <w:rPr>
          <w:sz w:val="24"/>
        </w:rPr>
        <w:t>, 533 P.2d 93 (Colo. App. 1976). </w:t>
      </w:r>
      <w:r>
        <w:rPr>
          <w:spacing w:val="-3"/>
          <w:sz w:val="24"/>
        </w:rPr>
        <w:t>In </w:t>
      </w:r>
      <w:r>
        <w:rPr>
          <w:sz w:val="24"/>
        </w:rPr>
        <w:t>addition, such records may contain information bearing upon the witness’ character</w:t>
      </w:r>
      <w:r>
        <w:rPr>
          <w:spacing w:val="-21"/>
          <w:sz w:val="24"/>
        </w:rPr>
        <w:t> </w:t>
      </w:r>
      <w:r>
        <w:rPr>
          <w:sz w:val="24"/>
        </w:rPr>
        <w:t>for truthfulness or specific instances of untruthfulness. C.R.E.</w:t>
      </w:r>
      <w:r>
        <w:rPr>
          <w:spacing w:val="-2"/>
          <w:sz w:val="24"/>
        </w:rPr>
        <w:t> </w:t>
      </w:r>
      <w:r>
        <w:rPr>
          <w:sz w:val="24"/>
        </w:rPr>
        <w:t>608..</w:t>
      </w:r>
    </w:p>
    <w:p>
      <w:pPr>
        <w:pStyle w:val="BodyText"/>
      </w:pPr>
    </w:p>
    <w:p>
      <w:pPr>
        <w:pStyle w:val="BodyText"/>
        <w:spacing w:before="1"/>
        <w:ind w:left="300" w:right="795"/>
      </w:pPr>
      <w:r>
        <w:rPr/>
        <w:t>Therefore, Ms. Firman moves for an Order directing the state to make inquiry and disclose all of the above-listed evidence within its possession, custody or control, the existence of which is known or by the exercise of due diligence could become known to the state. Failure to mandate disclosure of this information will deprive Ms. Firman of her rights to a fair trial, to due process, effective assistance of counsel and confrontation as guaranteed by the Fifth, Sixth and Fourteenth amendments to the United States Constitution and Article II, sections 16 and 25 Colorado Constitution.</w:t>
      </w:r>
    </w:p>
    <w:p>
      <w:pPr>
        <w:pStyle w:val="BodyText"/>
        <w:rPr>
          <w:sz w:val="20"/>
        </w:rPr>
      </w:pPr>
    </w:p>
    <w:p>
      <w:pPr>
        <w:pStyle w:val="BodyText"/>
        <w:spacing w:before="2"/>
        <w:rPr>
          <w:sz w:val="20"/>
        </w:rPr>
      </w:pPr>
    </w:p>
    <w:p>
      <w:pPr>
        <w:pStyle w:val="BodyText"/>
        <w:tabs>
          <w:tab w:pos="660" w:val="left" w:leader="none"/>
          <w:tab w:pos="3586" w:val="left" w:leader="none"/>
        </w:tabs>
        <w:spacing w:before="90" w:after="11"/>
        <w:ind w:left="300"/>
      </w:pPr>
      <w:r>
        <w:rPr>
          <w:u w:val="single"/>
        </w:rPr>
        <w:t> </w:t>
        <w:tab/>
      </w:r>
      <w:r>
        <w:rPr/>
        <w:t>/s/_Lindsey</w:t>
      </w:r>
      <w:r>
        <w:rPr>
          <w:spacing w:val="-6"/>
        </w:rPr>
        <w:t> </w:t>
      </w:r>
      <w:r>
        <w:rPr/>
        <w:t>Watson</w:t>
      </w:r>
      <w:r>
        <w:rPr>
          <w:u w:val="single"/>
        </w:rPr>
        <w:t> </w:t>
        <w:tab/>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4922"/>
      </w:tblGrid>
      <w:tr>
        <w:trPr>
          <w:trHeight w:val="2474" w:hRule="atLeast"/>
        </w:trPr>
        <w:tc>
          <w:tcPr>
            <w:tcW w:w="4614" w:type="dxa"/>
          </w:tcPr>
          <w:p>
            <w:pPr>
              <w:pStyle w:val="TableParagraph"/>
              <w:ind w:left="200" w:right="1321"/>
              <w:rPr>
                <w:sz w:val="24"/>
              </w:rPr>
            </w:pPr>
            <w:r>
              <w:rPr>
                <w:sz w:val="24"/>
              </w:rPr>
              <w:t>Lindsey Watson, #44043 Deputy State Public Defender</w:t>
            </w:r>
          </w:p>
          <w:p>
            <w:pPr>
              <w:pStyle w:val="TableParagraph"/>
              <w:spacing w:before="1"/>
              <w:ind w:left="0"/>
              <w:rPr>
                <w:sz w:val="23"/>
              </w:rPr>
            </w:pPr>
          </w:p>
          <w:p>
            <w:pPr>
              <w:pStyle w:val="TableParagraph"/>
              <w:ind w:left="200"/>
              <w:rPr>
                <w:sz w:val="24"/>
              </w:rPr>
            </w:pPr>
            <w:r>
              <w:rPr>
                <w:sz w:val="24"/>
              </w:rPr>
              <w:t>Dated: November 27, 2017</w:t>
            </w:r>
          </w:p>
        </w:tc>
        <w:tc>
          <w:tcPr>
            <w:tcW w:w="4922" w:type="dxa"/>
          </w:tcPr>
          <w:p>
            <w:pPr>
              <w:pStyle w:val="TableParagraph"/>
              <w:spacing w:line="268" w:lineRule="exact"/>
              <w:ind w:left="1543"/>
              <w:rPr>
                <w:b/>
                <w:sz w:val="24"/>
              </w:rPr>
            </w:pPr>
            <w:r>
              <w:rPr>
                <w:b/>
                <w:sz w:val="24"/>
              </w:rPr>
              <w:t>Certificate of Service</w:t>
            </w:r>
          </w:p>
          <w:p>
            <w:pPr>
              <w:pStyle w:val="TableParagraph"/>
              <w:spacing w:line="274" w:lineRule="exact"/>
              <w:ind w:left="1543"/>
              <w:rPr>
                <w:sz w:val="24"/>
              </w:rPr>
            </w:pPr>
            <w:r>
              <w:rPr>
                <w:sz w:val="24"/>
              </w:rPr>
              <w:t>I certify that on</w:t>
            </w:r>
          </w:p>
          <w:p>
            <w:pPr>
              <w:pStyle w:val="TableParagraph"/>
              <w:tabs>
                <w:tab w:pos="2023" w:val="left" w:leader="none"/>
                <w:tab w:pos="2570" w:val="left" w:leader="none"/>
                <w:tab w:pos="3169" w:val="left" w:leader="none"/>
                <w:tab w:pos="3837" w:val="left" w:leader="none"/>
                <w:tab w:pos="4444" w:val="left" w:leader="none"/>
              </w:tabs>
              <w:ind w:left="1543" w:right="198"/>
              <w:rPr>
                <w:sz w:val="24"/>
              </w:rPr>
            </w:pPr>
            <w:r>
              <w:rPr>
                <w:sz w:val="24"/>
                <w:u w:val="single"/>
              </w:rPr>
              <w:t> </w:t>
              <w:tab/>
            </w:r>
            <w:r>
              <w:rPr>
                <w:sz w:val="24"/>
              </w:rPr>
              <w:t>11/27/17</w:t>
            </w:r>
            <w:r>
              <w:rPr>
                <w:sz w:val="24"/>
                <w:u w:val="single"/>
              </w:rPr>
              <w:t> </w:t>
              <w:tab/>
              <w:tab/>
            </w:r>
            <w:r>
              <w:rPr>
                <w:sz w:val="24"/>
              </w:rPr>
              <w:t>, I </w:t>
            </w:r>
            <w:r>
              <w:rPr>
                <w:spacing w:val="-4"/>
                <w:sz w:val="24"/>
              </w:rPr>
              <w:t>served </w:t>
            </w:r>
            <w:r>
              <w:rPr>
                <w:sz w:val="24"/>
              </w:rPr>
              <w:t>the foregoing document by delivering_x</w:t>
            </w:r>
            <w:r>
              <w:rPr>
                <w:sz w:val="24"/>
                <w:u w:val="single"/>
              </w:rPr>
              <w:t> </w:t>
              <w:tab/>
            </w:r>
            <w:r>
              <w:rPr>
                <w:sz w:val="24"/>
              </w:rPr>
              <w:t>mailing</w:t>
            </w:r>
            <w:r>
              <w:rPr>
                <w:sz w:val="24"/>
                <w:u w:val="single"/>
              </w:rPr>
              <w:tab/>
            </w:r>
            <w:r>
              <w:rPr>
                <w:sz w:val="24"/>
              </w:rPr>
              <w:t> faxing</w:t>
            </w:r>
            <w:r>
              <w:rPr>
                <w:sz w:val="24"/>
                <w:u w:val="single"/>
              </w:rPr>
              <w:t> </w:t>
              <w:tab/>
            </w:r>
            <w:r>
              <w:rPr>
                <w:sz w:val="24"/>
              </w:rPr>
              <w:t>same to all opposing counsel.</w:t>
            </w:r>
          </w:p>
          <w:p>
            <w:pPr>
              <w:pStyle w:val="TableParagraph"/>
              <w:ind w:left="0"/>
              <w:rPr>
                <w:sz w:val="24"/>
              </w:rPr>
            </w:pPr>
          </w:p>
          <w:p>
            <w:pPr>
              <w:pStyle w:val="TableParagraph"/>
              <w:tabs>
                <w:tab w:pos="4412" w:val="left" w:leader="none"/>
              </w:tabs>
              <w:spacing w:line="256" w:lineRule="exact"/>
              <w:ind w:left="1543"/>
              <w:rPr>
                <w:sz w:val="24"/>
              </w:rPr>
            </w:pPr>
            <w:r>
              <w:rPr>
                <w:sz w:val="24"/>
                <w:u w:val="single"/>
              </w:rPr>
              <w:t>    </w:t>
            </w:r>
            <w:r>
              <w:rPr>
                <w:sz w:val="24"/>
              </w:rPr>
              <w:t>/s/ Lindsey</w:t>
            </w:r>
            <w:r>
              <w:rPr>
                <w:spacing w:val="-3"/>
                <w:sz w:val="24"/>
              </w:rPr>
              <w:t> </w:t>
            </w:r>
            <w:r>
              <w:rPr>
                <w:sz w:val="24"/>
              </w:rPr>
              <w:t>Watson</w:t>
            </w:r>
            <w:r>
              <w:rPr>
                <w:sz w:val="24"/>
                <w:u w:val="single"/>
              </w:rPr>
              <w:t> </w:t>
              <w:tab/>
            </w:r>
          </w:p>
        </w:tc>
      </w:tr>
    </w:tbl>
    <w:sectPr>
      <w:pgSz w:w="12240" w:h="15840"/>
      <w:pgMar w:top="1360" w:bottom="280" w:left="15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47" w:hanging="360"/>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2468" w:hanging="361"/>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3268" w:hanging="361"/>
      </w:pPr>
      <w:rPr>
        <w:rFonts w:hint="default"/>
      </w:rPr>
    </w:lvl>
    <w:lvl w:ilvl="3">
      <w:start w:val="0"/>
      <w:numFmt w:val="bullet"/>
      <w:lvlText w:val="•"/>
      <w:lvlJc w:val="left"/>
      <w:pPr>
        <w:ind w:left="4077" w:hanging="361"/>
      </w:pPr>
      <w:rPr>
        <w:rFonts w:hint="default"/>
      </w:rPr>
    </w:lvl>
    <w:lvl w:ilvl="4">
      <w:start w:val="0"/>
      <w:numFmt w:val="bullet"/>
      <w:lvlText w:val="•"/>
      <w:lvlJc w:val="left"/>
      <w:pPr>
        <w:ind w:left="4886" w:hanging="361"/>
      </w:pPr>
      <w:rPr>
        <w:rFonts w:hint="default"/>
      </w:rPr>
    </w:lvl>
    <w:lvl w:ilvl="5">
      <w:start w:val="0"/>
      <w:numFmt w:val="bullet"/>
      <w:lvlText w:val="•"/>
      <w:lvlJc w:val="left"/>
      <w:pPr>
        <w:ind w:left="5695" w:hanging="361"/>
      </w:pPr>
      <w:rPr>
        <w:rFonts w:hint="default"/>
      </w:rPr>
    </w:lvl>
    <w:lvl w:ilvl="6">
      <w:start w:val="0"/>
      <w:numFmt w:val="bullet"/>
      <w:lvlText w:val="•"/>
      <w:lvlJc w:val="left"/>
      <w:pPr>
        <w:ind w:left="6504" w:hanging="361"/>
      </w:pPr>
      <w:rPr>
        <w:rFonts w:hint="default"/>
      </w:rPr>
    </w:lvl>
    <w:lvl w:ilvl="7">
      <w:start w:val="0"/>
      <w:numFmt w:val="bullet"/>
      <w:lvlText w:val="•"/>
      <w:lvlJc w:val="left"/>
      <w:pPr>
        <w:ind w:left="7313" w:hanging="361"/>
      </w:pPr>
      <w:rPr>
        <w:rFonts w:hint="default"/>
      </w:rPr>
    </w:lvl>
    <w:lvl w:ilvl="8">
      <w:start w:val="0"/>
      <w:numFmt w:val="bullet"/>
      <w:lvlText w:val="•"/>
      <w:lvlJc w:val="left"/>
      <w:pPr>
        <w:ind w:left="8122"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468" w:right="805" w:hanging="361"/>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2019-03-22T16:28:48Z</dcterms:created>
  <dcterms:modified xsi:type="dcterms:W3CDTF">2019-03-22T16:28:48Z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2019-03-22T00:00:00Z</vt:filetime>
  </property>
</Properties>
</file>