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71.760002pt;margin-top:72pt;width:468.75pt;height:473.65pt;mso-position-horizontal-relative:page;mso-position-vertical-relative:page;z-index:1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0"/>
                    <w:gridCol w:w="3600"/>
                  </w:tblGrid>
                  <w:tr>
                    <w:trPr>
                      <w:trHeight w:val="2101" w:hRule="atLeast"/>
                    </w:trPr>
                    <w:tc>
                      <w:tcPr>
                        <w:tcW w:w="5760" w:type="dxa"/>
                        <w:tcBorders>
                          <w:bottom w:val="nil"/>
                        </w:tcBorders>
                      </w:tcPr>
                      <w:p>
                        <w:pPr>
                          <w:pStyle w:val="TableParagraph"/>
                          <w:spacing w:line="273" w:lineRule="exact"/>
                          <w:rPr>
                            <w:sz w:val="24"/>
                          </w:rPr>
                        </w:pPr>
                        <w:r>
                          <w:rPr>
                            <w:sz w:val="24"/>
                          </w:rPr>
                          <w:t>DISTRICT COURT, ADAMS COUNTY, COLORADO</w:t>
                        </w:r>
                      </w:p>
                      <w:p>
                        <w:pPr>
                          <w:pStyle w:val="TableParagraph"/>
                          <w:ind w:right="3030"/>
                          <w:rPr>
                            <w:sz w:val="24"/>
                          </w:rPr>
                        </w:pPr>
                        <w:r>
                          <w:rPr>
                            <w:sz w:val="24"/>
                          </w:rPr>
                          <w:t>1100 Judicial Center Drive Brighton, CO 80601</w:t>
                        </w:r>
                      </w:p>
                      <w:p>
                        <w:pPr>
                          <w:pStyle w:val="TableParagraph"/>
                          <w:spacing w:before="9"/>
                          <w:ind w:left="0"/>
                          <w:rPr>
                            <w:sz w:val="26"/>
                          </w:rPr>
                        </w:pPr>
                      </w:p>
                      <w:p>
                        <w:pPr>
                          <w:pStyle w:val="TableParagraph"/>
                          <w:spacing w:line="275" w:lineRule="exact"/>
                          <w:rPr>
                            <w:b/>
                            <w:sz w:val="24"/>
                          </w:rPr>
                        </w:pPr>
                        <w:r>
                          <w:rPr>
                            <w:b/>
                            <w:sz w:val="24"/>
                          </w:rPr>
                          <w:t>Plaintiff :</w:t>
                        </w:r>
                      </w:p>
                      <w:p>
                        <w:pPr>
                          <w:pStyle w:val="TableParagraph"/>
                          <w:ind w:right="810"/>
                          <w:rPr>
                            <w:sz w:val="24"/>
                          </w:rPr>
                        </w:pPr>
                        <w:r>
                          <w:rPr>
                            <w:sz w:val="24"/>
                          </w:rPr>
                          <w:t>American Family Mutual Insurance Company, As Subrogee of Kathryn Windt,</w:t>
                        </w:r>
                      </w:p>
                    </w:tc>
                    <w:tc>
                      <w:tcPr>
                        <w:tcW w:w="3600" w:type="dxa"/>
                        <w:tcBorders>
                          <w:bottom w:val="nil"/>
                        </w:tcBorders>
                      </w:tcPr>
                      <w:p>
                        <w:pPr>
                          <w:pStyle w:val="TableParagraph"/>
                          <w:ind w:left="0"/>
                          <w:rPr>
                            <w:sz w:val="26"/>
                          </w:rPr>
                        </w:pPr>
                      </w:p>
                      <w:p>
                        <w:pPr>
                          <w:pStyle w:val="TableParagraph"/>
                          <w:spacing w:before="4"/>
                          <w:ind w:left="0"/>
                          <w:rPr>
                            <w:sz w:val="34"/>
                          </w:rPr>
                        </w:pPr>
                      </w:p>
                      <w:p>
                        <w:pPr>
                          <w:pStyle w:val="TableParagraph"/>
                          <w:spacing w:line="220" w:lineRule="auto"/>
                          <w:ind w:left="989" w:right="-4"/>
                          <w:rPr>
                            <w:rFonts w:ascii="Minion Pro"/>
                            <w:sz w:val="19"/>
                          </w:rPr>
                        </w:pPr>
                        <w:r>
                          <w:rPr>
                            <w:rFonts w:ascii="Minion Pro"/>
                            <w:color w:val="0000FF"/>
                            <w:spacing w:val="-6"/>
                            <w:w w:val="105"/>
                            <w:sz w:val="19"/>
                          </w:rPr>
                          <w:t>DATE</w:t>
                        </w:r>
                        <w:r>
                          <w:rPr>
                            <w:rFonts w:ascii="Minion Pro"/>
                            <w:color w:val="0000FF"/>
                            <w:spacing w:val="-10"/>
                            <w:w w:val="105"/>
                            <w:sz w:val="19"/>
                          </w:rPr>
                          <w:t> </w:t>
                        </w:r>
                        <w:r>
                          <w:rPr>
                            <w:rFonts w:ascii="Minion Pro"/>
                            <w:color w:val="0000FF"/>
                            <w:w w:val="105"/>
                            <w:sz w:val="19"/>
                          </w:rPr>
                          <w:t>FILED:</w:t>
                        </w:r>
                        <w:r>
                          <w:rPr>
                            <w:rFonts w:ascii="Minion Pro"/>
                            <w:color w:val="0000FF"/>
                            <w:spacing w:val="-10"/>
                            <w:w w:val="105"/>
                            <w:sz w:val="19"/>
                          </w:rPr>
                          <w:t> </w:t>
                        </w:r>
                        <w:r>
                          <w:rPr>
                            <w:rFonts w:ascii="Minion Pro"/>
                            <w:color w:val="0000FF"/>
                            <w:w w:val="105"/>
                            <w:sz w:val="19"/>
                          </w:rPr>
                          <w:t>January</w:t>
                        </w:r>
                        <w:r>
                          <w:rPr>
                            <w:rFonts w:ascii="Minion Pro"/>
                            <w:color w:val="0000FF"/>
                            <w:spacing w:val="-10"/>
                            <w:w w:val="105"/>
                            <w:sz w:val="19"/>
                          </w:rPr>
                          <w:t> </w:t>
                        </w:r>
                        <w:r>
                          <w:rPr>
                            <w:rFonts w:ascii="Minion Pro"/>
                            <w:color w:val="0000FF"/>
                            <w:w w:val="105"/>
                            <w:sz w:val="19"/>
                          </w:rPr>
                          <w:t>25,</w:t>
                        </w:r>
                        <w:r>
                          <w:rPr>
                            <w:rFonts w:ascii="Minion Pro"/>
                            <w:color w:val="0000FF"/>
                            <w:spacing w:val="-10"/>
                            <w:w w:val="105"/>
                            <w:sz w:val="19"/>
                          </w:rPr>
                          <w:t> </w:t>
                        </w:r>
                        <w:r>
                          <w:rPr>
                            <w:rFonts w:ascii="Minion Pro"/>
                            <w:color w:val="0000FF"/>
                            <w:w w:val="105"/>
                            <w:sz w:val="19"/>
                          </w:rPr>
                          <w:t>2017</w:t>
                        </w:r>
                        <w:r>
                          <w:rPr>
                            <w:rFonts w:ascii="Minion Pro"/>
                            <w:color w:val="0000FF"/>
                            <w:spacing w:val="-10"/>
                            <w:w w:val="105"/>
                            <w:sz w:val="19"/>
                          </w:rPr>
                          <w:t> </w:t>
                        </w:r>
                        <w:r>
                          <w:rPr>
                            <w:rFonts w:ascii="Minion Pro"/>
                            <w:color w:val="0000FF"/>
                            <w:spacing w:val="-12"/>
                            <w:w w:val="105"/>
                            <w:sz w:val="19"/>
                          </w:rPr>
                          <w:t>6 </w:t>
                        </w:r>
                        <w:r>
                          <w:rPr>
                            <w:rFonts w:ascii="Minion Pro"/>
                            <w:color w:val="0000FF"/>
                            <w:w w:val="105"/>
                            <w:sz w:val="19"/>
                          </w:rPr>
                          <w:t>FILING ID: 711411BE56655 CASE NUMBER:</w:t>
                        </w:r>
                        <w:r>
                          <w:rPr>
                            <w:rFonts w:ascii="Minion Pro"/>
                            <w:color w:val="0000FF"/>
                            <w:spacing w:val="-30"/>
                            <w:w w:val="105"/>
                            <w:sz w:val="19"/>
                          </w:rPr>
                          <w:t> </w:t>
                        </w:r>
                        <w:r>
                          <w:rPr>
                            <w:rFonts w:ascii="Minion Pro"/>
                            <w:color w:val="0000FF"/>
                            <w:w w:val="105"/>
                            <w:sz w:val="19"/>
                          </w:rPr>
                          <w:t>2015CV31808</w:t>
                        </w:r>
                      </w:p>
                      <w:p>
                        <w:pPr>
                          <w:pStyle w:val="TableParagraph"/>
                          <w:ind w:left="0"/>
                          <w:rPr>
                            <w:sz w:val="22"/>
                          </w:rPr>
                        </w:pPr>
                      </w:p>
                      <w:p>
                        <w:pPr>
                          <w:pStyle w:val="TableParagraph"/>
                          <w:numPr>
                            <w:ilvl w:val="0"/>
                            <w:numId w:val="1"/>
                          </w:numPr>
                          <w:tabs>
                            <w:tab w:pos="911" w:val="left" w:leader="none"/>
                            <w:tab w:pos="912" w:val="left" w:leader="none"/>
                            <w:tab w:pos="3323" w:val="left" w:leader="none"/>
                          </w:tabs>
                          <w:spacing w:line="240" w:lineRule="auto" w:before="0" w:after="0"/>
                          <w:ind w:left="911" w:right="0" w:hanging="504"/>
                          <w:jc w:val="left"/>
                          <w:rPr>
                            <w:rFonts w:ascii="Symbol" w:hAnsi="Symbol"/>
                            <w:sz w:val="24"/>
                          </w:rPr>
                        </w:pPr>
                        <w:r>
                          <w:rPr>
                            <w:sz w:val="24"/>
                          </w:rPr>
                          <w:t>COURT</w:t>
                        </w:r>
                        <w:r>
                          <w:rPr>
                            <w:spacing w:val="-3"/>
                            <w:sz w:val="24"/>
                          </w:rPr>
                          <w:t> </w:t>
                        </w:r>
                        <w:r>
                          <w:rPr>
                            <w:sz w:val="24"/>
                          </w:rPr>
                          <w:t>USE</w:t>
                        </w:r>
                        <w:r>
                          <w:rPr>
                            <w:spacing w:val="-2"/>
                            <w:sz w:val="24"/>
                          </w:rPr>
                          <w:t> </w:t>
                        </w:r>
                        <w:r>
                          <w:rPr>
                            <w:sz w:val="24"/>
                          </w:rPr>
                          <w:t>ONLY</w:t>
                          <w:tab/>
                        </w:r>
                        <w:r>
                          <w:rPr>
                            <w:rFonts w:ascii="Symbol" w:hAnsi="Symbol"/>
                            <w:sz w:val="24"/>
                          </w:rPr>
                          <w:t></w:t>
                        </w:r>
                      </w:p>
                    </w:tc>
                  </w:tr>
                  <w:tr>
                    <w:trPr>
                      <w:trHeight w:val="423" w:hRule="atLeast"/>
                    </w:trPr>
                    <w:tc>
                      <w:tcPr>
                        <w:tcW w:w="5760" w:type="dxa"/>
                        <w:tcBorders>
                          <w:top w:val="nil"/>
                          <w:bottom w:val="nil"/>
                        </w:tcBorders>
                      </w:tcPr>
                      <w:p>
                        <w:pPr>
                          <w:pStyle w:val="TableParagraph"/>
                          <w:spacing w:line="270" w:lineRule="exact" w:before="133"/>
                          <w:rPr>
                            <w:sz w:val="24"/>
                          </w:rPr>
                        </w:pPr>
                        <w:r>
                          <w:rPr>
                            <w:sz w:val="24"/>
                          </w:rPr>
                          <w:t>v.</w:t>
                        </w:r>
                      </w:p>
                    </w:tc>
                    <w:tc>
                      <w:tcPr>
                        <w:tcW w:w="3600" w:type="dxa"/>
                        <w:tcBorders>
                          <w:top w:val="nil"/>
                          <w:bottom w:val="nil"/>
                        </w:tcBorders>
                      </w:tcPr>
                      <w:p>
                        <w:pPr>
                          <w:pStyle w:val="TableParagraph"/>
                          <w:ind w:left="0"/>
                          <w:rPr>
                            <w:sz w:val="22"/>
                          </w:rPr>
                        </w:pPr>
                      </w:p>
                    </w:tc>
                  </w:tr>
                  <w:tr>
                    <w:trPr>
                      <w:trHeight w:val="827" w:hRule="atLeast"/>
                    </w:trPr>
                    <w:tc>
                      <w:tcPr>
                        <w:tcW w:w="5760" w:type="dxa"/>
                        <w:tcBorders>
                          <w:top w:val="nil"/>
                          <w:bottom w:val="nil"/>
                        </w:tcBorders>
                      </w:tcPr>
                      <w:p>
                        <w:pPr>
                          <w:pStyle w:val="TableParagraph"/>
                          <w:spacing w:before="11"/>
                          <w:ind w:left="0"/>
                          <w:rPr>
                            <w:sz w:val="22"/>
                          </w:rPr>
                        </w:pPr>
                      </w:p>
                      <w:p>
                        <w:pPr>
                          <w:pStyle w:val="TableParagraph"/>
                          <w:spacing w:line="275" w:lineRule="exact"/>
                          <w:rPr>
                            <w:b/>
                            <w:sz w:val="24"/>
                          </w:rPr>
                        </w:pPr>
                        <w:r>
                          <w:rPr>
                            <w:b/>
                            <w:sz w:val="24"/>
                          </w:rPr>
                          <w:t>Defendants/Third Party Plaintiffs:</w:t>
                        </w:r>
                      </w:p>
                      <w:p>
                        <w:pPr>
                          <w:pStyle w:val="TableParagraph"/>
                          <w:spacing w:line="269" w:lineRule="exact"/>
                          <w:rPr>
                            <w:sz w:val="24"/>
                          </w:rPr>
                        </w:pPr>
                        <w:r>
                          <w:rPr>
                            <w:sz w:val="24"/>
                          </w:rPr>
                          <w:t>Jvonne Becerril and Aurelio Meza-Cuevas,</w:t>
                        </w:r>
                      </w:p>
                    </w:tc>
                    <w:tc>
                      <w:tcPr>
                        <w:tcW w:w="3600" w:type="dxa"/>
                        <w:tcBorders>
                          <w:top w:val="nil"/>
                          <w:bottom w:val="nil"/>
                        </w:tcBorders>
                      </w:tcPr>
                      <w:p>
                        <w:pPr>
                          <w:pStyle w:val="TableParagraph"/>
                          <w:spacing w:before="4"/>
                          <w:rPr>
                            <w:sz w:val="24"/>
                          </w:rPr>
                        </w:pPr>
                        <w:r>
                          <w:rPr>
                            <w:sz w:val="24"/>
                          </w:rPr>
                          <w:t>Case Number: 2015CV31808</w:t>
                        </w:r>
                      </w:p>
                    </w:tc>
                  </w:tr>
                  <w:tr>
                    <w:trPr>
                      <w:trHeight w:val="682" w:hRule="atLeast"/>
                    </w:trPr>
                    <w:tc>
                      <w:tcPr>
                        <w:tcW w:w="5760" w:type="dxa"/>
                        <w:tcBorders>
                          <w:top w:val="nil"/>
                          <w:bottom w:val="nil"/>
                        </w:tcBorders>
                      </w:tcPr>
                      <w:p>
                        <w:pPr>
                          <w:pStyle w:val="TableParagraph"/>
                          <w:spacing w:before="8"/>
                          <w:ind w:left="0"/>
                          <w:rPr>
                            <w:sz w:val="22"/>
                          </w:rPr>
                        </w:pPr>
                      </w:p>
                      <w:p>
                        <w:pPr>
                          <w:pStyle w:val="TableParagraph"/>
                          <w:spacing w:before="1"/>
                          <w:rPr>
                            <w:sz w:val="24"/>
                          </w:rPr>
                        </w:pPr>
                        <w:r>
                          <w:rPr>
                            <w:sz w:val="24"/>
                          </w:rPr>
                          <w:t>v.</w:t>
                        </w:r>
                      </w:p>
                    </w:tc>
                    <w:tc>
                      <w:tcPr>
                        <w:tcW w:w="3600" w:type="dxa"/>
                        <w:tcBorders>
                          <w:top w:val="nil"/>
                          <w:bottom w:val="nil"/>
                        </w:tcBorders>
                      </w:tcPr>
                      <w:p>
                        <w:pPr>
                          <w:pStyle w:val="TableParagraph"/>
                          <w:tabs>
                            <w:tab w:pos="1840" w:val="left" w:leader="none"/>
                          </w:tabs>
                          <w:spacing w:before="4"/>
                          <w:rPr>
                            <w:sz w:val="24"/>
                          </w:rPr>
                        </w:pPr>
                        <w:r>
                          <w:rPr>
                            <w:sz w:val="24"/>
                          </w:rPr>
                          <w:t>Div.: </w:t>
                        </w:r>
                        <w:r>
                          <w:rPr>
                            <w:spacing w:val="59"/>
                            <w:sz w:val="24"/>
                          </w:rPr>
                          <w:t> </w:t>
                        </w:r>
                        <w:r>
                          <w:rPr>
                            <w:sz w:val="24"/>
                          </w:rPr>
                          <w:t>W</w:t>
                          <w:tab/>
                          <w:t>Ctrm.:</w:t>
                        </w:r>
                      </w:p>
                    </w:tc>
                  </w:tr>
                  <w:tr>
                    <w:trPr>
                      <w:trHeight w:val="551" w:hRule="atLeast"/>
                    </w:trPr>
                    <w:tc>
                      <w:tcPr>
                        <w:tcW w:w="5760" w:type="dxa"/>
                        <w:tcBorders>
                          <w:top w:val="nil"/>
                          <w:bottom w:val="nil"/>
                        </w:tcBorders>
                      </w:tcPr>
                      <w:p>
                        <w:pPr>
                          <w:pStyle w:val="TableParagraph"/>
                          <w:spacing w:before="134"/>
                          <w:rPr>
                            <w:b/>
                            <w:sz w:val="24"/>
                          </w:rPr>
                        </w:pPr>
                        <w:r>
                          <w:rPr>
                            <w:b/>
                            <w:sz w:val="24"/>
                          </w:rPr>
                          <w:t>Third Party Defendant/Counterclaimant:</w:t>
                        </w:r>
                      </w:p>
                    </w:tc>
                    <w:tc>
                      <w:tcPr>
                        <w:tcW w:w="3600" w:type="dxa"/>
                        <w:tcBorders>
                          <w:top w:val="nil"/>
                          <w:bottom w:val="nil"/>
                        </w:tcBorders>
                      </w:tcPr>
                      <w:p>
                        <w:pPr>
                          <w:pStyle w:val="TableParagraph"/>
                          <w:ind w:left="0"/>
                          <w:rPr>
                            <w:sz w:val="22"/>
                          </w:rPr>
                        </w:pPr>
                      </w:p>
                    </w:tc>
                  </w:tr>
                  <w:tr>
                    <w:trPr>
                      <w:trHeight w:val="843" w:hRule="atLeast"/>
                    </w:trPr>
                    <w:tc>
                      <w:tcPr>
                        <w:tcW w:w="5760" w:type="dxa"/>
                        <w:tcBorders>
                          <w:top w:val="nil"/>
                          <w:bottom w:val="nil"/>
                        </w:tcBorders>
                      </w:tcPr>
                      <w:p>
                        <w:pPr>
                          <w:pStyle w:val="TableParagraph"/>
                          <w:spacing w:before="131"/>
                          <w:rPr>
                            <w:sz w:val="24"/>
                          </w:rPr>
                        </w:pPr>
                        <w:r>
                          <w:rPr>
                            <w:sz w:val="24"/>
                          </w:rPr>
                          <w:t>Kathryn Windt</w:t>
                        </w:r>
                      </w:p>
                    </w:tc>
                    <w:tc>
                      <w:tcPr>
                        <w:tcW w:w="3600" w:type="dxa"/>
                        <w:tcBorders>
                          <w:top w:val="nil"/>
                          <w:bottom w:val="nil"/>
                        </w:tcBorders>
                      </w:tcPr>
                      <w:p>
                        <w:pPr>
                          <w:pStyle w:val="TableParagraph"/>
                          <w:ind w:left="0"/>
                          <w:rPr>
                            <w:sz w:val="22"/>
                          </w:rPr>
                        </w:pPr>
                      </w:p>
                    </w:tc>
                  </w:tr>
                  <w:tr>
                    <w:trPr>
                      <w:trHeight w:val="3185" w:hRule="atLeast"/>
                    </w:trPr>
                    <w:tc>
                      <w:tcPr>
                        <w:tcW w:w="5760" w:type="dxa"/>
                        <w:tcBorders>
                          <w:top w:val="nil"/>
                        </w:tcBorders>
                      </w:tcPr>
                      <w:p>
                        <w:pPr>
                          <w:pStyle w:val="TableParagraph"/>
                          <w:spacing w:before="11"/>
                          <w:ind w:left="0"/>
                          <w:rPr>
                            <w:sz w:val="36"/>
                          </w:rPr>
                        </w:pPr>
                      </w:p>
                      <w:p>
                        <w:pPr>
                          <w:pStyle w:val="TableParagraph"/>
                          <w:spacing w:line="275" w:lineRule="exact"/>
                          <w:rPr>
                            <w:b/>
                            <w:sz w:val="24"/>
                          </w:rPr>
                        </w:pPr>
                        <w:r>
                          <w:rPr>
                            <w:b/>
                            <w:sz w:val="24"/>
                          </w:rPr>
                          <w:t>Attorneys for Defendants Becerril and Meza-Cuevas:</w:t>
                        </w:r>
                      </w:p>
                      <w:p>
                        <w:pPr>
                          <w:pStyle w:val="TableParagraph"/>
                          <w:ind w:right="3343"/>
                          <w:rPr>
                            <w:sz w:val="24"/>
                          </w:rPr>
                        </w:pPr>
                        <w:r>
                          <w:rPr>
                            <w:sz w:val="24"/>
                          </w:rPr>
                          <w:t>Jeffrey Clay Ruebel Katherine L. Brim Ruebel &amp; Quillen, LLC</w:t>
                        </w:r>
                      </w:p>
                      <w:p>
                        <w:pPr>
                          <w:pStyle w:val="TableParagraph"/>
                          <w:rPr>
                            <w:sz w:val="24"/>
                          </w:rPr>
                        </w:pPr>
                        <w:r>
                          <w:rPr>
                            <w:sz w:val="24"/>
                          </w:rPr>
                          <w:t>8501 Turnpike Drive, Ste</w:t>
                        </w:r>
                        <w:r>
                          <w:rPr>
                            <w:spacing w:val="-6"/>
                            <w:sz w:val="24"/>
                          </w:rPr>
                          <w:t> </w:t>
                        </w:r>
                        <w:r>
                          <w:rPr>
                            <w:sz w:val="24"/>
                          </w:rPr>
                          <w:t>106</w:t>
                        </w:r>
                      </w:p>
                      <w:p>
                        <w:pPr>
                          <w:pStyle w:val="TableParagraph"/>
                          <w:rPr>
                            <w:sz w:val="24"/>
                          </w:rPr>
                        </w:pPr>
                        <w:r>
                          <w:rPr>
                            <w:sz w:val="24"/>
                          </w:rPr>
                          <w:t>Westminster, Colorado</w:t>
                        </w:r>
                        <w:r>
                          <w:rPr>
                            <w:spacing w:val="-7"/>
                            <w:sz w:val="24"/>
                          </w:rPr>
                          <w:t> </w:t>
                        </w:r>
                        <w:r>
                          <w:rPr>
                            <w:sz w:val="24"/>
                          </w:rPr>
                          <w:t>80031</w:t>
                        </w:r>
                      </w:p>
                      <w:p>
                        <w:pPr>
                          <w:pStyle w:val="TableParagraph"/>
                          <w:rPr>
                            <w:sz w:val="24"/>
                          </w:rPr>
                        </w:pPr>
                        <w:r>
                          <w:rPr>
                            <w:sz w:val="24"/>
                          </w:rPr>
                          <w:t>Phone Number: (888) 989-1777</w:t>
                        </w:r>
                      </w:p>
                      <w:p>
                        <w:pPr>
                          <w:pStyle w:val="TableParagraph"/>
                          <w:rPr>
                            <w:sz w:val="24"/>
                          </w:rPr>
                        </w:pPr>
                        <w:r>
                          <w:rPr>
                            <w:sz w:val="24"/>
                          </w:rPr>
                          <w:t>FAX Number: (303) 362-5724</w:t>
                        </w:r>
                      </w:p>
                      <w:p>
                        <w:pPr>
                          <w:pStyle w:val="TableParagraph"/>
                          <w:rPr>
                            <w:sz w:val="24"/>
                          </w:rPr>
                        </w:pPr>
                        <w:r>
                          <w:rPr>
                            <w:sz w:val="24"/>
                          </w:rPr>
                          <w:t>E-mail: </w:t>
                        </w:r>
                        <w:hyperlink r:id="rId5">
                          <w:r>
                            <w:rPr>
                              <w:sz w:val="24"/>
                            </w:rPr>
                            <w:t>Jeffrey@rq-law.com</w:t>
                          </w:r>
                        </w:hyperlink>
                      </w:p>
                    </w:tc>
                    <w:tc>
                      <w:tcPr>
                        <w:tcW w:w="3600" w:type="dxa"/>
                        <w:tcBorders>
                          <w:top w:val="nil"/>
                        </w:tcBorders>
                      </w:tcPr>
                      <w:p>
                        <w:pPr>
                          <w:pStyle w:val="TableParagraph"/>
                          <w:ind w:left="0"/>
                          <w:rPr>
                            <w:sz w:val="22"/>
                          </w:rPr>
                        </w:pPr>
                      </w:p>
                    </w:tc>
                  </w:tr>
                  <w:tr>
                    <w:trPr>
                      <w:trHeight w:val="827" w:hRule="atLeast"/>
                    </w:trPr>
                    <w:tc>
                      <w:tcPr>
                        <w:tcW w:w="9360" w:type="dxa"/>
                        <w:gridSpan w:val="2"/>
                      </w:tcPr>
                      <w:p>
                        <w:pPr>
                          <w:pStyle w:val="TableParagraph"/>
                          <w:spacing w:before="10"/>
                          <w:ind w:left="0"/>
                          <w:rPr>
                            <w:sz w:val="23"/>
                          </w:rPr>
                        </w:pPr>
                      </w:p>
                      <w:p>
                        <w:pPr>
                          <w:pStyle w:val="TableParagraph"/>
                          <w:ind w:left="669"/>
                          <w:rPr>
                            <w:b/>
                            <w:sz w:val="24"/>
                          </w:rPr>
                        </w:pPr>
                        <w:r>
                          <w:rPr>
                            <w:b/>
                            <w:sz w:val="24"/>
                          </w:rPr>
                          <w:t>MOTION FOR SANCTIONS FOR WINDT’S SPOLIATION OF EVIDENCE</w:t>
                        </w:r>
                      </w:p>
                    </w:tc>
                  </w:tr>
                </w:tbl>
                <w:p>
                  <w:pPr>
                    <w:pStyle w:val="BodyText"/>
                  </w:pPr>
                </w:p>
              </w:txbxContent>
            </v:textbox>
            <w10:wrap type="none"/>
          </v:shape>
        </w:pict>
      </w:r>
    </w:p>
    <w:p>
      <w:pPr>
        <w:pStyle w:val="BodyText"/>
        <w:rPr>
          <w:sz w:val="20"/>
        </w:rPr>
      </w:pPr>
    </w:p>
    <w:p>
      <w:pPr>
        <w:spacing w:before="229"/>
        <w:ind w:left="9467" w:right="0" w:firstLine="0"/>
        <w:jc w:val="left"/>
        <w:rPr>
          <w:rFonts w:ascii="Minion Pro"/>
          <w:sz w:val="19"/>
        </w:rPr>
      </w:pPr>
      <w:r>
        <w:rPr>
          <w:rFonts w:ascii="Minion Pro"/>
          <w:color w:val="0000FF"/>
          <w:w w:val="105"/>
          <w:sz w:val="19"/>
        </w:rPr>
        <w:t>:40 PM</w:t>
      </w:r>
    </w:p>
    <w:p>
      <w:pPr>
        <w:pStyle w:val="BodyText"/>
        <w:spacing w:before="7"/>
        <w:rPr>
          <w:rFonts w:ascii="Minion Pro"/>
          <w:sz w:val="9"/>
        </w:rPr>
      </w:pPr>
      <w:r>
        <w:rPr/>
        <w:pict>
          <v:line style="position:absolute;mso-position-horizontal-relative:page;mso-position-vertical-relative:paragraph;z-index:-1024;mso-wrap-distance-left:0;mso-wrap-distance-right:0" from="75.900002pt,8.656453pt" to="356.101002pt,8.656453pt" stroked="true" strokeweight=".48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12"/>
        <w:rPr>
          <w:rFonts w:ascii="Minion Pro"/>
          <w:sz w:val="18"/>
        </w:rPr>
      </w:pPr>
      <w:r>
        <w:rPr/>
        <w:pict>
          <v:line style="position:absolute;mso-position-horizontal-relative:page;mso-position-vertical-relative:paragraph;z-index:-1000;mso-wrap-distance-left:0;mso-wrap-distance-right:0" from="363.899994pt,14.9495pt" to="536.100994pt,14.9495pt" stroked="true" strokeweight=".481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7"/>
        <w:rPr>
          <w:rFonts w:ascii="Minion Pro"/>
          <w:sz w:val="19"/>
        </w:rPr>
      </w:pPr>
      <w:r>
        <w:rPr/>
        <w:pict>
          <v:line style="position:absolute;mso-position-horizontal-relative:page;mso-position-vertical-relative:paragraph;z-index:-976;mso-wrap-distance-left:0;mso-wrap-distance-right:0" from="75.900002pt,15.4005pt" to="356.101002pt,15.4005pt" stroked="true" strokeweight=".48pt" strokecolor="#000000">
            <v:stroke dashstyle="solid"/>
            <w10:wrap type="topAndBottom"/>
          </v:line>
        </w:pic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13"/>
        <w:rPr>
          <w:rFonts w:ascii="Minion Pro"/>
          <w:sz w:val="26"/>
        </w:rPr>
      </w:pPr>
    </w:p>
    <w:p>
      <w:pPr>
        <w:pStyle w:val="BodyText"/>
        <w:tabs>
          <w:tab w:pos="2615" w:val="left" w:leader="none"/>
          <w:tab w:pos="3752" w:val="left" w:leader="none"/>
          <w:tab w:pos="5115" w:val="left" w:leader="none"/>
          <w:tab w:pos="5666" w:val="left" w:leader="none"/>
          <w:tab w:pos="6922" w:val="left" w:leader="none"/>
          <w:tab w:pos="8846" w:val="left" w:leader="none"/>
        </w:tabs>
        <w:ind w:left="840"/>
      </w:pPr>
      <w:r>
        <w:rPr/>
        <w:t>DEFENDANTS</w:t>
        <w:tab/>
        <w:t>JVONNE</w:t>
        <w:tab/>
        <w:t>BECERRIL</w:t>
        <w:tab/>
        <w:t>and</w:t>
        <w:tab/>
        <w:t>AURELIO</w:t>
        <w:tab/>
        <w:t>MEZA-CUEVAS</w:t>
        <w:tab/>
        <w:t>(“Mrs.</w:t>
      </w:r>
    </w:p>
    <w:p>
      <w:pPr>
        <w:pStyle w:val="BodyText"/>
      </w:pPr>
    </w:p>
    <w:p>
      <w:pPr>
        <w:pStyle w:val="BodyText"/>
        <w:spacing w:line="480" w:lineRule="auto"/>
        <w:ind w:left="120" w:right="658"/>
        <w:jc w:val="both"/>
      </w:pPr>
      <w:r>
        <w:rPr/>
        <w:t>Becceril” and “Mr. Meza-Cuevas”), by and through counsel, RUEBEL &amp; QUILLEN, LLC, hereby submit their Motion for Sanctions for Windt’s Spoliation of Evidence. They ask that the jury be instructed with an adverse inference against Windt based on the loss or destruction of evidence. As grounds therefore, they state and allege as follows:</w:t>
      </w:r>
    </w:p>
    <w:p>
      <w:pPr>
        <w:spacing w:after="0" w:line="480" w:lineRule="auto"/>
        <w:jc w:val="both"/>
        <w:sectPr>
          <w:type w:val="continuous"/>
          <w:pgSz w:w="12240" w:h="15840"/>
          <w:pgMar w:top="1440" w:bottom="280" w:left="1320" w:right="780"/>
        </w:sectPr>
      </w:pPr>
    </w:p>
    <w:p>
      <w:pPr>
        <w:pStyle w:val="Heading1"/>
        <w:spacing w:before="79"/>
        <w:ind w:left="2346"/>
      </w:pPr>
      <w:r>
        <w:rPr/>
        <w:t>CERTIFICATE OF RULE 121 CONFERRAL:</w:t>
      </w:r>
    </w:p>
    <w:p>
      <w:pPr>
        <w:pStyle w:val="BodyText"/>
        <w:spacing w:before="9"/>
        <w:rPr>
          <w:b/>
          <w:sz w:val="23"/>
        </w:rPr>
      </w:pPr>
    </w:p>
    <w:p>
      <w:pPr>
        <w:pStyle w:val="BodyText"/>
        <w:ind w:left="840"/>
      </w:pPr>
      <w:r>
        <w:rPr/>
        <w:t>Counsel for Defendants has conferred with Counsel for Mrs. Windt as to this Motion.</w:t>
      </w:r>
    </w:p>
    <w:p>
      <w:pPr>
        <w:pStyle w:val="BodyText"/>
      </w:pPr>
    </w:p>
    <w:p>
      <w:pPr>
        <w:pStyle w:val="BodyText"/>
        <w:ind w:left="120"/>
      </w:pPr>
      <w:r>
        <w:rPr/>
        <w:t>Mrs. Windt opposes the Motion.</w:t>
      </w:r>
    </w:p>
    <w:p>
      <w:pPr>
        <w:pStyle w:val="BodyText"/>
        <w:spacing w:before="2"/>
      </w:pPr>
    </w:p>
    <w:p>
      <w:pPr>
        <w:pStyle w:val="Heading1"/>
      </w:pPr>
      <w:r>
        <w:rPr/>
        <w:t>BACKGROUND</w:t>
      </w:r>
    </w:p>
    <w:p>
      <w:pPr>
        <w:pStyle w:val="BodyText"/>
        <w:spacing w:before="9"/>
        <w:rPr>
          <w:b/>
          <w:sz w:val="23"/>
        </w:rPr>
      </w:pPr>
    </w:p>
    <w:p>
      <w:pPr>
        <w:pStyle w:val="BodyText"/>
        <w:spacing w:line="480" w:lineRule="auto" w:before="1"/>
        <w:ind w:left="120" w:right="656" w:firstLine="720"/>
        <w:jc w:val="both"/>
      </w:pPr>
      <w:r>
        <w:rPr/>
        <w:t>This matter arises out of an October 3, 2014 motor vehicle accident (“the accident”). Liability for the accident is disputed and will be a central issue at trial; both Mrs. Becerril and Mrs. Windt have testified that they entered the intersection immediately prior to the accident on a green light, and both allege that the other ran a red light, thereby causing the accident. The investigating police officer was unable to determine</w:t>
      </w:r>
      <w:r>
        <w:rPr>
          <w:spacing w:val="-2"/>
        </w:rPr>
        <w:t> </w:t>
      </w:r>
      <w:r>
        <w:rPr/>
        <w:t>fault.</w:t>
      </w:r>
    </w:p>
    <w:p>
      <w:pPr>
        <w:pStyle w:val="Heading1"/>
        <w:spacing w:before="2"/>
      </w:pPr>
      <w:r>
        <w:rPr/>
        <w:t>RELEVANT FACTS</w:t>
      </w:r>
    </w:p>
    <w:p>
      <w:pPr>
        <w:pStyle w:val="BodyText"/>
        <w:spacing w:before="9"/>
        <w:rPr>
          <w:b/>
          <w:sz w:val="23"/>
        </w:rPr>
      </w:pPr>
    </w:p>
    <w:p>
      <w:pPr>
        <w:pStyle w:val="ListParagraph"/>
        <w:numPr>
          <w:ilvl w:val="0"/>
          <w:numId w:val="2"/>
        </w:numPr>
        <w:tabs>
          <w:tab w:pos="840" w:val="left" w:leader="none"/>
        </w:tabs>
        <w:spacing w:line="480" w:lineRule="auto" w:before="0" w:after="0"/>
        <w:ind w:left="840" w:right="657" w:hanging="360"/>
        <w:jc w:val="both"/>
        <w:rPr>
          <w:sz w:val="24"/>
        </w:rPr>
      </w:pPr>
      <w:r>
        <w:rPr>
          <w:sz w:val="24"/>
        </w:rPr>
        <w:t>The accident at issue occurred at the intersection of 104</w:t>
      </w:r>
      <w:r>
        <w:rPr>
          <w:sz w:val="24"/>
          <w:vertAlign w:val="superscript"/>
        </w:rPr>
        <w:t>th</w:t>
      </w:r>
      <w:r>
        <w:rPr>
          <w:sz w:val="24"/>
          <w:vertAlign w:val="baseline"/>
        </w:rPr>
        <w:t> Avenue and Fox Run in Thornton, Colorado. See </w:t>
      </w:r>
      <w:r>
        <w:rPr>
          <w:b/>
          <w:sz w:val="24"/>
          <w:vertAlign w:val="baseline"/>
        </w:rPr>
        <w:t>Exhibit A</w:t>
      </w:r>
      <w:r>
        <w:rPr>
          <w:sz w:val="24"/>
          <w:vertAlign w:val="baseline"/>
        </w:rPr>
        <w:t>, Traffic Accident Report. The intersection is a four way stop controlled by traffic lights. </w:t>
      </w:r>
      <w:r>
        <w:rPr>
          <w:b/>
          <w:sz w:val="24"/>
          <w:vertAlign w:val="baseline"/>
        </w:rPr>
        <w:t>Exhibit B</w:t>
      </w:r>
      <w:r>
        <w:rPr>
          <w:sz w:val="24"/>
          <w:vertAlign w:val="baseline"/>
        </w:rPr>
        <w:t>, Deposition of Kathryn Windt,  November 23, 2016 at</w:t>
      </w:r>
      <w:r>
        <w:rPr>
          <w:spacing w:val="-1"/>
          <w:sz w:val="24"/>
          <w:vertAlign w:val="baseline"/>
        </w:rPr>
        <w:t> </w:t>
      </w:r>
      <w:r>
        <w:rPr>
          <w:sz w:val="24"/>
          <w:vertAlign w:val="baseline"/>
        </w:rPr>
        <w:t>23.20-22.</w:t>
      </w:r>
    </w:p>
    <w:p>
      <w:pPr>
        <w:pStyle w:val="ListParagraph"/>
        <w:numPr>
          <w:ilvl w:val="0"/>
          <w:numId w:val="2"/>
        </w:numPr>
        <w:tabs>
          <w:tab w:pos="900" w:val="left" w:leader="none"/>
        </w:tabs>
        <w:spacing w:line="480" w:lineRule="auto" w:before="0" w:after="0"/>
        <w:ind w:left="840" w:right="657" w:hanging="360"/>
        <w:jc w:val="both"/>
        <w:rPr>
          <w:sz w:val="24"/>
        </w:rPr>
      </w:pPr>
      <w:r>
        <w:rPr/>
        <w:tab/>
      </w:r>
      <w:r>
        <w:rPr>
          <w:sz w:val="24"/>
        </w:rPr>
        <w:t>The parties entered the intersection from opposite directions and collided. See </w:t>
      </w:r>
      <w:r>
        <w:rPr>
          <w:b/>
          <w:sz w:val="24"/>
        </w:rPr>
        <w:t>Exhibit A</w:t>
      </w:r>
      <w:r>
        <w:rPr>
          <w:sz w:val="24"/>
        </w:rPr>
        <w:t>, Traffic Accident</w:t>
      </w:r>
      <w:r>
        <w:rPr>
          <w:spacing w:val="-1"/>
          <w:sz w:val="24"/>
        </w:rPr>
        <w:t> </w:t>
      </w:r>
      <w:r>
        <w:rPr>
          <w:sz w:val="24"/>
        </w:rPr>
        <w:t>Report.</w:t>
      </w:r>
    </w:p>
    <w:p>
      <w:pPr>
        <w:pStyle w:val="ListParagraph"/>
        <w:numPr>
          <w:ilvl w:val="0"/>
          <w:numId w:val="2"/>
        </w:numPr>
        <w:tabs>
          <w:tab w:pos="900" w:val="left" w:leader="none"/>
        </w:tabs>
        <w:spacing w:line="480" w:lineRule="auto" w:before="0" w:after="0"/>
        <w:ind w:left="840" w:right="657" w:hanging="360"/>
        <w:jc w:val="both"/>
        <w:rPr>
          <w:sz w:val="24"/>
        </w:rPr>
      </w:pPr>
      <w:r>
        <w:rPr/>
        <w:tab/>
      </w:r>
      <w:r>
        <w:rPr>
          <w:sz w:val="24"/>
        </w:rPr>
        <w:t>Mrs. Becerril has consistently maintained that as she was proceeding through the intersection on a green light Plaintiff suddenly and unexpectedly pulled out directly into her path. See </w:t>
      </w:r>
      <w:r>
        <w:rPr>
          <w:b/>
          <w:sz w:val="24"/>
        </w:rPr>
        <w:t>Exhibit C</w:t>
      </w:r>
      <w:r>
        <w:rPr>
          <w:sz w:val="24"/>
        </w:rPr>
        <w:t>, Deposition of Ivonne Becerril, November 23, 2016 at p. 36.6-8; </w:t>
      </w:r>
      <w:r>
        <w:rPr>
          <w:b/>
          <w:sz w:val="24"/>
        </w:rPr>
        <w:t>Exhibit A</w:t>
      </w:r>
      <w:r>
        <w:rPr>
          <w:sz w:val="24"/>
        </w:rPr>
        <w:t>, Traffic Accident</w:t>
      </w:r>
      <w:r>
        <w:rPr>
          <w:spacing w:val="-1"/>
          <w:sz w:val="24"/>
        </w:rPr>
        <w:t> </w:t>
      </w:r>
      <w:r>
        <w:rPr>
          <w:sz w:val="24"/>
        </w:rPr>
        <w:t>Report.</w:t>
      </w:r>
    </w:p>
    <w:p>
      <w:pPr>
        <w:pStyle w:val="ListParagraph"/>
        <w:numPr>
          <w:ilvl w:val="0"/>
          <w:numId w:val="2"/>
        </w:numPr>
        <w:tabs>
          <w:tab w:pos="840" w:val="left" w:leader="none"/>
        </w:tabs>
        <w:spacing w:line="240" w:lineRule="auto" w:before="0" w:after="0"/>
        <w:ind w:left="840" w:right="0" w:hanging="360"/>
        <w:jc w:val="left"/>
        <w:rPr>
          <w:sz w:val="24"/>
        </w:rPr>
      </w:pPr>
      <w:r>
        <w:rPr>
          <w:sz w:val="24"/>
        </w:rPr>
        <w:t>Mrs.</w:t>
      </w:r>
      <w:r>
        <w:rPr>
          <w:spacing w:val="30"/>
          <w:sz w:val="24"/>
        </w:rPr>
        <w:t> </w:t>
      </w:r>
      <w:r>
        <w:rPr>
          <w:sz w:val="24"/>
        </w:rPr>
        <w:t>Windt</w:t>
      </w:r>
      <w:r>
        <w:rPr>
          <w:spacing w:val="31"/>
          <w:sz w:val="24"/>
        </w:rPr>
        <w:t> </w:t>
      </w:r>
      <w:r>
        <w:rPr>
          <w:sz w:val="24"/>
        </w:rPr>
        <w:t>has</w:t>
      </w:r>
      <w:r>
        <w:rPr>
          <w:spacing w:val="31"/>
          <w:sz w:val="24"/>
        </w:rPr>
        <w:t> </w:t>
      </w:r>
      <w:r>
        <w:rPr>
          <w:sz w:val="24"/>
        </w:rPr>
        <w:t>claims</w:t>
      </w:r>
      <w:r>
        <w:rPr>
          <w:spacing w:val="31"/>
          <w:sz w:val="24"/>
        </w:rPr>
        <w:t> </w:t>
      </w:r>
      <w:r>
        <w:rPr>
          <w:sz w:val="24"/>
        </w:rPr>
        <w:t>that</w:t>
      </w:r>
      <w:r>
        <w:rPr>
          <w:spacing w:val="31"/>
          <w:sz w:val="24"/>
        </w:rPr>
        <w:t> </w:t>
      </w:r>
      <w:r>
        <w:rPr>
          <w:i/>
          <w:sz w:val="24"/>
        </w:rPr>
        <w:t>she</w:t>
      </w:r>
      <w:r>
        <w:rPr>
          <w:i/>
          <w:spacing w:val="30"/>
          <w:sz w:val="24"/>
        </w:rPr>
        <w:t> </w:t>
      </w:r>
      <w:r>
        <w:rPr>
          <w:sz w:val="24"/>
        </w:rPr>
        <w:t>entered</w:t>
      </w:r>
      <w:r>
        <w:rPr>
          <w:spacing w:val="31"/>
          <w:sz w:val="24"/>
        </w:rPr>
        <w:t> </w:t>
      </w:r>
      <w:r>
        <w:rPr>
          <w:sz w:val="24"/>
        </w:rPr>
        <w:t>the</w:t>
      </w:r>
      <w:r>
        <w:rPr>
          <w:spacing w:val="30"/>
          <w:sz w:val="24"/>
        </w:rPr>
        <w:t> </w:t>
      </w:r>
      <w:r>
        <w:rPr>
          <w:sz w:val="24"/>
        </w:rPr>
        <w:t>intersection</w:t>
      </w:r>
      <w:r>
        <w:rPr>
          <w:spacing w:val="31"/>
          <w:sz w:val="24"/>
        </w:rPr>
        <w:t> </w:t>
      </w:r>
      <w:r>
        <w:rPr>
          <w:sz w:val="24"/>
        </w:rPr>
        <w:t>on</w:t>
      </w:r>
      <w:r>
        <w:rPr>
          <w:spacing w:val="29"/>
          <w:sz w:val="24"/>
        </w:rPr>
        <w:t> </w:t>
      </w:r>
      <w:r>
        <w:rPr>
          <w:sz w:val="24"/>
        </w:rPr>
        <w:t>a</w:t>
      </w:r>
      <w:r>
        <w:rPr>
          <w:spacing w:val="30"/>
          <w:sz w:val="24"/>
        </w:rPr>
        <w:t> </w:t>
      </w:r>
      <w:r>
        <w:rPr>
          <w:sz w:val="24"/>
        </w:rPr>
        <w:t>green</w:t>
      </w:r>
      <w:r>
        <w:rPr>
          <w:spacing w:val="31"/>
          <w:sz w:val="24"/>
        </w:rPr>
        <w:t> </w:t>
      </w:r>
      <w:r>
        <w:rPr>
          <w:sz w:val="24"/>
        </w:rPr>
        <w:t>light</w:t>
      </w:r>
      <w:r>
        <w:rPr>
          <w:spacing w:val="30"/>
          <w:sz w:val="24"/>
        </w:rPr>
        <w:t> </w:t>
      </w:r>
      <w:r>
        <w:rPr>
          <w:sz w:val="24"/>
        </w:rPr>
        <w:t>and</w:t>
      </w:r>
      <w:r>
        <w:rPr>
          <w:spacing w:val="31"/>
          <w:sz w:val="24"/>
        </w:rPr>
        <w:t> </w:t>
      </w:r>
      <w:r>
        <w:rPr>
          <w:sz w:val="24"/>
        </w:rPr>
        <w:t>that</w:t>
      </w:r>
      <w:r>
        <w:rPr>
          <w:spacing w:val="29"/>
          <w:sz w:val="24"/>
        </w:rPr>
        <w:t> </w:t>
      </w:r>
      <w:r>
        <w:rPr>
          <w:sz w:val="24"/>
        </w:rPr>
        <w:t>Mrs.</w:t>
      </w:r>
    </w:p>
    <w:p>
      <w:pPr>
        <w:pStyle w:val="BodyText"/>
      </w:pPr>
    </w:p>
    <w:p>
      <w:pPr>
        <w:pStyle w:val="BodyText"/>
        <w:spacing w:line="480" w:lineRule="auto"/>
        <w:ind w:left="840" w:right="88"/>
      </w:pPr>
      <w:r>
        <w:rPr/>
        <w:t>Becerril ran a red light. See </w:t>
      </w:r>
      <w:r>
        <w:rPr>
          <w:b/>
        </w:rPr>
        <w:t>Exhibit A</w:t>
      </w:r>
      <w:r>
        <w:rPr/>
        <w:t>, Accident Report; Complaint of American Family Mutual Insurance as Subrogee of Windt, ¶ 9-10.</w:t>
      </w:r>
    </w:p>
    <w:p>
      <w:pPr>
        <w:spacing w:after="0" w:line="480" w:lineRule="auto"/>
        <w:sectPr>
          <w:pgSz w:w="12240" w:h="15840"/>
          <w:pgMar w:top="1360" w:bottom="280" w:left="1320" w:right="780"/>
        </w:sectPr>
      </w:pPr>
    </w:p>
    <w:p>
      <w:pPr>
        <w:pStyle w:val="ListParagraph"/>
        <w:numPr>
          <w:ilvl w:val="0"/>
          <w:numId w:val="2"/>
        </w:numPr>
        <w:tabs>
          <w:tab w:pos="840" w:val="left" w:leader="none"/>
        </w:tabs>
        <w:spacing w:line="480" w:lineRule="auto" w:before="76" w:after="0"/>
        <w:ind w:left="840" w:right="656" w:hanging="360"/>
        <w:jc w:val="both"/>
        <w:rPr>
          <w:sz w:val="24"/>
        </w:rPr>
      </w:pPr>
      <w:r>
        <w:rPr>
          <w:sz w:val="24"/>
        </w:rPr>
        <w:t>Windt was driving a 2014 Hyundai Santa Fe at the time of the accident. </w:t>
      </w:r>
      <w:r>
        <w:rPr>
          <w:b/>
          <w:sz w:val="24"/>
        </w:rPr>
        <w:t>Exhibit A</w:t>
      </w:r>
      <w:r>
        <w:rPr>
          <w:sz w:val="24"/>
        </w:rPr>
        <w:t>, Accident</w:t>
      </w:r>
      <w:r>
        <w:rPr>
          <w:spacing w:val="-1"/>
          <w:sz w:val="24"/>
        </w:rPr>
        <w:t> </w:t>
      </w:r>
      <w:r>
        <w:rPr>
          <w:sz w:val="24"/>
        </w:rPr>
        <w:t>Report.</w:t>
      </w:r>
    </w:p>
    <w:p>
      <w:pPr>
        <w:pStyle w:val="ListParagraph"/>
        <w:numPr>
          <w:ilvl w:val="0"/>
          <w:numId w:val="2"/>
        </w:numPr>
        <w:tabs>
          <w:tab w:pos="840" w:val="left" w:leader="none"/>
        </w:tabs>
        <w:spacing w:line="480" w:lineRule="auto" w:before="1" w:after="0"/>
        <w:ind w:left="840" w:right="657" w:hanging="360"/>
        <w:jc w:val="both"/>
        <w:rPr>
          <w:sz w:val="24"/>
        </w:rPr>
      </w:pPr>
      <w:r>
        <w:rPr>
          <w:sz w:val="24"/>
        </w:rPr>
        <w:t>On information and belief, an event data recorder was present in Mrs. Windt’s vehicle at the time of the accident. See Rimkus Consulting Group, </w:t>
      </w:r>
      <w:r>
        <w:rPr>
          <w:i/>
          <w:sz w:val="24"/>
        </w:rPr>
        <w:t>Event Data Recorder Supported </w:t>
      </w:r>
      <w:r>
        <w:rPr>
          <w:i/>
          <w:sz w:val="24"/>
        </w:rPr>
        <w:t>Vehicles</w:t>
      </w:r>
      <w:r>
        <w:rPr>
          <w:sz w:val="24"/>
        </w:rPr>
        <w:t>,       p.       3,       attached        hereto        as        </w:t>
      </w:r>
      <w:r>
        <w:rPr>
          <w:b/>
          <w:sz w:val="24"/>
        </w:rPr>
        <w:t>Exhibit        D</w:t>
      </w:r>
      <w:r>
        <w:rPr>
          <w:sz w:val="24"/>
        </w:rPr>
        <w:t>,        available  at</w:t>
      </w:r>
      <w:r>
        <w:rPr>
          <w:color w:val="0000FF"/>
          <w:spacing w:val="-2"/>
          <w:sz w:val="24"/>
        </w:rPr>
        <w:t> </w:t>
      </w:r>
      <w:hyperlink r:id="rId6">
        <w:r>
          <w:rPr>
            <w:color w:val="0000FF"/>
            <w:sz w:val="24"/>
            <w:u w:val="single" w:color="0000FF"/>
          </w:rPr>
          <w:t>https://www.rimkus.com/uploads/pdfs/Event_Data_Recorder.pdf</w:t>
        </w:r>
        <w:r>
          <w:rPr>
            <w:sz w:val="24"/>
          </w:rPr>
          <w:t>.</w:t>
        </w:r>
      </w:hyperlink>
    </w:p>
    <w:p>
      <w:pPr>
        <w:pStyle w:val="ListParagraph"/>
        <w:numPr>
          <w:ilvl w:val="0"/>
          <w:numId w:val="2"/>
        </w:numPr>
        <w:tabs>
          <w:tab w:pos="840" w:val="left" w:leader="none"/>
        </w:tabs>
        <w:spacing w:line="480" w:lineRule="auto" w:before="0" w:after="0"/>
        <w:ind w:left="840" w:right="658" w:hanging="360"/>
        <w:jc w:val="both"/>
        <w:rPr>
          <w:sz w:val="24"/>
        </w:rPr>
      </w:pPr>
      <w:r>
        <w:rPr>
          <w:sz w:val="24"/>
        </w:rPr>
        <w:t>The event data recorder would have shown data such as Mrs. Windt’s speed, acceleration, and brake activity immediately prior to the accident at issue. See 49 C.F.R. Ch. V</w:t>
      </w:r>
      <w:r>
        <w:rPr>
          <w:spacing w:val="7"/>
          <w:sz w:val="24"/>
        </w:rPr>
        <w:t> </w:t>
      </w:r>
      <w:r>
        <w:rPr>
          <w:sz w:val="24"/>
        </w:rPr>
        <w:t>§</w:t>
      </w:r>
    </w:p>
    <w:p>
      <w:pPr>
        <w:pStyle w:val="BodyText"/>
        <w:ind w:left="840"/>
      </w:pPr>
      <w:r>
        <w:rPr/>
        <w:t>563.7 (October 1, 2011), attached hereto as </w:t>
      </w:r>
      <w:r>
        <w:rPr>
          <w:b/>
        </w:rPr>
        <w:t>Exhibit E</w:t>
      </w:r>
      <w:r>
        <w:rPr/>
        <w:t>.</w:t>
      </w:r>
    </w:p>
    <w:p>
      <w:pPr>
        <w:pStyle w:val="BodyText"/>
      </w:pPr>
    </w:p>
    <w:p>
      <w:pPr>
        <w:pStyle w:val="ListParagraph"/>
        <w:numPr>
          <w:ilvl w:val="0"/>
          <w:numId w:val="2"/>
        </w:numPr>
        <w:tabs>
          <w:tab w:pos="900" w:val="left" w:leader="none"/>
        </w:tabs>
        <w:spacing w:line="480" w:lineRule="auto" w:before="0" w:after="0"/>
        <w:ind w:left="840" w:right="658" w:hanging="360"/>
        <w:jc w:val="both"/>
        <w:rPr>
          <w:sz w:val="24"/>
        </w:rPr>
      </w:pPr>
      <w:r>
        <w:rPr/>
        <w:tab/>
      </w:r>
      <w:r>
        <w:rPr>
          <w:sz w:val="24"/>
        </w:rPr>
        <w:t>Mrs. Windt’s vehicle was sent out for parts salvage, and the salvage was complete no later than January 7, 2015. See Claim Activity Log, attached hereto as </w:t>
      </w:r>
      <w:r>
        <w:rPr>
          <w:b/>
          <w:sz w:val="24"/>
        </w:rPr>
        <w:t>Exhibit</w:t>
      </w:r>
      <w:r>
        <w:rPr>
          <w:b/>
          <w:spacing w:val="-17"/>
          <w:sz w:val="24"/>
        </w:rPr>
        <w:t> </w:t>
      </w:r>
      <w:r>
        <w:rPr>
          <w:b/>
          <w:sz w:val="24"/>
        </w:rPr>
        <w:t>F</w:t>
      </w:r>
      <w:r>
        <w:rPr>
          <w:sz w:val="24"/>
        </w:rPr>
        <w:t>.</w:t>
      </w:r>
    </w:p>
    <w:p>
      <w:pPr>
        <w:pStyle w:val="ListParagraph"/>
        <w:numPr>
          <w:ilvl w:val="0"/>
          <w:numId w:val="2"/>
        </w:numPr>
        <w:tabs>
          <w:tab w:pos="840" w:val="left" w:leader="none"/>
        </w:tabs>
        <w:spacing w:line="480" w:lineRule="auto" w:before="0" w:after="0"/>
        <w:ind w:left="840" w:right="658" w:hanging="360"/>
        <w:jc w:val="both"/>
        <w:rPr>
          <w:sz w:val="24"/>
        </w:rPr>
      </w:pPr>
      <w:r>
        <w:rPr>
          <w:sz w:val="24"/>
        </w:rPr>
        <w:t>There is no indication that the data from the event data recorder was downloaded and saved before the vehicle was sent to</w:t>
      </w:r>
      <w:r>
        <w:rPr>
          <w:spacing w:val="-3"/>
          <w:sz w:val="24"/>
        </w:rPr>
        <w:t> </w:t>
      </w:r>
      <w:r>
        <w:rPr>
          <w:sz w:val="24"/>
        </w:rPr>
        <w:t>salvage.</w:t>
      </w:r>
    </w:p>
    <w:p>
      <w:pPr>
        <w:pStyle w:val="ListParagraph"/>
        <w:numPr>
          <w:ilvl w:val="0"/>
          <w:numId w:val="2"/>
        </w:numPr>
        <w:tabs>
          <w:tab w:pos="840" w:val="left" w:leader="none"/>
        </w:tabs>
        <w:spacing w:line="480" w:lineRule="auto" w:before="0" w:after="0"/>
        <w:ind w:left="840" w:right="658" w:hanging="360"/>
        <w:jc w:val="both"/>
        <w:rPr>
          <w:sz w:val="24"/>
        </w:rPr>
      </w:pPr>
      <w:r>
        <w:rPr>
          <w:sz w:val="24"/>
        </w:rPr>
        <w:t>Before the vehicle was sent to salvage, liability for the accident was obviously contested, and the likelihood of litigation was apparent. See </w:t>
      </w:r>
      <w:r>
        <w:rPr>
          <w:b/>
          <w:sz w:val="24"/>
        </w:rPr>
        <w:t>Exhibit F</w:t>
      </w:r>
      <w:r>
        <w:rPr>
          <w:sz w:val="24"/>
        </w:rPr>
        <w:t>, Activity</w:t>
      </w:r>
      <w:r>
        <w:rPr>
          <w:spacing w:val="-9"/>
          <w:sz w:val="24"/>
        </w:rPr>
        <w:t> </w:t>
      </w:r>
      <w:r>
        <w:rPr>
          <w:sz w:val="24"/>
        </w:rPr>
        <w:t>Log.</w:t>
      </w:r>
    </w:p>
    <w:p>
      <w:pPr>
        <w:pStyle w:val="ListParagraph"/>
        <w:numPr>
          <w:ilvl w:val="0"/>
          <w:numId w:val="2"/>
        </w:numPr>
        <w:tabs>
          <w:tab w:pos="840" w:val="left" w:leader="none"/>
        </w:tabs>
        <w:spacing w:line="480" w:lineRule="auto" w:before="0" w:after="0"/>
        <w:ind w:left="840" w:right="657" w:hanging="360"/>
        <w:jc w:val="both"/>
        <w:rPr>
          <w:sz w:val="24"/>
        </w:rPr>
      </w:pPr>
      <w:r>
        <w:rPr>
          <w:sz w:val="24"/>
        </w:rPr>
        <w:t>Mrs. Windt has produced no data from the event data recorder, either in her disclosures or in response to counsel’s request for information as to the availability of the event data recorder</w:t>
      </w:r>
      <w:r>
        <w:rPr>
          <w:spacing w:val="-1"/>
          <w:sz w:val="24"/>
        </w:rPr>
        <w:t> </w:t>
      </w:r>
      <w:r>
        <w:rPr>
          <w:sz w:val="24"/>
        </w:rPr>
        <w:t>data.</w:t>
      </w:r>
    </w:p>
    <w:p>
      <w:pPr>
        <w:pStyle w:val="Heading1"/>
        <w:spacing w:before="1"/>
        <w:ind w:left="4085" w:right="0"/>
        <w:jc w:val="left"/>
      </w:pPr>
      <w:r>
        <w:rPr/>
        <w:t>ARGUMENT</w:t>
      </w:r>
    </w:p>
    <w:p>
      <w:pPr>
        <w:pStyle w:val="BodyText"/>
        <w:spacing w:before="9"/>
        <w:rPr>
          <w:b/>
          <w:sz w:val="23"/>
        </w:rPr>
      </w:pPr>
    </w:p>
    <w:p>
      <w:pPr>
        <w:pStyle w:val="BodyText"/>
        <w:spacing w:line="480" w:lineRule="auto" w:before="1"/>
        <w:ind w:left="120" w:right="656" w:firstLine="720"/>
        <w:jc w:val="both"/>
      </w:pPr>
      <w:r>
        <w:rPr/>
        <w:t>This Court should give an adverse inference instruction where Windt failed to preserve data from the event data recorder which would have revealed valuable information regarding the hotly contested circumstances of the accident, despite the clear dispute as to fault and likelihood</w:t>
      </w:r>
    </w:p>
    <w:p>
      <w:pPr>
        <w:spacing w:after="0" w:line="480" w:lineRule="auto"/>
        <w:jc w:val="both"/>
        <w:sectPr>
          <w:pgSz w:w="12240" w:h="15840"/>
          <w:pgMar w:top="1360" w:bottom="280" w:left="1320" w:right="780"/>
        </w:sectPr>
      </w:pPr>
    </w:p>
    <w:p>
      <w:pPr>
        <w:pStyle w:val="BodyText"/>
        <w:spacing w:line="480" w:lineRule="auto" w:before="76"/>
        <w:ind w:left="120" w:right="657"/>
        <w:jc w:val="both"/>
      </w:pPr>
      <w:r>
        <w:rPr/>
        <w:t>of litigation. Sanctions are necessary to remedy the harm to Mrs. Becerril from the lack of evidence she could have gained from the event data recorder.</w:t>
      </w:r>
    </w:p>
    <w:p>
      <w:pPr>
        <w:pStyle w:val="BodyText"/>
        <w:spacing w:line="480" w:lineRule="auto" w:before="1"/>
        <w:ind w:left="120" w:right="657" w:firstLine="720"/>
        <w:jc w:val="both"/>
      </w:pPr>
      <w:r>
        <w:rPr/>
        <w:t>This Court enjoys broad discretion to impose sanctions for the spoliation of evidence, even if the evidence was not subject to a discovery order permitting sanctions pursuant to</w:t>
      </w:r>
    </w:p>
    <w:p>
      <w:pPr>
        <w:pStyle w:val="BodyText"/>
        <w:spacing w:line="480" w:lineRule="auto"/>
        <w:ind w:left="120" w:right="656"/>
        <w:jc w:val="both"/>
      </w:pPr>
      <w:r>
        <w:rPr/>
        <w:t>C.R.C.P. 37. </w:t>
      </w:r>
      <w:r>
        <w:rPr>
          <w:i/>
        </w:rPr>
        <w:t>Pfantz v. Kmart Corp</w:t>
      </w:r>
      <w:r>
        <w:rPr/>
        <w:t>., 85 P.3d 564 (Colo. App. 2003). An adverse inference instruction is one such sanction and is well within the Court’s inherent power. </w:t>
      </w:r>
      <w:r>
        <w:rPr>
          <w:i/>
        </w:rPr>
        <w:t>Aloi v. Union </w:t>
      </w:r>
      <w:r>
        <w:rPr>
          <w:i/>
        </w:rPr>
        <w:t>Pacific R.R. Corp</w:t>
      </w:r>
      <w:r>
        <w:rPr/>
        <w:t>., 129 P.3d 999, 1002 (Colo. 2006). The Court’s decision to impose sanctions will not be disturbed unless it is deemed manifestly arbitrary, unreasonable, or unfair. </w:t>
      </w:r>
      <w:r>
        <w:rPr>
          <w:i/>
        </w:rPr>
        <w:t>Castillo v. </w:t>
      </w:r>
      <w:r>
        <w:rPr>
          <w:i/>
        </w:rPr>
        <w:t>Chief Alt., LLC</w:t>
      </w:r>
      <w:r>
        <w:rPr/>
        <w:t>, 140 P.3d 234, 236 (Colo. App. 2006). In the exercise of their inherent power, trial courts may impose sanctions both to punish the party who has spoiled evidence and to remedy the harm the injured party suffers due to the lack of the evidence. </w:t>
      </w:r>
      <w:r>
        <w:rPr>
          <w:i/>
        </w:rPr>
        <w:t>Pfantz</w:t>
      </w:r>
      <w:r>
        <w:rPr/>
        <w:t>, 85 P.3d at 567 (citations omitted).</w:t>
      </w:r>
    </w:p>
    <w:p>
      <w:pPr>
        <w:pStyle w:val="BodyText"/>
        <w:spacing w:line="480" w:lineRule="auto"/>
        <w:ind w:left="119" w:right="657" w:firstLine="720"/>
        <w:jc w:val="both"/>
      </w:pPr>
      <w:r>
        <w:rPr/>
        <w:t>Sanctions may be imposed where evidence was destroyed before a complaint was filed. </w:t>
      </w:r>
      <w:r>
        <w:rPr>
          <w:i/>
        </w:rPr>
        <w:t>Castillo</w:t>
      </w:r>
      <w:r>
        <w:rPr/>
        <w:t>, 140 P.3d at 236-237. Courts typically impose sanctions for the pre-complaint destruction of evidence where the spoliator is the Plaintiff. </w:t>
      </w:r>
      <w:r>
        <w:rPr>
          <w:i/>
        </w:rPr>
        <w:t>Id</w:t>
      </w:r>
      <w:r>
        <w:rPr/>
        <w:t>. at 237. A party  may  be sanctioned for destroying evidence after it knew or should have known that the evidence was relevant to reasonably foreseeable litigation. </w:t>
      </w:r>
      <w:r>
        <w:rPr>
          <w:i/>
        </w:rPr>
        <w:t>Id</w:t>
      </w:r>
      <w:r>
        <w:rPr/>
        <w:t>. at 236. In this case, Mrs. Windt, the personal injury claimant, is the spoliator, making sanctions for the pre-complaint destruction of the event data recorder especially appropriate. Moreover, litigation was reasonably foreseeable at the time the recorder was destroyed; liability for the subject accident was clearly in dispute, both parties to the accident had incurred significant damages, and Mrs. Windt’s insurance carrier was pursuing a subrogation claim for damage her vehicle incurred in the accident. See </w:t>
      </w:r>
      <w:r>
        <w:rPr>
          <w:b/>
        </w:rPr>
        <w:t>Exhibit A</w:t>
      </w:r>
      <w:r>
        <w:rPr/>
        <w:t>, Accident Report; </w:t>
      </w:r>
      <w:r>
        <w:rPr>
          <w:b/>
        </w:rPr>
        <w:t>Exhibit F</w:t>
      </w:r>
      <w:r>
        <w:rPr/>
        <w:t>, Activity</w:t>
      </w:r>
      <w:r>
        <w:rPr>
          <w:spacing w:val="-3"/>
        </w:rPr>
        <w:t> </w:t>
      </w:r>
      <w:r>
        <w:rPr/>
        <w:t>Log.</w:t>
      </w:r>
    </w:p>
    <w:p>
      <w:pPr>
        <w:spacing w:after="0" w:line="480" w:lineRule="auto"/>
        <w:jc w:val="both"/>
        <w:sectPr>
          <w:pgSz w:w="12240" w:h="15840"/>
          <w:pgMar w:top="1360" w:bottom="280" w:left="1320" w:right="780"/>
        </w:sectPr>
      </w:pPr>
    </w:p>
    <w:p>
      <w:pPr>
        <w:pStyle w:val="BodyText"/>
        <w:spacing w:line="480" w:lineRule="auto" w:before="76"/>
        <w:ind w:left="120" w:right="656" w:firstLine="720"/>
        <w:jc w:val="both"/>
      </w:pPr>
      <w:r>
        <w:rPr/>
        <w:t>To support a request for sanctions, a party need only show that the lost evidence would have been relevant to a contested issue at trial. </w:t>
      </w:r>
      <w:r>
        <w:rPr>
          <w:i/>
        </w:rPr>
        <w:t>Aloi, </w:t>
      </w:r>
      <w:r>
        <w:rPr/>
        <w:t>129 P.3d at 1004. The lost evidence need  not be the </w:t>
      </w:r>
      <w:r>
        <w:rPr>
          <w:i/>
        </w:rPr>
        <w:t>only </w:t>
      </w:r>
      <w:r>
        <w:rPr/>
        <w:t>evidence as to a particular issue; it must only have held the </w:t>
      </w:r>
      <w:r>
        <w:rPr>
          <w:i/>
        </w:rPr>
        <w:t>possibility </w:t>
      </w:r>
      <w:r>
        <w:rPr/>
        <w:t>of aiding the jury’s determination as to an issue. </w:t>
      </w:r>
      <w:r>
        <w:rPr>
          <w:i/>
        </w:rPr>
        <w:t>See id</w:t>
      </w:r>
      <w:r>
        <w:rPr/>
        <w:t>; </w:t>
      </w:r>
      <w:r>
        <w:rPr>
          <w:i/>
        </w:rPr>
        <w:t>Pfantz</w:t>
      </w:r>
      <w:r>
        <w:rPr/>
        <w:t>, 85 P.3d at 569-571. In </w:t>
      </w:r>
      <w:r>
        <w:rPr>
          <w:i/>
        </w:rPr>
        <w:t>Aloi v. Union </w:t>
      </w:r>
      <w:r>
        <w:rPr>
          <w:i/>
        </w:rPr>
        <w:t>Pacific R.R. Corporation</w:t>
      </w:r>
      <w:r>
        <w:rPr/>
        <w:t>, the jury was properly instructed that it could draw an adverse  inference that destroyed evidence was unfavorable to the spoliator where destroyed records </w:t>
      </w:r>
      <w:r>
        <w:rPr>
          <w:i/>
        </w:rPr>
        <w:t>may </w:t>
      </w:r>
      <w:r>
        <w:rPr>
          <w:i/>
        </w:rPr>
        <w:t>have provided more information </w:t>
      </w:r>
      <w:r>
        <w:rPr/>
        <w:t>regarding the nature of the locomotive defect which allegedly caused the plaintiff’s injuries. 129 P.3d at 1004. Likewise, in </w:t>
      </w:r>
      <w:r>
        <w:rPr>
          <w:i/>
        </w:rPr>
        <w:t>Pfantz v. Kmart Corporation</w:t>
      </w:r>
      <w:r>
        <w:rPr/>
        <w:t>, where a party’s argument could not be supported with expert testimony due to the lack of a destroyed bench, sanctions were appropriate. 85 P.3d at 569. Sanctions were also appropriate as the jury was effectively prevented from examining the defective bench, because the</w:t>
      </w:r>
      <w:r>
        <w:rPr>
          <w:spacing w:val="33"/>
        </w:rPr>
        <w:t> </w:t>
      </w:r>
      <w:r>
        <w:rPr/>
        <w:t>jury’s observations </w:t>
      </w:r>
      <w:r>
        <w:rPr>
          <w:i/>
        </w:rPr>
        <w:t>might </w:t>
      </w:r>
      <w:r>
        <w:rPr/>
        <w:t>have assisted it in determining that the bench was a hazard.</w:t>
      </w:r>
      <w:r>
        <w:rPr>
          <w:spacing w:val="49"/>
        </w:rPr>
        <w:t> </w:t>
      </w:r>
      <w:r>
        <w:rPr>
          <w:i/>
        </w:rPr>
        <w:t>Id</w:t>
      </w:r>
      <w:r>
        <w:rPr/>
        <w:t>.</w:t>
      </w:r>
    </w:p>
    <w:p>
      <w:pPr>
        <w:pStyle w:val="BodyText"/>
        <w:spacing w:line="480" w:lineRule="auto" w:before="1"/>
        <w:ind w:left="119" w:right="656" w:firstLine="720"/>
        <w:jc w:val="both"/>
      </w:pPr>
      <w:r>
        <w:rPr/>
        <w:t>Here, the event data recorder obviously would have yielded relevant information as to the circumstances of the accident. Mrs. Windt has testified that she was traveling at only five to ten miles per hour prior to impact and that she was accelerating after slowing down to go over a dip in the concrete before she entered the intersection on a green light. </w:t>
      </w:r>
      <w:r>
        <w:rPr>
          <w:b/>
        </w:rPr>
        <w:t>Exhibit B</w:t>
      </w:r>
      <w:r>
        <w:rPr/>
        <w:t>, Deposition of Kathryn Windt at 80.13-83.20. The data recorder could have helped determine the veracity of  her claims. It could have shown how fast Mrs. Windt’s vehicle was in fact traveling prior to impact, whether and when she accelerated, and whether and when she braked prior to impact. See </w:t>
      </w:r>
      <w:r>
        <w:rPr>
          <w:b/>
        </w:rPr>
        <w:t>Exhibit E. </w:t>
      </w:r>
      <w:r>
        <w:rPr/>
        <w:t>It would have provided the jury additional information as to Mrs. Windt’s  actions and the forces at play in the collision, information which would have been useful to any accident reconstruction expert analyzing the</w:t>
      </w:r>
      <w:r>
        <w:rPr>
          <w:spacing w:val="-5"/>
        </w:rPr>
        <w:t> </w:t>
      </w:r>
      <w:r>
        <w:rPr/>
        <w:t>case.</w:t>
      </w:r>
    </w:p>
    <w:p>
      <w:pPr>
        <w:spacing w:after="0" w:line="480" w:lineRule="auto"/>
        <w:jc w:val="both"/>
        <w:sectPr>
          <w:pgSz w:w="12240" w:h="15840"/>
          <w:pgMar w:top="1360" w:bottom="280" w:left="1320" w:right="780"/>
        </w:sectPr>
      </w:pPr>
    </w:p>
    <w:p>
      <w:pPr>
        <w:pStyle w:val="BodyText"/>
        <w:spacing w:line="480" w:lineRule="auto" w:before="76"/>
        <w:ind w:left="120" w:right="656" w:firstLine="720"/>
        <w:jc w:val="both"/>
      </w:pPr>
      <w:r>
        <w:rPr/>
        <w:t>In order to impose sanctions, the court need not find that evidence was destroyed in bad faith or even intentionally; rather, it may impose sanctions if it finds that evidence was destroyed due to recklessness or gross negligence. </w:t>
      </w:r>
      <w:r>
        <w:rPr>
          <w:i/>
        </w:rPr>
        <w:t>Pfantz</w:t>
      </w:r>
      <w:r>
        <w:rPr/>
        <w:t>, 85 P.3d at 568. A party’s failure to act, as well  as its affirmative actions, can justify the imposition of sanctions. </w:t>
      </w:r>
      <w:r>
        <w:rPr>
          <w:i/>
        </w:rPr>
        <w:t>Id</w:t>
      </w:r>
      <w:r>
        <w:rPr/>
        <w:t>. at 568-569. Where a party shows a surprising lack of care in preserving potentially adverse evidence that was in its sole possession and control, sanctions may be imposed. </w:t>
      </w:r>
      <w:r>
        <w:rPr>
          <w:i/>
        </w:rPr>
        <w:t>Id</w:t>
      </w:r>
      <w:r>
        <w:rPr/>
        <w:t>. at 569. In </w:t>
      </w:r>
      <w:r>
        <w:rPr>
          <w:i/>
        </w:rPr>
        <w:t>Pfantz</w:t>
      </w:r>
      <w:r>
        <w:rPr/>
        <w:t>, the bench which allegedly caused the plaintiff’s injury was destroyed by a store director who was unaware of the need to preserve it. </w:t>
      </w:r>
      <w:r>
        <w:rPr>
          <w:i/>
        </w:rPr>
        <w:t>Id</w:t>
      </w:r>
      <w:r>
        <w:rPr/>
        <w:t>. Where there was no indication that K-Mart made any efforts to mark the bench as needing preservation or stored the bench in a protected area, and where the store manager was not informed of the need to preserve the bench, the court properly found that K- Mart had acted recklessly.</w:t>
      </w:r>
      <w:r>
        <w:rPr>
          <w:spacing w:val="57"/>
        </w:rPr>
        <w:t> </w:t>
      </w:r>
      <w:r>
        <w:rPr>
          <w:i/>
        </w:rPr>
        <w:t>Id</w:t>
      </w:r>
      <w:r>
        <w:rPr/>
        <w:t>.</w:t>
      </w:r>
    </w:p>
    <w:p>
      <w:pPr>
        <w:pStyle w:val="BodyText"/>
        <w:spacing w:line="480" w:lineRule="auto" w:before="1"/>
        <w:ind w:left="119" w:right="657" w:firstLine="720"/>
        <w:jc w:val="both"/>
      </w:pPr>
      <w:r>
        <w:rPr/>
        <w:t>There was a surprising lack of care constituting gross negligence in the failure to preserve the event data recorder for Mrs. Windt’s vehicle. There is no indication that </w:t>
      </w:r>
      <w:r>
        <w:rPr>
          <w:i/>
        </w:rPr>
        <w:t>any effort </w:t>
      </w:r>
      <w:r>
        <w:rPr/>
        <w:t>was made to preserve the recorder or to download the data from it before it was destroyed. Rather, it appears that despite the parties’ dispute as to liability based on their sharply contrasting statements as to how the accident happened and the fact that damage claims were being actively pursued, </w:t>
      </w:r>
      <w:r>
        <w:rPr>
          <w:i/>
        </w:rPr>
        <w:t>no steps </w:t>
      </w:r>
      <w:r>
        <w:rPr/>
        <w:t>were taken to preserve the event data recorder which contained valuable information about the moments before the accident occurred. In these circumstances,  Defendants should be afforded an adverse inference instruction against Mrs.</w:t>
      </w:r>
      <w:r>
        <w:rPr>
          <w:spacing w:val="-7"/>
        </w:rPr>
        <w:t> </w:t>
      </w:r>
      <w:r>
        <w:rPr/>
        <w:t>Windt.</w:t>
      </w:r>
    </w:p>
    <w:p>
      <w:pPr>
        <w:pStyle w:val="BodyText"/>
        <w:spacing w:line="480" w:lineRule="auto"/>
        <w:ind w:left="120" w:right="657" w:firstLine="720"/>
        <w:jc w:val="both"/>
      </w:pPr>
      <w:r>
        <w:rPr/>
        <w:t>WHEREFORE, Defendants seek an Order permitting an adverse inference instruction against Mrs. Windt.</w:t>
      </w:r>
    </w:p>
    <w:p>
      <w:pPr>
        <w:pStyle w:val="BodyText"/>
        <w:rPr>
          <w:sz w:val="26"/>
        </w:rPr>
      </w:pPr>
    </w:p>
    <w:p>
      <w:pPr>
        <w:pStyle w:val="BodyText"/>
        <w:spacing w:before="11"/>
        <w:rPr>
          <w:sz w:val="21"/>
        </w:rPr>
      </w:pPr>
    </w:p>
    <w:p>
      <w:pPr>
        <w:pStyle w:val="BodyText"/>
        <w:ind w:left="120"/>
      </w:pPr>
      <w:r>
        <w:rPr>
          <w:b/>
        </w:rPr>
        <w:t>DATED </w:t>
      </w:r>
      <w:r>
        <w:rPr/>
        <w:t>this 25</w:t>
      </w:r>
      <w:r>
        <w:rPr>
          <w:vertAlign w:val="superscript"/>
        </w:rPr>
        <w:t>rd</w:t>
      </w:r>
      <w:r>
        <w:rPr>
          <w:vertAlign w:val="baseline"/>
        </w:rPr>
        <w:t> day of January, 2017.</w:t>
      </w:r>
    </w:p>
    <w:p>
      <w:pPr>
        <w:spacing w:after="0"/>
        <w:sectPr>
          <w:pgSz w:w="12240" w:h="15840"/>
          <w:pgMar w:top="1360" w:bottom="280" w:left="1320" w:right="780"/>
        </w:sectPr>
      </w:pPr>
    </w:p>
    <w:p>
      <w:pPr>
        <w:pStyle w:val="BodyText"/>
        <w:spacing w:before="7"/>
        <w:rPr>
          <w:sz w:val="10"/>
        </w:rPr>
      </w:pPr>
    </w:p>
    <w:p>
      <w:pPr>
        <w:pStyle w:val="BodyText"/>
        <w:spacing w:before="90"/>
        <w:ind w:left="4566" w:right="2701"/>
      </w:pPr>
      <w:r>
        <w:rPr/>
        <w:t>Respectfully submitted, RUEBEL &amp; QUILLEN, LLC</w:t>
      </w:r>
    </w:p>
    <w:p>
      <w:pPr>
        <w:pStyle w:val="BodyText"/>
        <w:rPr>
          <w:sz w:val="20"/>
        </w:rPr>
      </w:pPr>
    </w:p>
    <w:p>
      <w:pPr>
        <w:pStyle w:val="BodyText"/>
        <w:spacing w:before="6"/>
        <w:rPr>
          <w:sz w:val="14"/>
        </w:rPr>
      </w:pPr>
      <w:r>
        <w:rPr/>
        <w:drawing>
          <wp:anchor distT="0" distB="0" distL="0" distR="0" allowOverlap="1" layoutInCell="1" locked="0" behindDoc="0" simplePos="0" relativeHeight="4">
            <wp:simplePos x="0" y="0"/>
            <wp:positionH relativeFrom="page">
              <wp:posOffset>3983091</wp:posOffset>
            </wp:positionH>
            <wp:positionV relativeFrom="paragraph">
              <wp:posOffset>131091</wp:posOffset>
            </wp:positionV>
            <wp:extent cx="1902188" cy="585216"/>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902188" cy="585216"/>
                    </a:xfrm>
                    <a:prstGeom prst="rect">
                      <a:avLst/>
                    </a:prstGeom>
                  </pic:spPr>
                </pic:pic>
              </a:graphicData>
            </a:graphic>
          </wp:anchor>
        </w:drawing>
      </w:r>
    </w:p>
    <w:p>
      <w:pPr>
        <w:pStyle w:val="BodyText"/>
        <w:spacing w:before="179"/>
        <w:ind w:left="4566"/>
      </w:pPr>
      <w:r>
        <w:rPr/>
        <w:t>Katherine L. Brim, No. 46532</w:t>
      </w:r>
    </w:p>
    <w:p>
      <w:pPr>
        <w:pStyle w:val="BodyText"/>
        <w:rPr>
          <w:sz w:val="26"/>
        </w:rPr>
      </w:pPr>
    </w:p>
    <w:p>
      <w:pPr>
        <w:pStyle w:val="BodyText"/>
        <w:rPr>
          <w:sz w:val="26"/>
        </w:rPr>
      </w:pPr>
    </w:p>
    <w:p>
      <w:pPr>
        <w:pStyle w:val="Heading1"/>
        <w:spacing w:before="233"/>
        <w:ind w:left="3206" w:right="0"/>
        <w:jc w:val="left"/>
      </w:pPr>
      <w:r>
        <w:rPr/>
        <w:t>CERTIFICATE OF SERVICE</w:t>
      </w:r>
    </w:p>
    <w:p>
      <w:pPr>
        <w:pStyle w:val="BodyText"/>
        <w:spacing w:before="9"/>
        <w:rPr>
          <w:b/>
          <w:sz w:val="23"/>
        </w:rPr>
      </w:pPr>
    </w:p>
    <w:p>
      <w:pPr>
        <w:pStyle w:val="BodyText"/>
        <w:ind w:left="119" w:right="657" w:firstLine="720"/>
        <w:jc w:val="both"/>
      </w:pPr>
      <w:r>
        <w:rPr/>
        <w:t>I, the undersigned, hereby certify that a copy of the foregoing Motion for Sanctions was E-Served by the Court-authorized E-System provider, to the following on this 25</w:t>
      </w:r>
      <w:r>
        <w:rPr>
          <w:vertAlign w:val="superscript"/>
        </w:rPr>
        <w:t>th</w:t>
      </w:r>
      <w:r>
        <w:rPr>
          <w:vertAlign w:val="baseline"/>
        </w:rPr>
        <w:t> day of January, 2017:</w:t>
      </w:r>
    </w:p>
    <w:p>
      <w:pPr>
        <w:pStyle w:val="BodyText"/>
      </w:pPr>
    </w:p>
    <w:p>
      <w:pPr>
        <w:pStyle w:val="BodyText"/>
        <w:ind w:left="119"/>
      </w:pPr>
      <w:r>
        <w:rPr/>
        <w:t>David Perry</w:t>
      </w:r>
    </w:p>
    <w:p>
      <w:pPr>
        <w:pStyle w:val="BodyText"/>
        <w:ind w:left="119" w:right="6562"/>
      </w:pPr>
      <w:r>
        <w:rPr/>
        <w:t>Law Office of David B. Perry, LLC 7200 East Dry Creek, F203 Centennial, CO 80112</w:t>
      </w:r>
    </w:p>
    <w:p>
      <w:pPr>
        <w:pStyle w:val="BodyText"/>
        <w:tabs>
          <w:tab w:pos="2459" w:val="left" w:leader="none"/>
        </w:tabs>
        <w:spacing w:line="284" w:lineRule="exact"/>
        <w:ind w:left="119"/>
        <w:rPr>
          <w:rFonts w:ascii="MS PGothic" w:hAnsi="MS PGothic"/>
        </w:rPr>
      </w:pPr>
      <w:r>
        <w:rPr/>
        <w:t>Dave@DBP</w:t>
        <w:tab/>
      </w:r>
      <w:r>
        <w:rPr>
          <w:rFonts w:ascii="MS PGothic" w:hAnsi="MS PGothic"/>
          <w:spacing w:val="2"/>
        </w:rPr>
        <w:t>‐Law.com</w:t>
      </w:r>
    </w:p>
    <w:p>
      <w:pPr>
        <w:spacing w:line="269" w:lineRule="exact" w:before="0"/>
        <w:ind w:left="119" w:right="0" w:firstLine="0"/>
        <w:jc w:val="left"/>
        <w:rPr>
          <w:i/>
          <w:sz w:val="24"/>
        </w:rPr>
      </w:pPr>
      <w:r>
        <w:rPr>
          <w:i/>
          <w:sz w:val="24"/>
        </w:rPr>
        <w:t>Counsel for American Family Mutual Insurance Company, as Subrogee of Kathryn Windt</w:t>
      </w:r>
    </w:p>
    <w:p>
      <w:pPr>
        <w:pStyle w:val="BodyText"/>
        <w:spacing w:before="10"/>
        <w:rPr>
          <w:i/>
          <w:sz w:val="23"/>
        </w:rPr>
      </w:pPr>
    </w:p>
    <w:p>
      <w:pPr>
        <w:pStyle w:val="BodyText"/>
        <w:spacing w:before="1"/>
        <w:ind w:left="120"/>
      </w:pPr>
      <w:r>
        <w:rPr/>
        <w:t>COOK &amp; PAGANO, P.C.</w:t>
      </w:r>
    </w:p>
    <w:p>
      <w:pPr>
        <w:pStyle w:val="BodyText"/>
        <w:ind w:left="120" w:right="7200"/>
      </w:pPr>
      <w:r>
        <w:rPr/>
        <w:t>Stephen H. Cook: 6692 James L. Pagano:</w:t>
      </w:r>
      <w:r>
        <w:rPr>
          <w:spacing w:val="59"/>
        </w:rPr>
        <w:t> </w:t>
      </w:r>
      <w:r>
        <w:rPr>
          <w:spacing w:val="-4"/>
        </w:rPr>
        <w:t>39508</w:t>
      </w:r>
    </w:p>
    <w:p>
      <w:pPr>
        <w:pStyle w:val="BodyText"/>
        <w:ind w:left="120"/>
      </w:pPr>
      <w:r>
        <w:rPr/>
        <w:t>2590 Trailridge Drive East, Suite 202</w:t>
      </w:r>
    </w:p>
    <w:p>
      <w:pPr>
        <w:pStyle w:val="BodyText"/>
        <w:ind w:left="120"/>
      </w:pPr>
      <w:r>
        <w:rPr/>
        <w:t>Lafayette, Colorado 80026</w:t>
      </w:r>
    </w:p>
    <w:p>
      <w:pPr>
        <w:spacing w:before="0"/>
        <w:ind w:left="120" w:right="0" w:firstLine="0"/>
        <w:jc w:val="left"/>
        <w:rPr>
          <w:i/>
          <w:sz w:val="24"/>
        </w:rPr>
      </w:pPr>
      <w:r>
        <w:rPr>
          <w:i/>
          <w:sz w:val="24"/>
        </w:rPr>
        <w:t>Counsel for Third Party Defendant Windt</w:t>
      </w:r>
    </w:p>
    <w:p>
      <w:pPr>
        <w:pStyle w:val="BodyText"/>
        <w:spacing w:before="10"/>
        <w:rPr>
          <w:i/>
          <w:sz w:val="23"/>
        </w:rPr>
      </w:pPr>
    </w:p>
    <w:p>
      <w:pPr>
        <w:pStyle w:val="BodyText"/>
        <w:ind w:left="120" w:right="8444"/>
      </w:pPr>
      <w:r>
        <w:rPr/>
        <w:t>Megan </w:t>
      </w:r>
      <w:r>
        <w:rPr>
          <w:spacing w:val="-3"/>
        </w:rPr>
        <w:t>Fountain </w:t>
      </w:r>
      <w:r>
        <w:rPr/>
        <w:t>Dylan Lewis PO Box</w:t>
      </w:r>
      <w:r>
        <w:rPr>
          <w:spacing w:val="-2"/>
        </w:rPr>
        <w:t> </w:t>
      </w:r>
      <w:r>
        <w:rPr/>
        <w:t>3328</w:t>
      </w:r>
    </w:p>
    <w:p>
      <w:pPr>
        <w:pStyle w:val="BodyText"/>
        <w:tabs>
          <w:tab w:pos="2992" w:val="left" w:leader="none"/>
        </w:tabs>
        <w:spacing w:line="284" w:lineRule="exact"/>
        <w:ind w:left="120"/>
        <w:rPr>
          <w:rFonts w:ascii="MS PGothic" w:hAnsi="MS PGothic"/>
        </w:rPr>
      </w:pPr>
      <w:r>
        <w:rPr/>
        <w:t>Englewood,</w:t>
      </w:r>
      <w:r>
        <w:rPr>
          <w:spacing w:val="-1"/>
        </w:rPr>
        <w:t> </w:t>
      </w:r>
      <w:r>
        <w:rPr/>
        <w:t>CO</w:t>
      </w:r>
      <w:r>
        <w:rPr>
          <w:spacing w:val="-2"/>
        </w:rPr>
        <w:t> </w:t>
      </w:r>
      <w:r>
        <w:rPr/>
        <w:t>80155</w:t>
        <w:tab/>
      </w:r>
      <w:r>
        <w:rPr>
          <w:rFonts w:ascii="MS PGothic" w:hAnsi="MS PGothic"/>
        </w:rPr>
        <w:t>‐3328</w:t>
      </w:r>
    </w:p>
    <w:p>
      <w:pPr>
        <w:pStyle w:val="BodyText"/>
        <w:spacing w:line="268" w:lineRule="exact"/>
        <w:ind w:left="120"/>
      </w:pPr>
      <w:hyperlink r:id="rId8">
        <w:r>
          <w:rPr/>
          <w:t>MFountai@AmFam.com</w:t>
        </w:r>
      </w:hyperlink>
    </w:p>
    <w:p>
      <w:pPr>
        <w:spacing w:before="1"/>
        <w:ind w:left="120" w:right="0" w:firstLine="0"/>
        <w:jc w:val="left"/>
        <w:rPr>
          <w:i/>
          <w:sz w:val="24"/>
        </w:rPr>
      </w:pPr>
      <w:r>
        <w:rPr>
          <w:i/>
          <w:sz w:val="24"/>
        </w:rPr>
        <w:t>Counsel for Third Party Defendant Windt</w:t>
      </w:r>
    </w:p>
    <w:p>
      <w:pPr>
        <w:pStyle w:val="BodyText"/>
        <w:rPr>
          <w:i/>
        </w:rPr>
      </w:pPr>
    </w:p>
    <w:p>
      <w:pPr>
        <w:spacing w:line="275" w:lineRule="exact" w:before="0"/>
        <w:ind w:left="5880" w:right="0" w:firstLine="0"/>
        <w:jc w:val="left"/>
        <w:rPr>
          <w:i/>
          <w:sz w:val="24"/>
        </w:rPr>
      </w:pPr>
      <w:r>
        <w:rPr>
          <w:i/>
          <w:sz w:val="24"/>
          <w:u w:val="single"/>
        </w:rPr>
        <w:t>  /s/ Katherine L. Brim</w:t>
      </w:r>
    </w:p>
    <w:p>
      <w:pPr>
        <w:pStyle w:val="BodyText"/>
        <w:spacing w:line="275" w:lineRule="exact"/>
        <w:ind w:left="5880"/>
      </w:pPr>
      <w:r>
        <w:rPr/>
        <w:t>Katherine L. Brim</w:t>
      </w:r>
    </w:p>
    <w:sectPr>
      <w:pgSz w:w="12240" w:h="15840"/>
      <w:pgMar w:top="1500" w:bottom="280" w:left="13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inion Pro">
    <w:altName w:val="Minion Pro"/>
    <w:charset w:val="0"/>
    <w:family w:val="roman"/>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5"/>
        <w:w w:val="97"/>
        <w:sz w:val="24"/>
        <w:szCs w:val="24"/>
      </w:rPr>
    </w:lvl>
    <w:lvl w:ilvl="1">
      <w:start w:val="0"/>
      <w:numFmt w:val="bullet"/>
      <w:lvlText w:val="•"/>
      <w:lvlJc w:val="left"/>
      <w:pPr>
        <w:ind w:left="1770" w:hanging="360"/>
      </w:pPr>
      <w:rPr>
        <w:rFonts w:hint="default"/>
      </w:rPr>
    </w:lvl>
    <w:lvl w:ilvl="2">
      <w:start w:val="0"/>
      <w:numFmt w:val="bullet"/>
      <w:lvlText w:val="•"/>
      <w:lvlJc w:val="left"/>
      <w:pPr>
        <w:ind w:left="2700" w:hanging="360"/>
      </w:pPr>
      <w:rPr>
        <w:rFonts w:hint="default"/>
      </w:rPr>
    </w:lvl>
    <w:lvl w:ilvl="3">
      <w:start w:val="0"/>
      <w:numFmt w:val="bullet"/>
      <w:lvlText w:val="•"/>
      <w:lvlJc w:val="left"/>
      <w:pPr>
        <w:ind w:left="3630" w:hanging="360"/>
      </w:pPr>
      <w:rPr>
        <w:rFonts w:hint="default"/>
      </w:rPr>
    </w:lvl>
    <w:lvl w:ilvl="4">
      <w:start w:val="0"/>
      <w:numFmt w:val="bullet"/>
      <w:lvlText w:val="•"/>
      <w:lvlJc w:val="left"/>
      <w:pPr>
        <w:ind w:left="4560"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20" w:hanging="360"/>
      </w:pPr>
      <w:rPr>
        <w:rFonts w:hint="default"/>
      </w:rPr>
    </w:lvl>
    <w:lvl w:ilvl="7">
      <w:start w:val="0"/>
      <w:numFmt w:val="bullet"/>
      <w:lvlText w:val="•"/>
      <w:lvlJc w:val="left"/>
      <w:pPr>
        <w:ind w:left="7350" w:hanging="360"/>
      </w:pPr>
      <w:rPr>
        <w:rFonts w:hint="default"/>
      </w:rPr>
    </w:lvl>
    <w:lvl w:ilvl="8">
      <w:start w:val="0"/>
      <w:numFmt w:val="bullet"/>
      <w:lvlText w:val="•"/>
      <w:lvlJc w:val="left"/>
      <w:pPr>
        <w:ind w:left="8280" w:hanging="360"/>
      </w:pPr>
      <w:rPr>
        <w:rFonts w:hint="default"/>
      </w:rPr>
    </w:lvl>
  </w:abstractNum>
  <w:abstractNum w:abstractNumId="0">
    <w:multiLevelType w:val="hybridMultilevel"/>
    <w:lvl w:ilvl="0">
      <w:start w:val="0"/>
      <w:numFmt w:val="bullet"/>
      <w:lvlText w:val="◻"/>
      <w:lvlJc w:val="left"/>
      <w:pPr>
        <w:ind w:left="911" w:hanging="504"/>
      </w:pPr>
      <w:rPr>
        <w:rFonts w:hint="default" w:ascii="Symbol" w:hAnsi="Symbol" w:eastAsia="Symbol" w:cs="Symbol"/>
        <w:w w:val="100"/>
        <w:sz w:val="24"/>
        <w:szCs w:val="24"/>
      </w:rPr>
    </w:lvl>
    <w:lvl w:ilvl="1">
      <w:start w:val="0"/>
      <w:numFmt w:val="bullet"/>
      <w:lvlText w:val="•"/>
      <w:lvlJc w:val="left"/>
      <w:pPr>
        <w:ind w:left="1187" w:hanging="504"/>
      </w:pPr>
      <w:rPr>
        <w:rFonts w:hint="default"/>
      </w:rPr>
    </w:lvl>
    <w:lvl w:ilvl="2">
      <w:start w:val="0"/>
      <w:numFmt w:val="bullet"/>
      <w:lvlText w:val="•"/>
      <w:lvlJc w:val="left"/>
      <w:pPr>
        <w:ind w:left="1454" w:hanging="504"/>
      </w:pPr>
      <w:rPr>
        <w:rFonts w:hint="default"/>
      </w:rPr>
    </w:lvl>
    <w:lvl w:ilvl="3">
      <w:start w:val="0"/>
      <w:numFmt w:val="bullet"/>
      <w:lvlText w:val="•"/>
      <w:lvlJc w:val="left"/>
      <w:pPr>
        <w:ind w:left="1721" w:hanging="504"/>
      </w:pPr>
      <w:rPr>
        <w:rFonts w:hint="default"/>
      </w:rPr>
    </w:lvl>
    <w:lvl w:ilvl="4">
      <w:start w:val="0"/>
      <w:numFmt w:val="bullet"/>
      <w:lvlText w:val="•"/>
      <w:lvlJc w:val="left"/>
      <w:pPr>
        <w:ind w:left="1988" w:hanging="504"/>
      </w:pPr>
      <w:rPr>
        <w:rFonts w:hint="default"/>
      </w:rPr>
    </w:lvl>
    <w:lvl w:ilvl="5">
      <w:start w:val="0"/>
      <w:numFmt w:val="bullet"/>
      <w:lvlText w:val="•"/>
      <w:lvlJc w:val="left"/>
      <w:pPr>
        <w:ind w:left="2255" w:hanging="504"/>
      </w:pPr>
      <w:rPr>
        <w:rFonts w:hint="default"/>
      </w:rPr>
    </w:lvl>
    <w:lvl w:ilvl="6">
      <w:start w:val="0"/>
      <w:numFmt w:val="bullet"/>
      <w:lvlText w:val="•"/>
      <w:lvlJc w:val="left"/>
      <w:pPr>
        <w:ind w:left="2522" w:hanging="504"/>
      </w:pPr>
      <w:rPr>
        <w:rFonts w:hint="default"/>
      </w:rPr>
    </w:lvl>
    <w:lvl w:ilvl="7">
      <w:start w:val="0"/>
      <w:numFmt w:val="bullet"/>
      <w:lvlText w:val="•"/>
      <w:lvlJc w:val="left"/>
      <w:pPr>
        <w:ind w:left="2789" w:hanging="504"/>
      </w:pPr>
      <w:rPr>
        <w:rFonts w:hint="default"/>
      </w:rPr>
    </w:lvl>
    <w:lvl w:ilvl="8">
      <w:start w:val="0"/>
      <w:numFmt w:val="bullet"/>
      <w:lvlText w:val="•"/>
      <w:lvlJc w:val="left"/>
      <w:pPr>
        <w:ind w:left="3056" w:hanging="50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345" w:right="2885"/>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40" w:right="657" w:hanging="36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effrey@rq-law.com" TargetMode="External"/><Relationship Id="rId6" Type="http://schemas.openxmlformats.org/officeDocument/2006/relationships/hyperlink" Target="https://www.rimkus.com/uploads/pdfs/Event_Data_Recorder.pdf" TargetMode="External"/><Relationship Id="rId7" Type="http://schemas.openxmlformats.org/officeDocument/2006/relationships/image" Target="media/image1.jpeg"/><Relationship Id="rId8" Type="http://schemas.openxmlformats.org/officeDocument/2006/relationships/hyperlink" Target="mailto:MFountai@AmFam.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Clay Ruebel</dc:creator>
  <dcterms:created xsi:type="dcterms:W3CDTF">2019-03-22T16:01:08Z</dcterms:created>
  <dcterms:modified xsi:type="dcterms:W3CDTF">2019-03-22T16:01:08Z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Acrobat PDFMaker 10.1 for Word</vt:lpwstr>
  </property>
  <property fmtid="{D5CDD505-2E9C-101B-9397-08002B2CF9AE}" pid="4" name="LastSaved">
    <vt:filetime>2019-03-22T00:00:00Z</vt:filetime>
  </property>
</Properties>
</file>